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5B2592B0" w:rsidR="00AA7A87" w:rsidRPr="00624853" w:rsidRDefault="001353E7" w:rsidP="005F2A4B">
      <w:pPr>
        <w:pStyle w:val="Heading1"/>
      </w:pPr>
      <w:bookmarkStart w:id="0" w:name="_GoBack"/>
      <w:bookmarkEnd w:id="0"/>
      <w:r>
        <w:t>Boosting the Next Generation of Women in STEM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8E21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036657D1" w:rsidR="00AA7A87" w:rsidRPr="00F65C53" w:rsidRDefault="0018533B" w:rsidP="00FB2CBF">
            <w:pPr>
              <w:cnfStyle w:val="100000000000" w:firstRow="1" w:lastRow="0" w:firstColumn="0" w:lastColumn="0" w:oddVBand="0" w:evenVBand="0" w:oddHBand="0" w:evenHBand="0" w:firstRowFirstColumn="0" w:firstRowLastColumn="0" w:lastRowFirstColumn="0" w:lastRowLastColumn="0"/>
              <w:rPr>
                <w:b w:val="0"/>
              </w:rPr>
            </w:pPr>
            <w:r>
              <w:rPr>
                <w:b w:val="0"/>
              </w:rPr>
              <w:t>11 August 2021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3D0A8D7E" w:rsidR="005E49EA" w:rsidRPr="00F65C53" w:rsidRDefault="00BA2862" w:rsidP="00B93AD2">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F87B20">
              <w:t xml:space="preserve">Australian Eastern </w:t>
            </w:r>
            <w:r w:rsidR="00B93AD2">
              <w:t>Daylight</w:t>
            </w:r>
            <w:r w:rsidR="00F87B20">
              <w:t xml:space="preserve"> Time</w:t>
            </w:r>
            <w:r w:rsidR="00AA7A87" w:rsidRPr="00F65C53">
              <w:t xml:space="preserve"> on </w:t>
            </w:r>
            <w:r w:rsidR="0018533B">
              <w:t>7 October 2021</w:t>
            </w:r>
            <w:r w:rsidR="002558E5">
              <w:br/>
            </w:r>
            <w:r w:rsidR="005E49EA">
              <w:t>Please take account of time zone differences when submitting your application.</w:t>
            </w:r>
          </w:p>
        </w:tc>
      </w:tr>
      <w:tr w:rsidR="00AA7A87" w:rsidRPr="007040EB" w14:paraId="07C3C994" w14:textId="77777777" w:rsidTr="001353E7">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4D1E173" w:rsidR="00AA7A87" w:rsidRPr="00F65C53" w:rsidRDefault="001353E7" w:rsidP="001353E7">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69D716D" w:rsidR="00AA7A87" w:rsidRPr="0018533B" w:rsidRDefault="0018533B" w:rsidP="003B56D3">
            <w:pPr>
              <w:cnfStyle w:val="000000100000" w:firstRow="0" w:lastRow="0" w:firstColumn="0" w:lastColumn="0" w:oddVBand="0" w:evenVBand="0" w:oddHBand="1" w:evenHBand="0" w:firstRowFirstColumn="0" w:firstRowLastColumn="0" w:lastRowFirstColumn="0" w:lastRowLastColumn="0"/>
            </w:pPr>
            <w:r w:rsidRPr="0018533B">
              <w:t>11 August 2021</w:t>
            </w:r>
            <w:r w:rsidR="00AA3EC1">
              <w:t xml:space="preserve"> (updated 18 August 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028874B" w:rsidR="00AA7A87" w:rsidRPr="00F65C53" w:rsidRDefault="001353E7" w:rsidP="001353E7">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393360C" w14:textId="77777777" w:rsidR="0018533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8533B">
        <w:rPr>
          <w:noProof/>
        </w:rPr>
        <w:t>1.</w:t>
      </w:r>
      <w:r w:rsidR="0018533B">
        <w:rPr>
          <w:rFonts w:asciiTheme="minorHAnsi" w:eastAsiaTheme="minorEastAsia" w:hAnsiTheme="minorHAnsi" w:cstheme="minorBidi"/>
          <w:b w:val="0"/>
          <w:iCs w:val="0"/>
          <w:noProof/>
          <w:sz w:val="22"/>
          <w:lang w:val="en-AU" w:eastAsia="en-AU"/>
        </w:rPr>
        <w:tab/>
      </w:r>
      <w:r w:rsidR="0018533B">
        <w:rPr>
          <w:noProof/>
        </w:rPr>
        <w:t>Boosting the Next Generation of Women in STEM processes</w:t>
      </w:r>
      <w:r w:rsidR="0018533B">
        <w:rPr>
          <w:noProof/>
        </w:rPr>
        <w:tab/>
      </w:r>
      <w:r w:rsidR="0018533B">
        <w:rPr>
          <w:noProof/>
        </w:rPr>
        <w:fldChar w:fldCharType="begin"/>
      </w:r>
      <w:r w:rsidR="0018533B">
        <w:rPr>
          <w:noProof/>
        </w:rPr>
        <w:instrText xml:space="preserve"> PAGEREF _Toc79416736 \h </w:instrText>
      </w:r>
      <w:r w:rsidR="0018533B">
        <w:rPr>
          <w:noProof/>
        </w:rPr>
      </w:r>
      <w:r w:rsidR="0018533B">
        <w:rPr>
          <w:noProof/>
        </w:rPr>
        <w:fldChar w:fldCharType="separate"/>
      </w:r>
      <w:r w:rsidR="00CA58A1">
        <w:rPr>
          <w:noProof/>
        </w:rPr>
        <w:t>4</w:t>
      </w:r>
      <w:r w:rsidR="0018533B">
        <w:rPr>
          <w:noProof/>
        </w:rPr>
        <w:fldChar w:fldCharType="end"/>
      </w:r>
    </w:p>
    <w:p w14:paraId="518D4984"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_Toc79416737 \h </w:instrText>
      </w:r>
      <w:r>
        <w:rPr>
          <w:noProof/>
        </w:rPr>
      </w:r>
      <w:r>
        <w:rPr>
          <w:noProof/>
        </w:rPr>
        <w:fldChar w:fldCharType="separate"/>
      </w:r>
      <w:r w:rsidR="00CA58A1">
        <w:rPr>
          <w:noProof/>
        </w:rPr>
        <w:t>5</w:t>
      </w:r>
      <w:r>
        <w:rPr>
          <w:noProof/>
        </w:rPr>
        <w:fldChar w:fldCharType="end"/>
      </w:r>
    </w:p>
    <w:p w14:paraId="344A4105"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_Toc79416738 \h </w:instrText>
      </w:r>
      <w:r>
        <w:rPr>
          <w:noProof/>
        </w:rPr>
      </w:r>
      <w:r>
        <w:rPr>
          <w:noProof/>
        </w:rPr>
        <w:fldChar w:fldCharType="separate"/>
      </w:r>
      <w:r w:rsidR="00CA58A1">
        <w:rPr>
          <w:noProof/>
        </w:rPr>
        <w:t>5</w:t>
      </w:r>
      <w:r>
        <w:rPr>
          <w:noProof/>
        </w:rPr>
        <w:fldChar w:fldCharType="end"/>
      </w:r>
    </w:p>
    <w:p w14:paraId="1FAD1E28" w14:textId="77777777" w:rsidR="0018533B" w:rsidRDefault="0018533B">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_Toc79416739 \h </w:instrText>
      </w:r>
      <w:r>
        <w:rPr>
          <w:noProof/>
        </w:rPr>
      </w:r>
      <w:r>
        <w:rPr>
          <w:noProof/>
        </w:rPr>
        <w:fldChar w:fldCharType="separate"/>
      </w:r>
      <w:r w:rsidR="00CA58A1">
        <w:rPr>
          <w:noProof/>
        </w:rPr>
        <w:t>6</w:t>
      </w:r>
      <w:r>
        <w:rPr>
          <w:noProof/>
        </w:rPr>
        <w:fldChar w:fldCharType="end"/>
      </w:r>
    </w:p>
    <w:p w14:paraId="4F6AA6FE" w14:textId="77777777" w:rsidR="0018533B" w:rsidRDefault="0018533B">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_Toc79416740 \h </w:instrText>
      </w:r>
      <w:r>
        <w:rPr>
          <w:noProof/>
        </w:rPr>
      </w:r>
      <w:r>
        <w:rPr>
          <w:noProof/>
        </w:rPr>
        <w:fldChar w:fldCharType="separate"/>
      </w:r>
      <w:r w:rsidR="00CA58A1">
        <w:rPr>
          <w:noProof/>
        </w:rPr>
        <w:t>6</w:t>
      </w:r>
      <w:r>
        <w:rPr>
          <w:noProof/>
        </w:rPr>
        <w:fldChar w:fldCharType="end"/>
      </w:r>
    </w:p>
    <w:p w14:paraId="49953C88"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_Toc79416741 \h </w:instrText>
      </w:r>
      <w:r>
        <w:rPr>
          <w:noProof/>
        </w:rPr>
      </w:r>
      <w:r>
        <w:rPr>
          <w:noProof/>
        </w:rPr>
        <w:fldChar w:fldCharType="separate"/>
      </w:r>
      <w:r w:rsidR="00CA58A1">
        <w:rPr>
          <w:noProof/>
        </w:rPr>
        <w:t>6</w:t>
      </w:r>
      <w:r>
        <w:rPr>
          <w:noProof/>
        </w:rPr>
        <w:fldChar w:fldCharType="end"/>
      </w:r>
    </w:p>
    <w:p w14:paraId="7D401A93" w14:textId="77777777" w:rsidR="0018533B" w:rsidRDefault="0018533B">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_Toc79416742 \h </w:instrText>
      </w:r>
      <w:r>
        <w:rPr>
          <w:noProof/>
        </w:rPr>
      </w:r>
      <w:r>
        <w:rPr>
          <w:noProof/>
        </w:rPr>
        <w:fldChar w:fldCharType="separate"/>
      </w:r>
      <w:r w:rsidR="00CA58A1">
        <w:rPr>
          <w:noProof/>
        </w:rPr>
        <w:t>6</w:t>
      </w:r>
      <w:r>
        <w:rPr>
          <w:noProof/>
        </w:rPr>
        <w:fldChar w:fldCharType="end"/>
      </w:r>
    </w:p>
    <w:p w14:paraId="1F486C32" w14:textId="77777777" w:rsidR="0018533B" w:rsidRDefault="0018533B">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_Toc79416743 \h </w:instrText>
      </w:r>
      <w:r>
        <w:rPr>
          <w:noProof/>
        </w:rPr>
      </w:r>
      <w:r>
        <w:rPr>
          <w:noProof/>
        </w:rPr>
        <w:fldChar w:fldCharType="separate"/>
      </w:r>
      <w:r w:rsidR="00CA58A1">
        <w:rPr>
          <w:noProof/>
        </w:rPr>
        <w:t>6</w:t>
      </w:r>
      <w:r>
        <w:rPr>
          <w:noProof/>
        </w:rPr>
        <w:fldChar w:fldCharType="end"/>
      </w:r>
    </w:p>
    <w:p w14:paraId="386B7821" w14:textId="77777777" w:rsidR="0018533B" w:rsidRDefault="0018533B">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_Toc79416744 \h </w:instrText>
      </w:r>
      <w:r>
        <w:rPr>
          <w:noProof/>
        </w:rPr>
      </w:r>
      <w:r>
        <w:rPr>
          <w:noProof/>
        </w:rPr>
        <w:fldChar w:fldCharType="separate"/>
      </w:r>
      <w:r w:rsidR="00CA58A1">
        <w:rPr>
          <w:noProof/>
        </w:rPr>
        <w:t>7</w:t>
      </w:r>
      <w:r>
        <w:rPr>
          <w:noProof/>
        </w:rPr>
        <w:fldChar w:fldCharType="end"/>
      </w:r>
    </w:p>
    <w:p w14:paraId="0DEC6C26"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_Toc79416745 \h </w:instrText>
      </w:r>
      <w:r>
        <w:rPr>
          <w:noProof/>
        </w:rPr>
      </w:r>
      <w:r>
        <w:rPr>
          <w:noProof/>
        </w:rPr>
        <w:fldChar w:fldCharType="separate"/>
      </w:r>
      <w:r w:rsidR="00CA58A1">
        <w:rPr>
          <w:noProof/>
        </w:rPr>
        <w:t>7</w:t>
      </w:r>
      <w:r>
        <w:rPr>
          <w:noProof/>
        </w:rPr>
        <w:fldChar w:fldCharType="end"/>
      </w:r>
    </w:p>
    <w:p w14:paraId="41FD9F55" w14:textId="77777777" w:rsidR="0018533B" w:rsidRDefault="0018533B">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_Toc79416746 \h </w:instrText>
      </w:r>
      <w:r>
        <w:rPr>
          <w:noProof/>
        </w:rPr>
      </w:r>
      <w:r>
        <w:rPr>
          <w:noProof/>
        </w:rPr>
        <w:fldChar w:fldCharType="separate"/>
      </w:r>
      <w:r w:rsidR="00CA58A1">
        <w:rPr>
          <w:noProof/>
        </w:rPr>
        <w:t>7</w:t>
      </w:r>
      <w:r>
        <w:rPr>
          <w:noProof/>
        </w:rPr>
        <w:fldChar w:fldCharType="end"/>
      </w:r>
    </w:p>
    <w:p w14:paraId="39D65C31" w14:textId="77777777" w:rsidR="0018533B" w:rsidRDefault="0018533B">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_Toc79416747 \h </w:instrText>
      </w:r>
      <w:r>
        <w:rPr>
          <w:noProof/>
        </w:rPr>
      </w:r>
      <w:r>
        <w:rPr>
          <w:noProof/>
        </w:rPr>
        <w:fldChar w:fldCharType="separate"/>
      </w:r>
      <w:r w:rsidR="00CA58A1">
        <w:rPr>
          <w:noProof/>
        </w:rPr>
        <w:t>8</w:t>
      </w:r>
      <w:r>
        <w:rPr>
          <w:noProof/>
        </w:rPr>
        <w:fldChar w:fldCharType="end"/>
      </w:r>
    </w:p>
    <w:p w14:paraId="6F9B953F" w14:textId="77777777" w:rsidR="0018533B" w:rsidRDefault="0018533B">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_Toc79416748 \h </w:instrText>
      </w:r>
      <w:r>
        <w:rPr>
          <w:noProof/>
        </w:rPr>
      </w:r>
      <w:r>
        <w:rPr>
          <w:noProof/>
        </w:rPr>
        <w:fldChar w:fldCharType="separate"/>
      </w:r>
      <w:r w:rsidR="00CA58A1">
        <w:rPr>
          <w:noProof/>
        </w:rPr>
        <w:t>8</w:t>
      </w:r>
      <w:r>
        <w:rPr>
          <w:noProof/>
        </w:rPr>
        <w:fldChar w:fldCharType="end"/>
      </w:r>
    </w:p>
    <w:p w14:paraId="3EB97CBC"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_Toc79416749 \h </w:instrText>
      </w:r>
      <w:r>
        <w:rPr>
          <w:noProof/>
        </w:rPr>
      </w:r>
      <w:r>
        <w:rPr>
          <w:noProof/>
        </w:rPr>
        <w:fldChar w:fldCharType="separate"/>
      </w:r>
      <w:r w:rsidR="00CA58A1">
        <w:rPr>
          <w:noProof/>
        </w:rPr>
        <w:t>8</w:t>
      </w:r>
      <w:r>
        <w:rPr>
          <w:noProof/>
        </w:rPr>
        <w:fldChar w:fldCharType="end"/>
      </w:r>
    </w:p>
    <w:p w14:paraId="6CF31308" w14:textId="77777777" w:rsidR="0018533B" w:rsidRDefault="0018533B">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_Toc79416750 \h </w:instrText>
      </w:r>
      <w:r>
        <w:rPr>
          <w:noProof/>
        </w:rPr>
      </w:r>
      <w:r>
        <w:rPr>
          <w:noProof/>
        </w:rPr>
        <w:fldChar w:fldCharType="separate"/>
      </w:r>
      <w:r w:rsidR="00CA58A1">
        <w:rPr>
          <w:noProof/>
        </w:rPr>
        <w:t>9</w:t>
      </w:r>
      <w:r>
        <w:rPr>
          <w:noProof/>
        </w:rPr>
        <w:fldChar w:fldCharType="end"/>
      </w:r>
    </w:p>
    <w:p w14:paraId="442E18D6" w14:textId="77777777" w:rsidR="0018533B" w:rsidRDefault="0018533B">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_Toc79416751 \h </w:instrText>
      </w:r>
      <w:r>
        <w:rPr>
          <w:noProof/>
        </w:rPr>
      </w:r>
      <w:r>
        <w:rPr>
          <w:noProof/>
        </w:rPr>
        <w:fldChar w:fldCharType="separate"/>
      </w:r>
      <w:r w:rsidR="00CA58A1">
        <w:rPr>
          <w:noProof/>
        </w:rPr>
        <w:t>9</w:t>
      </w:r>
      <w:r>
        <w:rPr>
          <w:noProof/>
        </w:rPr>
        <w:fldChar w:fldCharType="end"/>
      </w:r>
    </w:p>
    <w:p w14:paraId="377B9831" w14:textId="77777777" w:rsidR="0018533B" w:rsidRDefault="0018533B">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_Toc79416752 \h </w:instrText>
      </w:r>
      <w:r>
        <w:rPr>
          <w:noProof/>
        </w:rPr>
      </w:r>
      <w:r>
        <w:rPr>
          <w:noProof/>
        </w:rPr>
        <w:fldChar w:fldCharType="separate"/>
      </w:r>
      <w:r w:rsidR="00CA58A1">
        <w:rPr>
          <w:noProof/>
        </w:rPr>
        <w:t>9</w:t>
      </w:r>
      <w:r>
        <w:rPr>
          <w:noProof/>
        </w:rPr>
        <w:fldChar w:fldCharType="end"/>
      </w:r>
    </w:p>
    <w:p w14:paraId="1B8A7076"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_Toc79416753 \h </w:instrText>
      </w:r>
      <w:r>
        <w:rPr>
          <w:noProof/>
        </w:rPr>
      </w:r>
      <w:r>
        <w:rPr>
          <w:noProof/>
        </w:rPr>
        <w:fldChar w:fldCharType="separate"/>
      </w:r>
      <w:r w:rsidR="00CA58A1">
        <w:rPr>
          <w:noProof/>
        </w:rPr>
        <w:t>9</w:t>
      </w:r>
      <w:r>
        <w:rPr>
          <w:noProof/>
        </w:rPr>
        <w:fldChar w:fldCharType="end"/>
      </w:r>
    </w:p>
    <w:p w14:paraId="29091E7C" w14:textId="77777777" w:rsidR="0018533B" w:rsidRDefault="0018533B">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_Toc79416754 \h </w:instrText>
      </w:r>
      <w:r>
        <w:rPr>
          <w:noProof/>
        </w:rPr>
      </w:r>
      <w:r>
        <w:rPr>
          <w:noProof/>
        </w:rPr>
        <w:fldChar w:fldCharType="separate"/>
      </w:r>
      <w:r w:rsidR="00CA58A1">
        <w:rPr>
          <w:noProof/>
        </w:rPr>
        <w:t>10</w:t>
      </w:r>
      <w:r>
        <w:rPr>
          <w:noProof/>
        </w:rPr>
        <w:fldChar w:fldCharType="end"/>
      </w:r>
    </w:p>
    <w:p w14:paraId="5DE336B0" w14:textId="77777777" w:rsidR="0018533B" w:rsidRDefault="0018533B">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_Toc79416755 \h </w:instrText>
      </w:r>
      <w:r>
        <w:rPr>
          <w:noProof/>
        </w:rPr>
      </w:r>
      <w:r>
        <w:rPr>
          <w:noProof/>
        </w:rPr>
        <w:fldChar w:fldCharType="separate"/>
      </w:r>
      <w:r w:rsidR="00CA58A1">
        <w:rPr>
          <w:noProof/>
        </w:rPr>
        <w:t>10</w:t>
      </w:r>
      <w:r>
        <w:rPr>
          <w:noProof/>
        </w:rPr>
        <w:fldChar w:fldCharType="end"/>
      </w:r>
    </w:p>
    <w:p w14:paraId="70B5EE41" w14:textId="77777777" w:rsidR="0018533B" w:rsidRDefault="0018533B">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_Toc79416756 \h </w:instrText>
      </w:r>
      <w:r>
        <w:rPr>
          <w:noProof/>
        </w:rPr>
      </w:r>
      <w:r>
        <w:rPr>
          <w:noProof/>
        </w:rPr>
        <w:fldChar w:fldCharType="separate"/>
      </w:r>
      <w:r w:rsidR="00CA58A1">
        <w:rPr>
          <w:noProof/>
        </w:rPr>
        <w:t>10</w:t>
      </w:r>
      <w:r>
        <w:rPr>
          <w:noProof/>
        </w:rPr>
        <w:fldChar w:fldCharType="end"/>
      </w:r>
    </w:p>
    <w:p w14:paraId="0E82182C"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_Toc79416757 \h </w:instrText>
      </w:r>
      <w:r>
        <w:rPr>
          <w:noProof/>
        </w:rPr>
      </w:r>
      <w:r>
        <w:rPr>
          <w:noProof/>
        </w:rPr>
        <w:fldChar w:fldCharType="separate"/>
      </w:r>
      <w:r w:rsidR="00CA58A1">
        <w:rPr>
          <w:noProof/>
        </w:rPr>
        <w:t>11</w:t>
      </w:r>
      <w:r>
        <w:rPr>
          <w:noProof/>
        </w:rPr>
        <w:fldChar w:fldCharType="end"/>
      </w:r>
    </w:p>
    <w:p w14:paraId="2FE5FA78" w14:textId="77777777" w:rsidR="0018533B" w:rsidRDefault="0018533B">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_Toc79416758 \h </w:instrText>
      </w:r>
      <w:r>
        <w:rPr>
          <w:noProof/>
        </w:rPr>
      </w:r>
      <w:r>
        <w:rPr>
          <w:noProof/>
        </w:rPr>
        <w:fldChar w:fldCharType="separate"/>
      </w:r>
      <w:r w:rsidR="00CA58A1">
        <w:rPr>
          <w:noProof/>
        </w:rPr>
        <w:t>11</w:t>
      </w:r>
      <w:r>
        <w:rPr>
          <w:noProof/>
        </w:rPr>
        <w:fldChar w:fldCharType="end"/>
      </w:r>
    </w:p>
    <w:p w14:paraId="24C6A70F"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_Toc79416759 \h </w:instrText>
      </w:r>
      <w:r>
        <w:rPr>
          <w:noProof/>
        </w:rPr>
      </w:r>
      <w:r>
        <w:rPr>
          <w:noProof/>
        </w:rPr>
        <w:fldChar w:fldCharType="separate"/>
      </w:r>
      <w:r w:rsidR="00CA58A1">
        <w:rPr>
          <w:noProof/>
        </w:rPr>
        <w:t>12</w:t>
      </w:r>
      <w:r>
        <w:rPr>
          <w:noProof/>
        </w:rPr>
        <w:fldChar w:fldCharType="end"/>
      </w:r>
    </w:p>
    <w:p w14:paraId="7403BFA4"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_Toc79416760 \h </w:instrText>
      </w:r>
      <w:r>
        <w:rPr>
          <w:noProof/>
        </w:rPr>
      </w:r>
      <w:r>
        <w:rPr>
          <w:noProof/>
        </w:rPr>
        <w:fldChar w:fldCharType="separate"/>
      </w:r>
      <w:r w:rsidR="00CA58A1">
        <w:rPr>
          <w:noProof/>
        </w:rPr>
        <w:t>12</w:t>
      </w:r>
      <w:r>
        <w:rPr>
          <w:noProof/>
        </w:rPr>
        <w:fldChar w:fldCharType="end"/>
      </w:r>
    </w:p>
    <w:p w14:paraId="4EDBE493"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_Toc79416761 \h </w:instrText>
      </w:r>
      <w:r>
        <w:rPr>
          <w:noProof/>
        </w:rPr>
      </w:r>
      <w:r>
        <w:rPr>
          <w:noProof/>
        </w:rPr>
        <w:fldChar w:fldCharType="separate"/>
      </w:r>
      <w:r w:rsidR="00CA58A1">
        <w:rPr>
          <w:noProof/>
        </w:rPr>
        <w:t>12</w:t>
      </w:r>
      <w:r>
        <w:rPr>
          <w:noProof/>
        </w:rPr>
        <w:fldChar w:fldCharType="end"/>
      </w:r>
    </w:p>
    <w:p w14:paraId="64DCA7C1"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_Toc79416762 \h </w:instrText>
      </w:r>
      <w:r>
        <w:rPr>
          <w:noProof/>
        </w:rPr>
      </w:r>
      <w:r>
        <w:rPr>
          <w:noProof/>
        </w:rPr>
        <w:fldChar w:fldCharType="separate"/>
      </w:r>
      <w:r w:rsidR="00CA58A1">
        <w:rPr>
          <w:noProof/>
        </w:rPr>
        <w:t>12</w:t>
      </w:r>
      <w:r>
        <w:rPr>
          <w:noProof/>
        </w:rPr>
        <w:fldChar w:fldCharType="end"/>
      </w:r>
    </w:p>
    <w:p w14:paraId="001C747A"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_Toc79416763 \h </w:instrText>
      </w:r>
      <w:r>
        <w:rPr>
          <w:noProof/>
        </w:rPr>
      </w:r>
      <w:r>
        <w:rPr>
          <w:noProof/>
        </w:rPr>
        <w:fldChar w:fldCharType="separate"/>
      </w:r>
      <w:r w:rsidR="00CA58A1">
        <w:rPr>
          <w:noProof/>
        </w:rPr>
        <w:t>12</w:t>
      </w:r>
      <w:r>
        <w:rPr>
          <w:noProof/>
        </w:rPr>
        <w:fldChar w:fldCharType="end"/>
      </w:r>
    </w:p>
    <w:p w14:paraId="5EAD2C3C"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_Toc79416764 \h </w:instrText>
      </w:r>
      <w:r>
        <w:rPr>
          <w:noProof/>
        </w:rPr>
      </w:r>
      <w:r>
        <w:rPr>
          <w:noProof/>
        </w:rPr>
        <w:fldChar w:fldCharType="separate"/>
      </w:r>
      <w:r w:rsidR="00CA58A1">
        <w:rPr>
          <w:noProof/>
        </w:rPr>
        <w:t>13</w:t>
      </w:r>
      <w:r>
        <w:rPr>
          <w:noProof/>
        </w:rPr>
        <w:fldChar w:fldCharType="end"/>
      </w:r>
    </w:p>
    <w:p w14:paraId="3486D151"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_Toc79416765 \h </w:instrText>
      </w:r>
      <w:r>
        <w:rPr>
          <w:noProof/>
        </w:rPr>
      </w:r>
      <w:r>
        <w:rPr>
          <w:noProof/>
        </w:rPr>
        <w:fldChar w:fldCharType="separate"/>
      </w:r>
      <w:r w:rsidR="00CA58A1">
        <w:rPr>
          <w:noProof/>
        </w:rPr>
        <w:t>13</w:t>
      </w:r>
      <w:r>
        <w:rPr>
          <w:noProof/>
        </w:rPr>
        <w:fldChar w:fldCharType="end"/>
      </w:r>
    </w:p>
    <w:p w14:paraId="3318D848"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Governance</w:t>
      </w:r>
      <w:r>
        <w:rPr>
          <w:noProof/>
        </w:rPr>
        <w:tab/>
      </w:r>
      <w:r>
        <w:rPr>
          <w:noProof/>
        </w:rPr>
        <w:fldChar w:fldCharType="begin"/>
      </w:r>
      <w:r>
        <w:rPr>
          <w:noProof/>
        </w:rPr>
        <w:instrText xml:space="preserve"> PAGEREF _Toc79416766 \h </w:instrText>
      </w:r>
      <w:r>
        <w:rPr>
          <w:noProof/>
        </w:rPr>
      </w:r>
      <w:r>
        <w:rPr>
          <w:noProof/>
        </w:rPr>
        <w:fldChar w:fldCharType="separate"/>
      </w:r>
      <w:r w:rsidR="00CA58A1">
        <w:rPr>
          <w:noProof/>
        </w:rPr>
        <w:t>13</w:t>
      </w:r>
      <w:r>
        <w:rPr>
          <w:noProof/>
        </w:rPr>
        <w:fldChar w:fldCharType="end"/>
      </w:r>
    </w:p>
    <w:p w14:paraId="5B2E2369"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_Toc79416767 \h </w:instrText>
      </w:r>
      <w:r>
        <w:rPr>
          <w:noProof/>
        </w:rPr>
      </w:r>
      <w:r>
        <w:rPr>
          <w:noProof/>
        </w:rPr>
        <w:fldChar w:fldCharType="separate"/>
      </w:r>
      <w:r w:rsidR="00CA58A1">
        <w:rPr>
          <w:noProof/>
        </w:rPr>
        <w:t>13</w:t>
      </w:r>
      <w:r>
        <w:rPr>
          <w:noProof/>
        </w:rPr>
        <w:fldChar w:fldCharType="end"/>
      </w:r>
    </w:p>
    <w:p w14:paraId="14116A82"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_Toc79416768 \h </w:instrText>
      </w:r>
      <w:r>
        <w:rPr>
          <w:noProof/>
        </w:rPr>
      </w:r>
      <w:r>
        <w:rPr>
          <w:noProof/>
        </w:rPr>
        <w:fldChar w:fldCharType="separate"/>
      </w:r>
      <w:r w:rsidR="00CA58A1">
        <w:rPr>
          <w:noProof/>
        </w:rPr>
        <w:t>14</w:t>
      </w:r>
      <w:r>
        <w:rPr>
          <w:noProof/>
        </w:rPr>
        <w:fldChar w:fldCharType="end"/>
      </w:r>
    </w:p>
    <w:p w14:paraId="7B2FBE43"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_Toc79416769 \h </w:instrText>
      </w:r>
      <w:r>
        <w:rPr>
          <w:noProof/>
        </w:rPr>
      </w:r>
      <w:r>
        <w:rPr>
          <w:noProof/>
        </w:rPr>
        <w:fldChar w:fldCharType="separate"/>
      </w:r>
      <w:r w:rsidR="00CA58A1">
        <w:rPr>
          <w:noProof/>
        </w:rPr>
        <w:t>14</w:t>
      </w:r>
      <w:r>
        <w:rPr>
          <w:noProof/>
        </w:rPr>
        <w:fldChar w:fldCharType="end"/>
      </w:r>
    </w:p>
    <w:p w14:paraId="71A303A7"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_Toc79416770 \h </w:instrText>
      </w:r>
      <w:r>
        <w:rPr>
          <w:noProof/>
        </w:rPr>
      </w:r>
      <w:r>
        <w:rPr>
          <w:noProof/>
        </w:rPr>
        <w:fldChar w:fldCharType="separate"/>
      </w:r>
      <w:r w:rsidR="00CA58A1">
        <w:rPr>
          <w:noProof/>
        </w:rPr>
        <w:t>14</w:t>
      </w:r>
      <w:r>
        <w:rPr>
          <w:noProof/>
        </w:rPr>
        <w:fldChar w:fldCharType="end"/>
      </w:r>
    </w:p>
    <w:p w14:paraId="15D00C7D" w14:textId="77777777" w:rsidR="0018533B" w:rsidRDefault="0018533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_Toc79416771 \h </w:instrText>
      </w:r>
      <w:r>
        <w:fldChar w:fldCharType="separate"/>
      </w:r>
      <w:r w:rsidR="00CA58A1">
        <w:t>14</w:t>
      </w:r>
      <w:r>
        <w:fldChar w:fldCharType="end"/>
      </w:r>
    </w:p>
    <w:p w14:paraId="697BE3C3" w14:textId="77777777" w:rsidR="0018533B" w:rsidRDefault="0018533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_Toc79416772 \h </w:instrText>
      </w:r>
      <w:r>
        <w:fldChar w:fldCharType="separate"/>
      </w:r>
      <w:r w:rsidR="00CA58A1">
        <w:t>15</w:t>
      </w:r>
      <w:r>
        <w:fldChar w:fldCharType="end"/>
      </w:r>
    </w:p>
    <w:p w14:paraId="50DD8D33" w14:textId="77777777" w:rsidR="0018533B" w:rsidRDefault="0018533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_Toc79416773 \h </w:instrText>
      </w:r>
      <w:r>
        <w:fldChar w:fldCharType="separate"/>
      </w:r>
      <w:r w:rsidR="00CA58A1">
        <w:t>15</w:t>
      </w:r>
      <w:r>
        <w:fldChar w:fldCharType="end"/>
      </w:r>
    </w:p>
    <w:p w14:paraId="5E7EC3CE"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_Toc79416774 \h </w:instrText>
      </w:r>
      <w:r>
        <w:rPr>
          <w:noProof/>
        </w:rPr>
      </w:r>
      <w:r>
        <w:rPr>
          <w:noProof/>
        </w:rPr>
        <w:fldChar w:fldCharType="separate"/>
      </w:r>
      <w:r w:rsidR="00CA58A1">
        <w:rPr>
          <w:noProof/>
        </w:rPr>
        <w:t>15</w:t>
      </w:r>
      <w:r>
        <w:rPr>
          <w:noProof/>
        </w:rPr>
        <w:fldChar w:fldCharType="end"/>
      </w:r>
    </w:p>
    <w:p w14:paraId="402A8D5A"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_Toc79416775 \h </w:instrText>
      </w:r>
      <w:r>
        <w:rPr>
          <w:noProof/>
        </w:rPr>
      </w:r>
      <w:r>
        <w:rPr>
          <w:noProof/>
        </w:rPr>
        <w:fldChar w:fldCharType="separate"/>
      </w:r>
      <w:r w:rsidR="00CA58A1">
        <w:rPr>
          <w:noProof/>
        </w:rPr>
        <w:t>15</w:t>
      </w:r>
      <w:r>
        <w:rPr>
          <w:noProof/>
        </w:rPr>
        <w:fldChar w:fldCharType="end"/>
      </w:r>
    </w:p>
    <w:p w14:paraId="3B7D9587"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_Toc79416776 \h </w:instrText>
      </w:r>
      <w:r>
        <w:rPr>
          <w:noProof/>
        </w:rPr>
      </w:r>
      <w:r>
        <w:rPr>
          <w:noProof/>
        </w:rPr>
        <w:fldChar w:fldCharType="separate"/>
      </w:r>
      <w:r w:rsidR="00CA58A1">
        <w:rPr>
          <w:noProof/>
        </w:rPr>
        <w:t>15</w:t>
      </w:r>
      <w:r>
        <w:rPr>
          <w:noProof/>
        </w:rPr>
        <w:fldChar w:fldCharType="end"/>
      </w:r>
    </w:p>
    <w:p w14:paraId="5BDE4218"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_Toc79416777 \h </w:instrText>
      </w:r>
      <w:r>
        <w:rPr>
          <w:noProof/>
        </w:rPr>
      </w:r>
      <w:r>
        <w:rPr>
          <w:noProof/>
        </w:rPr>
        <w:fldChar w:fldCharType="separate"/>
      </w:r>
      <w:r w:rsidR="00CA58A1">
        <w:rPr>
          <w:noProof/>
        </w:rPr>
        <w:t>16</w:t>
      </w:r>
      <w:r>
        <w:rPr>
          <w:noProof/>
        </w:rPr>
        <w:fldChar w:fldCharType="end"/>
      </w:r>
    </w:p>
    <w:p w14:paraId="789A7BB1"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_Toc79416778 \h </w:instrText>
      </w:r>
      <w:r>
        <w:rPr>
          <w:noProof/>
        </w:rPr>
      </w:r>
      <w:r>
        <w:rPr>
          <w:noProof/>
        </w:rPr>
        <w:fldChar w:fldCharType="separate"/>
      </w:r>
      <w:r w:rsidR="00CA58A1">
        <w:rPr>
          <w:noProof/>
        </w:rPr>
        <w:t>16</w:t>
      </w:r>
      <w:r>
        <w:rPr>
          <w:noProof/>
        </w:rPr>
        <w:fldChar w:fldCharType="end"/>
      </w:r>
    </w:p>
    <w:p w14:paraId="5988217F"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_Toc79416779 \h </w:instrText>
      </w:r>
      <w:r>
        <w:rPr>
          <w:noProof/>
        </w:rPr>
      </w:r>
      <w:r>
        <w:rPr>
          <w:noProof/>
        </w:rPr>
        <w:fldChar w:fldCharType="separate"/>
      </w:r>
      <w:r w:rsidR="00CA58A1">
        <w:rPr>
          <w:noProof/>
        </w:rPr>
        <w:t>16</w:t>
      </w:r>
      <w:r>
        <w:rPr>
          <w:noProof/>
        </w:rPr>
        <w:fldChar w:fldCharType="end"/>
      </w:r>
    </w:p>
    <w:p w14:paraId="5679EA10"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_Toc79416780 \h </w:instrText>
      </w:r>
      <w:r>
        <w:rPr>
          <w:noProof/>
        </w:rPr>
      </w:r>
      <w:r>
        <w:rPr>
          <w:noProof/>
        </w:rPr>
        <w:fldChar w:fldCharType="separate"/>
      </w:r>
      <w:r w:rsidR="00CA58A1">
        <w:rPr>
          <w:noProof/>
        </w:rPr>
        <w:t>16</w:t>
      </w:r>
      <w:r>
        <w:rPr>
          <w:noProof/>
        </w:rPr>
        <w:fldChar w:fldCharType="end"/>
      </w:r>
    </w:p>
    <w:p w14:paraId="1E155B5B"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_Toc79416781 \h </w:instrText>
      </w:r>
      <w:r>
        <w:rPr>
          <w:noProof/>
        </w:rPr>
      </w:r>
      <w:r>
        <w:rPr>
          <w:noProof/>
        </w:rPr>
        <w:fldChar w:fldCharType="separate"/>
      </w:r>
      <w:r w:rsidR="00CA58A1">
        <w:rPr>
          <w:noProof/>
        </w:rPr>
        <w:t>17</w:t>
      </w:r>
      <w:r>
        <w:rPr>
          <w:noProof/>
        </w:rPr>
        <w:fldChar w:fldCharType="end"/>
      </w:r>
    </w:p>
    <w:p w14:paraId="345E68FB" w14:textId="77777777" w:rsidR="0018533B" w:rsidRDefault="0018533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_Toc79416782 \h </w:instrText>
      </w:r>
      <w:r>
        <w:fldChar w:fldCharType="separate"/>
      </w:r>
      <w:r w:rsidR="00CA58A1">
        <w:t>17</w:t>
      </w:r>
      <w:r>
        <w:fldChar w:fldCharType="end"/>
      </w:r>
    </w:p>
    <w:p w14:paraId="24EE447F" w14:textId="77777777" w:rsidR="0018533B" w:rsidRDefault="0018533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_Toc79416783 \h </w:instrText>
      </w:r>
      <w:r>
        <w:fldChar w:fldCharType="separate"/>
      </w:r>
      <w:r w:rsidR="00CA58A1">
        <w:t>17</w:t>
      </w:r>
      <w:r>
        <w:fldChar w:fldCharType="end"/>
      </w:r>
    </w:p>
    <w:p w14:paraId="63C67169" w14:textId="77777777" w:rsidR="0018533B" w:rsidRDefault="0018533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_Toc79416784 \h </w:instrText>
      </w:r>
      <w:r>
        <w:fldChar w:fldCharType="separate"/>
      </w:r>
      <w:r w:rsidR="00CA58A1">
        <w:t>17</w:t>
      </w:r>
      <w:r>
        <w:fldChar w:fldCharType="end"/>
      </w:r>
    </w:p>
    <w:p w14:paraId="4EF9A89A" w14:textId="77777777" w:rsidR="0018533B" w:rsidRDefault="0018533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_Toc79416785 \h </w:instrText>
      </w:r>
      <w:r>
        <w:fldChar w:fldCharType="separate"/>
      </w:r>
      <w:r w:rsidR="00CA58A1">
        <w:t>18</w:t>
      </w:r>
      <w:r>
        <w:fldChar w:fldCharType="end"/>
      </w:r>
    </w:p>
    <w:p w14:paraId="5AC60585" w14:textId="77777777" w:rsidR="0018533B" w:rsidRDefault="0018533B">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_Toc79416786 \h </w:instrText>
      </w:r>
      <w:r>
        <w:rPr>
          <w:noProof/>
        </w:rPr>
      </w:r>
      <w:r>
        <w:rPr>
          <w:noProof/>
        </w:rPr>
        <w:fldChar w:fldCharType="separate"/>
      </w:r>
      <w:r w:rsidR="00CA58A1">
        <w:rPr>
          <w:noProof/>
        </w:rPr>
        <w:t>18</w:t>
      </w:r>
      <w:r>
        <w:rPr>
          <w:noProof/>
        </w:rPr>
        <w:fldChar w:fldCharType="end"/>
      </w:r>
    </w:p>
    <w:p w14:paraId="79CE9688" w14:textId="77777777" w:rsidR="0018533B" w:rsidRDefault="0018533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_Toc79416787 \h </w:instrText>
      </w:r>
      <w:r>
        <w:rPr>
          <w:noProof/>
        </w:rPr>
      </w:r>
      <w:r>
        <w:rPr>
          <w:noProof/>
        </w:rPr>
        <w:fldChar w:fldCharType="separate"/>
      </w:r>
      <w:r w:rsidR="00CA58A1">
        <w:rPr>
          <w:noProof/>
        </w:rPr>
        <w:t>19</w:t>
      </w:r>
      <w:r>
        <w:rPr>
          <w:noProof/>
        </w:rPr>
        <w:fldChar w:fldCharType="end"/>
      </w:r>
    </w:p>
    <w:p w14:paraId="0571C9BC" w14:textId="77777777" w:rsidR="0018533B" w:rsidRDefault="0018533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_Toc79416788 \h </w:instrText>
      </w:r>
      <w:r>
        <w:rPr>
          <w:noProof/>
        </w:rPr>
      </w:r>
      <w:r>
        <w:rPr>
          <w:noProof/>
        </w:rPr>
        <w:fldChar w:fldCharType="separate"/>
      </w:r>
      <w:r w:rsidR="00CA58A1">
        <w:rPr>
          <w:noProof/>
        </w:rPr>
        <w:t>21</w:t>
      </w:r>
      <w:r>
        <w:rPr>
          <w:noProof/>
        </w:rPr>
        <w:fldChar w:fldCharType="end"/>
      </w:r>
    </w:p>
    <w:p w14:paraId="7954DB2E" w14:textId="77777777" w:rsidR="0018533B" w:rsidRDefault="0018533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_Toc79416789 \h </w:instrText>
      </w:r>
      <w:r>
        <w:rPr>
          <w:noProof/>
        </w:rPr>
      </w:r>
      <w:r>
        <w:rPr>
          <w:noProof/>
        </w:rPr>
        <w:fldChar w:fldCharType="separate"/>
      </w:r>
      <w:r w:rsidR="00CA58A1">
        <w:rPr>
          <w:noProof/>
        </w:rPr>
        <w:t>21</w:t>
      </w:r>
      <w:r>
        <w:rPr>
          <w:noProof/>
        </w:rPr>
        <w:fldChar w:fldCharType="end"/>
      </w:r>
    </w:p>
    <w:p w14:paraId="47696228" w14:textId="77777777" w:rsidR="0018533B" w:rsidRDefault="0018533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_Toc79416790 \h </w:instrText>
      </w:r>
      <w:r>
        <w:rPr>
          <w:noProof/>
        </w:rPr>
      </w:r>
      <w:r>
        <w:rPr>
          <w:noProof/>
        </w:rPr>
        <w:fldChar w:fldCharType="separate"/>
      </w:r>
      <w:r w:rsidR="00CA58A1">
        <w:rPr>
          <w:noProof/>
        </w:rPr>
        <w:t>21</w:t>
      </w:r>
      <w:r>
        <w:rPr>
          <w:noProof/>
        </w:rPr>
        <w:fldChar w:fldCharType="end"/>
      </w:r>
    </w:p>
    <w:p w14:paraId="30E7687B" w14:textId="77777777" w:rsidR="0018533B" w:rsidRDefault="0018533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_Toc79416791 \h </w:instrText>
      </w:r>
      <w:r>
        <w:rPr>
          <w:noProof/>
        </w:rPr>
      </w:r>
      <w:r>
        <w:rPr>
          <w:noProof/>
        </w:rPr>
        <w:fldChar w:fldCharType="separate"/>
      </w:r>
      <w:r w:rsidR="00CA58A1">
        <w:rPr>
          <w:noProof/>
        </w:rPr>
        <w:t>22</w:t>
      </w:r>
      <w:r>
        <w:rPr>
          <w:noProof/>
        </w:rPr>
        <w:fldChar w:fldCharType="end"/>
      </w:r>
    </w:p>
    <w:p w14:paraId="38A00941" w14:textId="77777777" w:rsidR="0018533B" w:rsidRDefault="0018533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_Toc79416792 \h </w:instrText>
      </w:r>
      <w:r>
        <w:rPr>
          <w:noProof/>
        </w:rPr>
      </w:r>
      <w:r>
        <w:rPr>
          <w:noProof/>
        </w:rPr>
        <w:fldChar w:fldCharType="separate"/>
      </w:r>
      <w:r w:rsidR="00CA58A1">
        <w:rPr>
          <w:noProof/>
        </w:rPr>
        <w:t>22</w:t>
      </w:r>
      <w:r>
        <w:rPr>
          <w:noProof/>
        </w:rPr>
        <w:fldChar w:fldCharType="end"/>
      </w:r>
    </w:p>
    <w:p w14:paraId="6E8FE2E5" w14:textId="77777777" w:rsidR="0018533B" w:rsidRDefault="0018533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_Toc79416793 \h </w:instrText>
      </w:r>
      <w:r>
        <w:rPr>
          <w:noProof/>
        </w:rPr>
      </w:r>
      <w:r>
        <w:rPr>
          <w:noProof/>
        </w:rPr>
        <w:fldChar w:fldCharType="separate"/>
      </w:r>
      <w:r w:rsidR="00CA58A1">
        <w:rPr>
          <w:noProof/>
        </w:rPr>
        <w:t>23</w:t>
      </w:r>
      <w:r>
        <w:rPr>
          <w:noProof/>
        </w:rPr>
        <w:fldChar w:fldCharType="end"/>
      </w:r>
    </w:p>
    <w:p w14:paraId="210054B1" w14:textId="77777777" w:rsidR="0018533B" w:rsidRDefault="0018533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_Toc79416794 \h </w:instrText>
      </w:r>
      <w:r>
        <w:rPr>
          <w:noProof/>
        </w:rPr>
      </w:r>
      <w:r>
        <w:rPr>
          <w:noProof/>
        </w:rPr>
        <w:fldChar w:fldCharType="separate"/>
      </w:r>
      <w:r w:rsidR="00CA58A1">
        <w:rPr>
          <w:noProof/>
        </w:rPr>
        <w:t>23</w:t>
      </w:r>
      <w:r>
        <w:rPr>
          <w:noProof/>
        </w:rPr>
        <w:fldChar w:fldCharType="end"/>
      </w:r>
    </w:p>
    <w:p w14:paraId="24BDDA8D" w14:textId="77777777" w:rsidR="0018533B" w:rsidRDefault="0018533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_Toc79416795 \h </w:instrText>
      </w:r>
      <w:r>
        <w:rPr>
          <w:noProof/>
        </w:rPr>
      </w:r>
      <w:r>
        <w:rPr>
          <w:noProof/>
        </w:rPr>
        <w:fldChar w:fldCharType="separate"/>
      </w:r>
      <w:r w:rsidR="00CA58A1">
        <w:rPr>
          <w:noProof/>
        </w:rPr>
        <w:t>24</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30277DDF" w:rsidR="00CE6D9D" w:rsidRPr="00F40BDA" w:rsidRDefault="001353E7" w:rsidP="0085224B">
      <w:pPr>
        <w:pStyle w:val="Heading2"/>
      </w:pPr>
      <w:bookmarkStart w:id="4" w:name="_Toc496536648"/>
      <w:bookmarkStart w:id="5" w:name="_Toc531277475"/>
      <w:bookmarkStart w:id="6" w:name="_Toc955285"/>
      <w:bookmarkStart w:id="7" w:name="_Toc79416736"/>
      <w:r>
        <w:lastRenderedPageBreak/>
        <w:t xml:space="preserve">Boosting the Next Generation of Women in STEM </w:t>
      </w:r>
      <w:r w:rsidR="00F7040C">
        <w:t>p</w:t>
      </w:r>
      <w:r w:rsidR="00CE6D9D">
        <w:t>rocess</w:t>
      </w:r>
      <w:r w:rsidR="009F5A19">
        <w:t>es</w:t>
      </w:r>
      <w:bookmarkEnd w:id="4"/>
      <w:bookmarkEnd w:id="5"/>
      <w:bookmarkEnd w:id="6"/>
      <w:bookmarkEnd w:id="7"/>
    </w:p>
    <w:p w14:paraId="405CDFBB" w14:textId="63E926C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90985">
        <w:rPr>
          <w:b/>
        </w:rPr>
        <w:t xml:space="preserve">The </w:t>
      </w:r>
      <w:r w:rsidR="001353E7" w:rsidRPr="00690985">
        <w:rPr>
          <w:b/>
        </w:rPr>
        <w:t xml:space="preserve">Boosting the Next Generation of Women in STEM </w:t>
      </w:r>
      <w:r w:rsidR="00890AB9">
        <w:rPr>
          <w:b/>
        </w:rPr>
        <w:t xml:space="preserve">program </w:t>
      </w:r>
      <w:proofErr w:type="gramStart"/>
      <w:r w:rsidRPr="00690985">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49D8B4F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1353E7">
        <w:t xml:space="preserve">the </w:t>
      </w:r>
      <w:r w:rsidR="001D1F8C">
        <w:t>D</w:t>
      </w:r>
      <w:r w:rsidR="001353E7">
        <w:t>epartment of Industry, Science, Energy and Resources’ (the department)</w:t>
      </w:r>
      <w:r w:rsidR="00586FAD" w:rsidRPr="00DA7C12">
        <w:t xml:space="preserve"> Outcome 1: Enabling growth and productivity for globally competitive industries through supporting science and commercialisation, growing business investment and improving business capability and streamlining regulation.</w:t>
      </w:r>
      <w:r w:rsidR="00586FAD" w:rsidRPr="006A5358">
        <w:rPr>
          <w:sz w:val="19"/>
          <w:szCs w:val="19"/>
        </w:rPr>
        <w:t xml:space="preserve"> </w:t>
      </w:r>
      <w:r w:rsidRPr="00F40BDA">
        <w:t xml:space="preserve">The </w:t>
      </w:r>
      <w:r w:rsidR="001353E7">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60282C">
      <w:pPr>
        <w:pBdr>
          <w:top w:val="single" w:sz="2" w:space="1" w:color="808080" w:themeColor="background1" w:themeShade="80"/>
          <w:left w:val="single" w:sz="2" w:space="4" w:color="808080" w:themeColor="background1" w:themeShade="80"/>
          <w:bottom w:val="single" w:sz="2" w:space="2"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4998F12B" w:rsidR="00030E0C" w:rsidRPr="005A61FE" w:rsidRDefault="00030E0C" w:rsidP="0060282C">
      <w:pPr>
        <w:pBdr>
          <w:top w:val="single" w:sz="2" w:space="1" w:color="808080" w:themeColor="background1" w:themeShade="80"/>
          <w:left w:val="single" w:sz="2" w:space="4" w:color="808080" w:themeColor="background1" w:themeShade="80"/>
          <w:bottom w:val="single" w:sz="2" w:space="2"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D61B9C">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0CECA71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w:t>
      </w:r>
      <w:r w:rsidR="00BA2862">
        <w:t xml:space="preserve">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C9846C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w:t>
      </w:r>
      <w:r w:rsidR="001B7E83">
        <w:rPr>
          <w:bCs/>
        </w:rPr>
        <w:t>ut in your grant agreement. We</w:t>
      </w:r>
      <w:r w:rsidRPr="00C659C4">
        <w:rPr>
          <w:bCs/>
        </w:rPr>
        <w:t xml:space="preserv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7BABD5A5"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D61B9C">
        <w:rPr>
          <w:b/>
        </w:rPr>
        <w:t xml:space="preserve"> of the </w:t>
      </w:r>
      <w:r w:rsidR="00D61B9C" w:rsidRPr="00D61B9C">
        <w:rPr>
          <w:b/>
        </w:rPr>
        <w:t>Boosting the Next Generation of Women in STEM</w:t>
      </w:r>
      <w:r w:rsidR="00890AB9">
        <w:rPr>
          <w:b/>
        </w:rPr>
        <w:t xml:space="preserve"> program</w:t>
      </w:r>
    </w:p>
    <w:p w14:paraId="3BA8A0DE" w14:textId="51BC902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D61B9C">
        <w:t xml:space="preserve">he specific grant activity and </w:t>
      </w:r>
      <w:r w:rsidRPr="00C659C4">
        <w:t>program</w:t>
      </w:r>
      <w:r w:rsidR="00686047">
        <w:t xml:space="preserve"> </w:t>
      </w:r>
      <w:r w:rsidRPr="00C659C4">
        <w:t>as a whole. We base this on information you provide to us and that we collect from various sources.</w:t>
      </w:r>
      <w:r w:rsidRPr="00F40BDA">
        <w:t xml:space="preserve"> </w:t>
      </w:r>
    </w:p>
    <w:p w14:paraId="646402A1" w14:textId="229B0A91" w:rsidR="00686047" w:rsidRPr="000553F2" w:rsidRDefault="00686047" w:rsidP="0085224B">
      <w:pPr>
        <w:pStyle w:val="Heading2"/>
      </w:pPr>
      <w:bookmarkStart w:id="8" w:name="_Toc496536649"/>
      <w:bookmarkStart w:id="9" w:name="_Toc531277476"/>
      <w:bookmarkStart w:id="10" w:name="_Toc955286"/>
      <w:bookmarkStart w:id="11" w:name="_Toc79416737"/>
      <w:r>
        <w:lastRenderedPageBreak/>
        <w:t>About the grant program</w:t>
      </w:r>
      <w:bookmarkEnd w:id="8"/>
      <w:bookmarkEnd w:id="9"/>
      <w:bookmarkEnd w:id="10"/>
      <w:bookmarkEnd w:id="11"/>
    </w:p>
    <w:p w14:paraId="12896D57" w14:textId="6444BE83" w:rsidR="001353E7" w:rsidRDefault="001353E7" w:rsidP="00686047">
      <w:r>
        <w:t xml:space="preserve">The </w:t>
      </w:r>
      <w:r w:rsidRPr="001353E7">
        <w:t xml:space="preserve">Boosting the Next Generation of Women in STEM </w:t>
      </w:r>
      <w:r>
        <w:t xml:space="preserve">(the program) will run over </w:t>
      </w:r>
      <w:r w:rsidR="00B1501A">
        <w:t>7</w:t>
      </w:r>
      <w:r>
        <w:t xml:space="preserve"> </w:t>
      </w:r>
      <w:r w:rsidR="00686047">
        <w:t xml:space="preserve">years from </w:t>
      </w:r>
      <w:r>
        <w:t>2021-22 to 2027-28</w:t>
      </w:r>
      <w:r w:rsidR="00C638D1">
        <w:t xml:space="preserve">. </w:t>
      </w:r>
      <w:r>
        <w:t>Under this program</w:t>
      </w:r>
      <w:r w:rsidR="00BD3A71">
        <w:t>,</w:t>
      </w:r>
      <w:r w:rsidR="00367CD3">
        <w:t xml:space="preserve"> we will </w:t>
      </w:r>
      <w:r w:rsidR="00BD3A71">
        <w:t xml:space="preserve">fund </w:t>
      </w:r>
      <w:r w:rsidR="00BD3A71" w:rsidRPr="00552EDD">
        <w:rPr>
          <w:b/>
        </w:rPr>
        <w:t>one delivery partner</w:t>
      </w:r>
      <w:r w:rsidR="00BD3A71">
        <w:t xml:space="preserve"> to </w:t>
      </w:r>
      <w:r w:rsidR="00367CD3">
        <w:t>offer</w:t>
      </w:r>
      <w:r>
        <w:t xml:space="preserve"> up to 500</w:t>
      </w:r>
      <w:r w:rsidRPr="001353E7">
        <w:t xml:space="preserve"> </w:t>
      </w:r>
      <w:r w:rsidR="00890AB9">
        <w:t xml:space="preserve">university </w:t>
      </w:r>
      <w:r w:rsidRPr="001353E7">
        <w:t xml:space="preserve">scholarships </w:t>
      </w:r>
      <w:r>
        <w:t xml:space="preserve">to </w:t>
      </w:r>
      <w:r w:rsidRPr="001353E7">
        <w:t>women who are re-training, seeking higher qualifications, or undertaking study after a break from either study or the workforce.</w:t>
      </w:r>
    </w:p>
    <w:p w14:paraId="1343FCD7" w14:textId="02FB545E" w:rsidR="00A46DAF" w:rsidRDefault="00A46DAF" w:rsidP="00A46DAF">
      <w:pPr>
        <w:pStyle w:val="ListBullet"/>
        <w:numPr>
          <w:ilvl w:val="0"/>
          <w:numId w:val="0"/>
        </w:numPr>
      </w:pPr>
      <w:r>
        <w:t>The objectives of the program are to:</w:t>
      </w:r>
    </w:p>
    <w:p w14:paraId="10820E32" w14:textId="63D0D8B5" w:rsidR="00A46DAF" w:rsidRPr="00BF4D9F" w:rsidRDefault="00A46DAF" w:rsidP="00A46DAF">
      <w:pPr>
        <w:pStyle w:val="ListBullet"/>
      </w:pPr>
      <w:r>
        <w:t>i</w:t>
      </w:r>
      <w:r w:rsidRPr="00BF4D9F">
        <w:t xml:space="preserve">ncrease participation </w:t>
      </w:r>
      <w:r>
        <w:t xml:space="preserve">of women in STEM </w:t>
      </w:r>
      <w:r w:rsidR="00890AB9">
        <w:t xml:space="preserve">tertiary </w:t>
      </w:r>
      <w:r>
        <w:t xml:space="preserve">education to increase re-training, seeking higher qualifications, or undertaking study (either for the first time, or to extend and broaden their qualifications) </w:t>
      </w:r>
    </w:p>
    <w:p w14:paraId="4555C0DA" w14:textId="7314115E" w:rsidR="00A46DAF" w:rsidRDefault="00A46DAF" w:rsidP="00A54025">
      <w:pPr>
        <w:pStyle w:val="ListBullet"/>
      </w:pPr>
      <w:r>
        <w:t xml:space="preserve">support women to build the crossing-cutting and </w:t>
      </w:r>
      <w:proofErr w:type="spellStart"/>
      <w:r>
        <w:t>multi-disciplinary</w:t>
      </w:r>
      <w:proofErr w:type="spellEnd"/>
      <w:r>
        <w:t xml:space="preserve"> skillsets sought by industry to foster the next wave of mentors and role-models, and support re-entry into the workforce </w:t>
      </w:r>
    </w:p>
    <w:p w14:paraId="7880DF16" w14:textId="05D4481C" w:rsidR="00A46DAF" w:rsidRPr="002A311B" w:rsidRDefault="00A46DAF" w:rsidP="00A54025">
      <w:pPr>
        <w:pStyle w:val="ListBullet"/>
      </w:pPr>
      <w:proofErr w:type="gramStart"/>
      <w:r>
        <w:t>s</w:t>
      </w:r>
      <w:r w:rsidRPr="00BF4D9F">
        <w:t>timulate</w:t>
      </w:r>
      <w:proofErr w:type="gramEnd"/>
      <w:r w:rsidRPr="00BF4D9F">
        <w:t xml:space="preserve"> an increase in the number of women in senior leadership and decision making positions in government, research organisations, industry and businesses. </w:t>
      </w:r>
    </w:p>
    <w:p w14:paraId="66DAE91F" w14:textId="3D357EB8" w:rsidR="00686047" w:rsidRDefault="00686047" w:rsidP="005F2A4B">
      <w:pPr>
        <w:spacing w:after="80"/>
      </w:pPr>
      <w:r>
        <w:t>The inten</w:t>
      </w:r>
      <w:r w:rsidR="008C6462">
        <w:t>ded outcomes of the program are</w:t>
      </w:r>
      <w:r w:rsidR="000677D4">
        <w:t xml:space="preserve"> to</w:t>
      </w:r>
      <w:r w:rsidR="00983E4A">
        <w:t>:</w:t>
      </w:r>
    </w:p>
    <w:p w14:paraId="437327AE" w14:textId="09649158" w:rsidR="00E4581B" w:rsidRDefault="00E4581B" w:rsidP="002A311B">
      <w:pPr>
        <w:pStyle w:val="ListBullet"/>
      </w:pPr>
      <w:r>
        <w:t>increase representation</w:t>
      </w:r>
      <w:r w:rsidR="005F4B86">
        <w:t xml:space="preserve"> of women</w:t>
      </w:r>
      <w:r>
        <w:t xml:space="preserve"> in </w:t>
      </w:r>
      <w:r w:rsidR="00BB6314">
        <w:t xml:space="preserve">the </w:t>
      </w:r>
      <w:r w:rsidR="00890AB9">
        <w:t xml:space="preserve">STEM </w:t>
      </w:r>
      <w:r w:rsidR="00BB6314">
        <w:t>workforce</w:t>
      </w:r>
    </w:p>
    <w:p w14:paraId="1746A70C" w14:textId="0D1EBD4B" w:rsidR="002A311B" w:rsidRDefault="002A311B" w:rsidP="002A311B">
      <w:pPr>
        <w:pStyle w:val="ListBullet"/>
      </w:pPr>
      <w:proofErr w:type="gramStart"/>
      <w:r w:rsidRPr="00FF10CF">
        <w:t>develop</w:t>
      </w:r>
      <w:proofErr w:type="gramEnd"/>
      <w:r w:rsidRPr="00FF10CF">
        <w:t xml:space="preserve"> deeper and new connections and collaborations between researchers, industry and students, on industry-relevant problems</w:t>
      </w:r>
      <w:r w:rsidR="00953FF9">
        <w:t>.</w:t>
      </w:r>
    </w:p>
    <w:p w14:paraId="47FF555D" w14:textId="6003BCAD" w:rsidR="00953FF9" w:rsidRDefault="00953FF9" w:rsidP="00953FF9">
      <w:pPr>
        <w:spacing w:after="80"/>
      </w:pPr>
      <w:r>
        <w:t>We will work with the successful applicant to:</w:t>
      </w:r>
    </w:p>
    <w:p w14:paraId="297AB5F1" w14:textId="2142F5F7" w:rsidR="00953FF9" w:rsidRDefault="00953FF9" w:rsidP="00953FF9">
      <w:pPr>
        <w:pStyle w:val="ListBullet"/>
      </w:pPr>
      <w:r>
        <w:t xml:space="preserve">co-design a program aimed at awarding </w:t>
      </w:r>
      <w:r w:rsidR="00890AB9">
        <w:t xml:space="preserve">university </w:t>
      </w:r>
      <w:r>
        <w:t xml:space="preserve">scholarships to eligible </w:t>
      </w:r>
      <w:r w:rsidR="005F4B86">
        <w:t>women</w:t>
      </w:r>
    </w:p>
    <w:p w14:paraId="63A29A44" w14:textId="7F6C66C1" w:rsidR="00953FF9" w:rsidRPr="00A54025" w:rsidRDefault="00953FF9" w:rsidP="00953FF9">
      <w:pPr>
        <w:pStyle w:val="ListBullet"/>
      </w:pPr>
      <w:r w:rsidRPr="00A54025">
        <w:t xml:space="preserve">identify sectoral focus areas based on fields of STEM with the highest potential to support future growth industries and future areas of jobs growth </w:t>
      </w:r>
    </w:p>
    <w:p w14:paraId="700519FD" w14:textId="7CAEF7DF" w:rsidR="00953FF9" w:rsidRPr="00A54025" w:rsidRDefault="00953FF9" w:rsidP="00953FF9">
      <w:pPr>
        <w:pStyle w:val="ListBullet"/>
      </w:pPr>
      <w:proofErr w:type="gramStart"/>
      <w:r w:rsidRPr="00A54025">
        <w:t>invite</w:t>
      </w:r>
      <w:proofErr w:type="gramEnd"/>
      <w:r w:rsidRPr="00A54025">
        <w:t xml:space="preserve"> university and business applicants to nominate collaborative industry projects in priority areas. </w:t>
      </w:r>
    </w:p>
    <w:p w14:paraId="0A3AEA84" w14:textId="2BD3F7F7" w:rsidR="00686047" w:rsidRPr="000F576B" w:rsidRDefault="00686047" w:rsidP="00686047">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5429BCB6"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B7E83">
        <w:t>.</w:t>
      </w:r>
      <w:r w:rsidR="001E42D1">
        <w:t xml:space="preserve"> </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CA58A1">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85224B">
      <w:pPr>
        <w:pStyle w:val="Heading2"/>
      </w:pPr>
      <w:bookmarkStart w:id="12" w:name="_Toc496536651"/>
      <w:bookmarkStart w:id="13" w:name="_Toc531277478"/>
      <w:bookmarkStart w:id="14" w:name="_Toc955288"/>
      <w:bookmarkStart w:id="15" w:name="_Toc79416738"/>
      <w:bookmarkStart w:id="16" w:name="_Toc164844263"/>
      <w:bookmarkStart w:id="17" w:name="_Toc383003256"/>
      <w:bookmarkEnd w:id="3"/>
      <w:r>
        <w:t xml:space="preserve">Grant </w:t>
      </w:r>
      <w:r w:rsidR="00D26B94">
        <w:t>amount</w:t>
      </w:r>
      <w:r w:rsidR="00A439FB">
        <w:t xml:space="preserve"> and </w:t>
      </w:r>
      <w:r>
        <w:t xml:space="preserve">grant </w:t>
      </w:r>
      <w:r w:rsidR="00A439FB">
        <w:t>period</w:t>
      </w:r>
      <w:bookmarkEnd w:id="12"/>
      <w:bookmarkEnd w:id="13"/>
      <w:bookmarkEnd w:id="14"/>
      <w:bookmarkEnd w:id="15"/>
    </w:p>
    <w:p w14:paraId="5D12B6BA" w14:textId="1B877C94" w:rsidR="004A168F" w:rsidRDefault="004A168F" w:rsidP="004A168F">
      <w:r>
        <w:t>The Australian Government</w:t>
      </w:r>
      <w:r w:rsidR="009463A0">
        <w:t xml:space="preserve"> has </w:t>
      </w:r>
      <w:r w:rsidR="008B328B">
        <w:t xml:space="preserve">committed </w:t>
      </w:r>
      <w:r w:rsidR="009463A0">
        <w:t>a total of $4</w:t>
      </w:r>
      <w:r w:rsidR="002339EB">
        <w:t>1</w:t>
      </w:r>
      <w:r w:rsidR="009463A0">
        <w:t>.</w:t>
      </w:r>
      <w:r w:rsidR="002339EB">
        <w:t>2</w:t>
      </w:r>
      <w:r w:rsidR="009463A0">
        <w:t xml:space="preserve"> million over </w:t>
      </w:r>
      <w:r w:rsidR="00B1501A">
        <w:t>7</w:t>
      </w:r>
      <w:r w:rsidR="009463A0">
        <w:t xml:space="preserve"> </w:t>
      </w:r>
      <w:r>
        <w:t>years for</w:t>
      </w:r>
      <w:r w:rsidR="001844D5">
        <w:t xml:space="preserve"> the pr</w:t>
      </w:r>
      <w:r>
        <w:t>ogram.</w:t>
      </w:r>
      <w:r w:rsidR="009463A0">
        <w:t xml:space="preserve"> </w:t>
      </w:r>
      <w:r>
        <w:t xml:space="preserve"> </w:t>
      </w:r>
    </w:p>
    <w:p w14:paraId="25F6521D" w14:textId="4196D699" w:rsidR="00A04E7B" w:rsidRDefault="00A04E7B" w:rsidP="0085224B">
      <w:pPr>
        <w:pStyle w:val="Heading3"/>
      </w:pPr>
      <w:bookmarkStart w:id="18" w:name="_Toc496536652"/>
      <w:bookmarkStart w:id="19" w:name="_Toc531277479"/>
      <w:bookmarkStart w:id="20" w:name="_Toc955289"/>
      <w:bookmarkStart w:id="21" w:name="_Toc79416739"/>
      <w:r>
        <w:lastRenderedPageBreak/>
        <w:t>Grants available</w:t>
      </w:r>
      <w:bookmarkEnd w:id="18"/>
      <w:bookmarkEnd w:id="19"/>
      <w:bookmarkEnd w:id="20"/>
      <w:bookmarkEnd w:id="21"/>
    </w:p>
    <w:p w14:paraId="25F65220" w14:textId="3A15200E" w:rsidR="00A04E7B" w:rsidRDefault="00712F06" w:rsidP="005242BA">
      <w:r w:rsidRPr="006F4968">
        <w:t xml:space="preserve">The grant </w:t>
      </w:r>
      <w:r w:rsidR="00D26B94" w:rsidRPr="00C638D1">
        <w:t xml:space="preserve">amount </w:t>
      </w:r>
      <w:r w:rsidRPr="00C638D1">
        <w:t>will be up</w:t>
      </w:r>
      <w:r w:rsidRPr="006F4968">
        <w:t xml:space="preserve"> to </w:t>
      </w:r>
      <w:r w:rsidR="009463A0">
        <w:t xml:space="preserve">100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1F2503A8" w14:textId="76BCB3A5" w:rsidR="00DA7C12" w:rsidRDefault="00B46107" w:rsidP="005242BA">
      <w:r>
        <w:t xml:space="preserve">We will award one grant up to </w:t>
      </w:r>
      <w:r w:rsidR="00A062D4">
        <w:t xml:space="preserve">a </w:t>
      </w:r>
      <w:r w:rsidR="00A46DAF" w:rsidRPr="00E82E41">
        <w:t xml:space="preserve">maximum </w:t>
      </w:r>
      <w:r w:rsidRPr="00E82E41">
        <w:t>of</w:t>
      </w:r>
      <w:r w:rsidR="00A46DAF" w:rsidRPr="00E82E41">
        <w:t xml:space="preserve"> $</w:t>
      </w:r>
      <w:r w:rsidR="002339EB" w:rsidRPr="00CB431C">
        <w:t>41.2</w:t>
      </w:r>
      <w:r w:rsidR="00A46DAF" w:rsidRPr="00E82E41">
        <w:t xml:space="preserve"> million</w:t>
      </w:r>
      <w:r w:rsidR="00A46DAF">
        <w:t xml:space="preserve">. </w:t>
      </w:r>
      <w:r w:rsidR="00DA7C12">
        <w:t xml:space="preserve">Funding </w:t>
      </w:r>
      <w:proofErr w:type="gramStart"/>
      <w:r w:rsidR="00DA7C12">
        <w:t xml:space="preserve">will </w:t>
      </w:r>
      <w:r w:rsidR="00597BEB">
        <w:t xml:space="preserve">be </w:t>
      </w:r>
      <w:r w:rsidR="00DA7C12">
        <w:t>awarded</w:t>
      </w:r>
      <w:proofErr w:type="gramEnd"/>
      <w:r w:rsidR="00DA7C12">
        <w:t xml:space="preserve"> in line with the schedule below.</w:t>
      </w:r>
    </w:p>
    <w:tbl>
      <w:tblPr>
        <w:tblStyle w:val="TableGrid"/>
        <w:tblW w:w="9498" w:type="dxa"/>
        <w:tblInd w:w="-147" w:type="dxa"/>
        <w:tblLook w:val="04A0" w:firstRow="1" w:lastRow="0" w:firstColumn="1" w:lastColumn="0" w:noHBand="0" w:noVBand="1"/>
        <w:tblDescription w:val="Grants available"/>
      </w:tblPr>
      <w:tblGrid>
        <w:gridCol w:w="1485"/>
        <w:gridCol w:w="1221"/>
        <w:gridCol w:w="1122"/>
        <w:gridCol w:w="1134"/>
        <w:gridCol w:w="1134"/>
        <w:gridCol w:w="1134"/>
        <w:gridCol w:w="1134"/>
        <w:gridCol w:w="1134"/>
      </w:tblGrid>
      <w:tr w:rsidR="004E3E15" w14:paraId="4E390A22" w14:textId="6CF5B15A" w:rsidTr="008E211E">
        <w:trPr>
          <w:tblHeader/>
        </w:trPr>
        <w:tc>
          <w:tcPr>
            <w:tcW w:w="1485" w:type="dxa"/>
          </w:tcPr>
          <w:p w14:paraId="1110E447" w14:textId="77777777" w:rsidR="004E3E15" w:rsidRDefault="004E3E15" w:rsidP="005242BA"/>
        </w:tc>
        <w:tc>
          <w:tcPr>
            <w:tcW w:w="1221" w:type="dxa"/>
          </w:tcPr>
          <w:p w14:paraId="1B64CD9B" w14:textId="0C396629" w:rsidR="004E3E15" w:rsidRDefault="004E3E15" w:rsidP="005242BA">
            <w:r>
              <w:t>2021-22</w:t>
            </w:r>
          </w:p>
        </w:tc>
        <w:tc>
          <w:tcPr>
            <w:tcW w:w="1122" w:type="dxa"/>
          </w:tcPr>
          <w:p w14:paraId="05306EA8" w14:textId="1E6DF3C5" w:rsidR="004E3E15" w:rsidRDefault="004E3E15" w:rsidP="005242BA">
            <w:r>
              <w:t>2022-23</w:t>
            </w:r>
          </w:p>
        </w:tc>
        <w:tc>
          <w:tcPr>
            <w:tcW w:w="1134" w:type="dxa"/>
          </w:tcPr>
          <w:p w14:paraId="2E11D11D" w14:textId="3F73EA7D" w:rsidR="004E3E15" w:rsidRDefault="004E3E15" w:rsidP="005242BA">
            <w:r>
              <w:t>2023-24</w:t>
            </w:r>
          </w:p>
        </w:tc>
        <w:tc>
          <w:tcPr>
            <w:tcW w:w="1134" w:type="dxa"/>
          </w:tcPr>
          <w:p w14:paraId="7C901435" w14:textId="4ADE00D8" w:rsidR="004E3E15" w:rsidRDefault="004E3E15" w:rsidP="005242BA">
            <w:r>
              <w:t>2024-25</w:t>
            </w:r>
          </w:p>
        </w:tc>
        <w:tc>
          <w:tcPr>
            <w:tcW w:w="1134" w:type="dxa"/>
          </w:tcPr>
          <w:p w14:paraId="3E642AD1" w14:textId="0F645959" w:rsidR="004E3E15" w:rsidRDefault="004E3E15" w:rsidP="005242BA">
            <w:r>
              <w:t>2025-26</w:t>
            </w:r>
          </w:p>
        </w:tc>
        <w:tc>
          <w:tcPr>
            <w:tcW w:w="1134" w:type="dxa"/>
          </w:tcPr>
          <w:p w14:paraId="23CB6D9E" w14:textId="7FC8C049" w:rsidR="004E3E15" w:rsidRDefault="004E3E15" w:rsidP="00A062D4">
            <w:r>
              <w:t>2026-27</w:t>
            </w:r>
          </w:p>
        </w:tc>
        <w:tc>
          <w:tcPr>
            <w:tcW w:w="1134" w:type="dxa"/>
          </w:tcPr>
          <w:p w14:paraId="28A1AD94" w14:textId="6E208BBA" w:rsidR="004E3E15" w:rsidRDefault="004E3E15" w:rsidP="00A062D4">
            <w:r>
              <w:t>2027-28</w:t>
            </w:r>
          </w:p>
        </w:tc>
      </w:tr>
      <w:tr w:rsidR="004E3E15" w14:paraId="57440FD5" w14:textId="473BDA56" w:rsidTr="008A46FE">
        <w:tc>
          <w:tcPr>
            <w:tcW w:w="1485" w:type="dxa"/>
          </w:tcPr>
          <w:p w14:paraId="05990CEE" w14:textId="5609F444" w:rsidR="004E3E15" w:rsidRDefault="004E3E15" w:rsidP="005242BA">
            <w:r>
              <w:t>Administration</w:t>
            </w:r>
          </w:p>
        </w:tc>
        <w:tc>
          <w:tcPr>
            <w:tcW w:w="1221" w:type="dxa"/>
          </w:tcPr>
          <w:p w14:paraId="7D469BFB" w14:textId="57702DC7" w:rsidR="004E3E15" w:rsidRDefault="004E3E15" w:rsidP="005242BA">
            <w:r>
              <w:t>$0.4 million</w:t>
            </w:r>
          </w:p>
        </w:tc>
        <w:tc>
          <w:tcPr>
            <w:tcW w:w="1122" w:type="dxa"/>
          </w:tcPr>
          <w:p w14:paraId="18DAE007" w14:textId="2F28E696" w:rsidR="004E3E15" w:rsidRDefault="004E3E15" w:rsidP="004E3E15">
            <w:r>
              <w:t>$0.8 million</w:t>
            </w:r>
          </w:p>
        </w:tc>
        <w:tc>
          <w:tcPr>
            <w:tcW w:w="1134" w:type="dxa"/>
          </w:tcPr>
          <w:p w14:paraId="1FD11921" w14:textId="05490E92" w:rsidR="004E3E15" w:rsidRDefault="004E3E15" w:rsidP="00DA7C12">
            <w:r>
              <w:t>$0.8 million</w:t>
            </w:r>
          </w:p>
        </w:tc>
        <w:tc>
          <w:tcPr>
            <w:tcW w:w="1134" w:type="dxa"/>
          </w:tcPr>
          <w:p w14:paraId="33BDBD63" w14:textId="4F22CC9A" w:rsidR="004E3E15" w:rsidRDefault="004E3E15" w:rsidP="004E3E15">
            <w:r>
              <w:t>$0.8 million</w:t>
            </w:r>
          </w:p>
        </w:tc>
        <w:tc>
          <w:tcPr>
            <w:tcW w:w="1134" w:type="dxa"/>
          </w:tcPr>
          <w:p w14:paraId="111753DD" w14:textId="05100E0F" w:rsidR="004E3E15" w:rsidRDefault="004E3E15" w:rsidP="004E3E15">
            <w:r>
              <w:t>$0.8 million</w:t>
            </w:r>
          </w:p>
        </w:tc>
        <w:tc>
          <w:tcPr>
            <w:tcW w:w="1134" w:type="dxa"/>
          </w:tcPr>
          <w:p w14:paraId="46F8F10B" w14:textId="53F80E52" w:rsidR="004E3E15" w:rsidRDefault="004E3E15" w:rsidP="004E3E15">
            <w:r>
              <w:t>$0.8 million</w:t>
            </w:r>
          </w:p>
        </w:tc>
        <w:tc>
          <w:tcPr>
            <w:tcW w:w="1134" w:type="dxa"/>
          </w:tcPr>
          <w:p w14:paraId="5E33FC44" w14:textId="6E4A3475" w:rsidR="004E3E15" w:rsidRDefault="004E3E15" w:rsidP="004E3E15">
            <w:r>
              <w:t>$0.4 million</w:t>
            </w:r>
          </w:p>
        </w:tc>
      </w:tr>
      <w:tr w:rsidR="004E3E15" w14:paraId="0C649246" w14:textId="77777777" w:rsidTr="008A46FE">
        <w:tc>
          <w:tcPr>
            <w:tcW w:w="1485" w:type="dxa"/>
          </w:tcPr>
          <w:p w14:paraId="59E9ABD4" w14:textId="56ECB582" w:rsidR="004E3E15" w:rsidRDefault="004E3E15" w:rsidP="005242BA">
            <w:r>
              <w:t>Scholarships</w:t>
            </w:r>
          </w:p>
        </w:tc>
        <w:tc>
          <w:tcPr>
            <w:tcW w:w="1221" w:type="dxa"/>
          </w:tcPr>
          <w:p w14:paraId="1AE7356C" w14:textId="3F5699C0" w:rsidR="004E3E15" w:rsidRDefault="004E3E15" w:rsidP="005242BA">
            <w:r>
              <w:t>$0.0 million</w:t>
            </w:r>
          </w:p>
        </w:tc>
        <w:tc>
          <w:tcPr>
            <w:tcW w:w="1122" w:type="dxa"/>
          </w:tcPr>
          <w:p w14:paraId="32F93997" w14:textId="4488634F" w:rsidR="004E3E15" w:rsidRDefault="004E3E15" w:rsidP="005242BA">
            <w:r>
              <w:t>$3.1 million</w:t>
            </w:r>
          </w:p>
        </w:tc>
        <w:tc>
          <w:tcPr>
            <w:tcW w:w="1134" w:type="dxa"/>
          </w:tcPr>
          <w:p w14:paraId="1E232907" w14:textId="78554299" w:rsidR="004E3E15" w:rsidRDefault="004E3E15" w:rsidP="00DA7C12">
            <w:r>
              <w:t>$7.2 million</w:t>
            </w:r>
          </w:p>
        </w:tc>
        <w:tc>
          <w:tcPr>
            <w:tcW w:w="1134" w:type="dxa"/>
          </w:tcPr>
          <w:p w14:paraId="45E9BCD9" w14:textId="72339AD0" w:rsidR="004E3E15" w:rsidRDefault="004E3E15" w:rsidP="004E3E15">
            <w:r>
              <w:t>$11.8 million</w:t>
            </w:r>
          </w:p>
        </w:tc>
        <w:tc>
          <w:tcPr>
            <w:tcW w:w="1134" w:type="dxa"/>
          </w:tcPr>
          <w:p w14:paraId="32FE995D" w14:textId="2DAEC957" w:rsidR="004E3E15" w:rsidRDefault="004E3E15" w:rsidP="005242BA">
            <w:r>
              <w:t>$8.8 million</w:t>
            </w:r>
          </w:p>
        </w:tc>
        <w:tc>
          <w:tcPr>
            <w:tcW w:w="1134" w:type="dxa"/>
          </w:tcPr>
          <w:p w14:paraId="6C4E5807" w14:textId="256ED1E5" w:rsidR="004E3E15" w:rsidRDefault="004E3E15" w:rsidP="005242BA">
            <w:r>
              <w:t>$4.5 million</w:t>
            </w:r>
          </w:p>
        </w:tc>
        <w:tc>
          <w:tcPr>
            <w:tcW w:w="1134" w:type="dxa"/>
          </w:tcPr>
          <w:p w14:paraId="1493FD2E" w14:textId="19C8B74B" w:rsidR="004E3E15" w:rsidRDefault="004E3E15" w:rsidP="004E3E15">
            <w:r>
              <w:t>$1.0 million</w:t>
            </w:r>
          </w:p>
        </w:tc>
      </w:tr>
    </w:tbl>
    <w:p w14:paraId="1AEBC211" w14:textId="75B70D95" w:rsidR="00A46DAF" w:rsidRDefault="00A46DAF" w:rsidP="00A54025">
      <w:pPr>
        <w:pStyle w:val="ListBullet"/>
        <w:numPr>
          <w:ilvl w:val="0"/>
          <w:numId w:val="0"/>
        </w:numPr>
      </w:pPr>
      <w:r>
        <w:t>You are responsible for any remaining project expenditure plus any ineligible expenditure.</w:t>
      </w:r>
    </w:p>
    <w:p w14:paraId="25F65226" w14:textId="252BF7D9" w:rsidR="00A04E7B" w:rsidRDefault="00A04E7B" w:rsidP="0085224B">
      <w:pPr>
        <w:pStyle w:val="Heading3"/>
      </w:pPr>
      <w:bookmarkStart w:id="22" w:name="_Toc496536653"/>
      <w:bookmarkStart w:id="23" w:name="_Toc531277480"/>
      <w:bookmarkStart w:id="24" w:name="_Toc955290"/>
      <w:bookmarkStart w:id="25" w:name="_Toc79416740"/>
      <w:r>
        <w:t xml:space="preserve">Project </w:t>
      </w:r>
      <w:r w:rsidR="00476A36" w:rsidRPr="005A61FE">
        <w:t>period</w:t>
      </w:r>
      <w:bookmarkEnd w:id="22"/>
      <w:bookmarkEnd w:id="23"/>
      <w:bookmarkEnd w:id="24"/>
      <w:bookmarkEnd w:id="25"/>
    </w:p>
    <w:p w14:paraId="25F65228" w14:textId="4BE63744" w:rsidR="009A0990" w:rsidRDefault="00577D3F" w:rsidP="005242BA">
      <w:r>
        <w:t>You must complete your p</w:t>
      </w:r>
      <w:r w:rsidR="009A0990" w:rsidRPr="00B215DF">
        <w:t xml:space="preserve">roject </w:t>
      </w:r>
      <w:r w:rsidR="00461AAE">
        <w:t>by</w:t>
      </w:r>
      <w:r w:rsidR="009A0990" w:rsidRPr="00B215DF">
        <w:t xml:space="preserve"> </w:t>
      </w:r>
      <w:r w:rsidR="009463A0">
        <w:t xml:space="preserve">30 </w:t>
      </w:r>
      <w:r w:rsidR="00B1501A">
        <w:t xml:space="preserve">April </w:t>
      </w:r>
      <w:r w:rsidR="009463A0">
        <w:t>202</w:t>
      </w:r>
      <w:r w:rsidR="00B1501A">
        <w:t>8</w:t>
      </w:r>
      <w:r w:rsidR="009A0990">
        <w:t>.</w:t>
      </w:r>
    </w:p>
    <w:p w14:paraId="25F6522A" w14:textId="07CAD692" w:rsidR="00285F58" w:rsidRPr="00DF637B" w:rsidRDefault="00285F58" w:rsidP="0085224B">
      <w:pPr>
        <w:pStyle w:val="Heading2"/>
      </w:pPr>
      <w:bookmarkStart w:id="26" w:name="_Toc530072971"/>
      <w:bookmarkStart w:id="27" w:name="_Toc496536654"/>
      <w:bookmarkStart w:id="28" w:name="_Toc531277481"/>
      <w:bookmarkStart w:id="29" w:name="_Toc955291"/>
      <w:bookmarkStart w:id="30" w:name="_Toc79416741"/>
      <w:bookmarkEnd w:id="16"/>
      <w:bookmarkEnd w:id="17"/>
      <w:bookmarkEnd w:id="26"/>
      <w:r>
        <w:t>Eligibility criteria</w:t>
      </w:r>
      <w:bookmarkEnd w:id="27"/>
      <w:bookmarkEnd w:id="28"/>
      <w:bookmarkEnd w:id="29"/>
      <w:bookmarkEnd w:id="30"/>
    </w:p>
    <w:p w14:paraId="25F6522B" w14:textId="77777777" w:rsidR="00C84E84" w:rsidRDefault="009D33F3" w:rsidP="00C84E84">
      <w:bookmarkStart w:id="31" w:name="_Ref437348317"/>
      <w:bookmarkStart w:id="32" w:name="_Ref437348323"/>
      <w:bookmarkStart w:id="33" w:name="_Ref437349175"/>
      <w:r>
        <w:t xml:space="preserve">We cannot consider your application if you do not satisfy all eligibility criteria. </w:t>
      </w:r>
    </w:p>
    <w:p w14:paraId="25F6522C" w14:textId="4A047791" w:rsidR="00A35F51" w:rsidRDefault="001A6862" w:rsidP="0085224B">
      <w:pPr>
        <w:pStyle w:val="Heading3"/>
      </w:pPr>
      <w:bookmarkStart w:id="34" w:name="_Toc496536655"/>
      <w:bookmarkStart w:id="35" w:name="_Ref530054835"/>
      <w:bookmarkStart w:id="36" w:name="_Toc531277482"/>
      <w:bookmarkStart w:id="37" w:name="_Toc955292"/>
      <w:bookmarkStart w:id="38" w:name="_Toc79416742"/>
      <w:r>
        <w:t xml:space="preserve">Who </w:t>
      </w:r>
      <w:r w:rsidR="009F7B46">
        <w:t>is eligible?</w:t>
      </w:r>
      <w:bookmarkEnd w:id="31"/>
      <w:bookmarkEnd w:id="32"/>
      <w:bookmarkEnd w:id="33"/>
      <w:bookmarkEnd w:id="34"/>
      <w:bookmarkEnd w:id="35"/>
      <w:bookmarkEnd w:id="36"/>
      <w:bookmarkEnd w:id="37"/>
      <w:bookmarkEnd w:id="38"/>
    </w:p>
    <w:p w14:paraId="25F6522E" w14:textId="2A69D4E9" w:rsidR="00093BA1" w:rsidRDefault="00A35F51" w:rsidP="008D5C33">
      <w:pPr>
        <w:spacing w:after="80"/>
      </w:pPr>
      <w:r w:rsidRPr="00E162FF">
        <w:t xml:space="preserve">To </w:t>
      </w:r>
      <w:r w:rsidR="009F7B46">
        <w:t>be eligible you must</w:t>
      </w:r>
      <w:r w:rsidR="00B6306B">
        <w:t>:</w:t>
      </w:r>
    </w:p>
    <w:p w14:paraId="25F6522F" w14:textId="364E89F0"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25F65237" w14:textId="1F9753DE" w:rsidR="00DF2012" w:rsidRDefault="007D3D36" w:rsidP="008B0BAD">
      <w:pPr>
        <w:pStyle w:val="ListBullet"/>
      </w:pPr>
      <w:r>
        <w:t>an entity</w:t>
      </w:r>
      <w:r w:rsidR="008B0BAD">
        <w:t xml:space="preserve"> incorporated in Australia and a </w:t>
      </w:r>
      <w:r w:rsidR="00DF2012" w:rsidRPr="00762BB3">
        <w:t>trading corporation</w:t>
      </w:r>
      <w:r w:rsidR="00D33D33">
        <w:t>,</w:t>
      </w:r>
      <w:r w:rsidR="008B0BAD">
        <w:t xml:space="preserve"> where your trading activities</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01D269CF" w:rsidR="00C401DA" w:rsidRDefault="00C401DA" w:rsidP="00125733">
      <w:pPr>
        <w:pStyle w:val="ListBullet"/>
        <w:numPr>
          <w:ilvl w:val="1"/>
          <w:numId w:val="10"/>
        </w:numPr>
      </w:pPr>
      <w:r>
        <w:t>are a substantial and not merely peripheral activity of the corporation</w:t>
      </w:r>
    </w:p>
    <w:p w14:paraId="25F6523A" w14:textId="570476C2" w:rsidR="009F7B46" w:rsidRDefault="009F7B46" w:rsidP="00762BB3">
      <w:pPr>
        <w:pStyle w:val="ListBullet"/>
      </w:pPr>
      <w:r>
        <w:t>a</w:t>
      </w:r>
      <w:r w:rsidR="00C06B9E">
        <w:t>n</w:t>
      </w:r>
      <w:r>
        <w:t xml:space="preserve"> </w:t>
      </w:r>
      <w:r w:rsidR="00C06B9E">
        <w:t xml:space="preserve">incorporated </w:t>
      </w:r>
      <w:r>
        <w:t>trustee on behalf of a trust</w:t>
      </w:r>
    </w:p>
    <w:p w14:paraId="386CBF44" w14:textId="07E5E33F" w:rsidR="00D33D33" w:rsidRDefault="00D33D33" w:rsidP="00D33D33">
      <w:pPr>
        <w:pStyle w:val="ListBullet"/>
      </w:pPr>
      <w:r w:rsidRPr="000A271A">
        <w:t>an incorporated association</w:t>
      </w:r>
    </w:p>
    <w:p w14:paraId="3C22309A" w14:textId="4511640F" w:rsidR="00F539A5"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59B187CA" w14:textId="7C29BAEB" w:rsidR="00E05882" w:rsidRDefault="00E82E41" w:rsidP="00E05882">
      <w:pPr>
        <w:pStyle w:val="ListBullet"/>
        <w:rPr>
          <w:szCs w:val="20"/>
        </w:rPr>
      </w:pPr>
      <w:proofErr w:type="gramStart"/>
      <w:r>
        <w:t>a</w:t>
      </w:r>
      <w:proofErr w:type="gramEnd"/>
      <w:r w:rsidR="00E05882">
        <w:t xml:space="preserve"> publicly funded research agency (PFRA) as defined in section 14.</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CA58A1">
        <w:t>7.2</w:t>
      </w:r>
      <w:r w:rsidR="009049DE" w:rsidRPr="005A61FE">
        <w:fldChar w:fldCharType="end"/>
      </w:r>
      <w:r w:rsidR="00DF1A74">
        <w:t>.</w:t>
      </w:r>
    </w:p>
    <w:p w14:paraId="7CBB105C" w14:textId="5F604AEC" w:rsidR="002A0E03" w:rsidRDefault="002A0E03" w:rsidP="0085224B">
      <w:pPr>
        <w:pStyle w:val="Heading3"/>
      </w:pPr>
      <w:bookmarkStart w:id="39" w:name="_Toc496536656"/>
      <w:bookmarkStart w:id="40" w:name="_Toc531277483"/>
      <w:bookmarkStart w:id="41" w:name="_Toc955293"/>
      <w:bookmarkStart w:id="42" w:name="_Toc79416743"/>
      <w:r>
        <w:t>Additional eligibility requirements</w:t>
      </w:r>
      <w:bookmarkEnd w:id="39"/>
      <w:bookmarkEnd w:id="40"/>
      <w:bookmarkEnd w:id="41"/>
      <w:bookmarkEnd w:id="42"/>
    </w:p>
    <w:p w14:paraId="15283BE6" w14:textId="5856CBAE" w:rsidR="00F608BE" w:rsidRDefault="00F608BE" w:rsidP="00760D2E">
      <w:pPr>
        <w:keepNext/>
        <w:spacing w:after="80"/>
      </w:pPr>
      <w:r>
        <w:t>We can only accept applications</w:t>
      </w:r>
      <w:r w:rsidR="00B6306B">
        <w:t>:</w:t>
      </w:r>
    </w:p>
    <w:p w14:paraId="5EC63947" w14:textId="433A0EB9" w:rsidR="00F608BE" w:rsidRPr="00510C89" w:rsidRDefault="00F608BE" w:rsidP="00F608BE">
      <w:pPr>
        <w:pStyle w:val="ListBullet"/>
        <w:rPr>
          <w:b/>
          <w:color w:val="4F6228" w:themeColor="accent3" w:themeShade="80"/>
        </w:rPr>
      </w:pPr>
      <w:r>
        <w:t>w</w:t>
      </w:r>
      <w:r w:rsidRPr="00510C89">
        <w:t>here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w:t>
      </w:r>
      <w:r w:rsidR="000E7005">
        <w:t>ct not covered by grant funding</w:t>
      </w:r>
    </w:p>
    <w:p w14:paraId="4B05166F" w14:textId="6B13FEB8"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85224B">
      <w:pPr>
        <w:pStyle w:val="Heading3"/>
      </w:pPr>
      <w:bookmarkStart w:id="43" w:name="_Toc496536657"/>
      <w:bookmarkStart w:id="44" w:name="_Toc531277484"/>
      <w:bookmarkStart w:id="45" w:name="_Toc955294"/>
      <w:bookmarkStart w:id="46" w:name="_Toc79416744"/>
      <w:bookmarkStart w:id="47" w:name="_Toc164844264"/>
      <w:bookmarkStart w:id="48" w:name="_Toc383003257"/>
      <w:r>
        <w:lastRenderedPageBreak/>
        <w:t>Who is not eligible?</w:t>
      </w:r>
      <w:bookmarkEnd w:id="43"/>
      <w:bookmarkEnd w:id="44"/>
      <w:bookmarkEnd w:id="45"/>
      <w:bookmarkEnd w:id="46"/>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77777777" w:rsidR="00ED45BE" w:rsidRPr="001A67D6" w:rsidRDefault="00ED45BE" w:rsidP="00ED45BE">
      <w:pPr>
        <w:pStyle w:val="ListBullet"/>
      </w:pPr>
      <w:r w:rsidRPr="001A67D6">
        <w:t>an organisation, or your project partner is an organisation, included on the National Redress Scheme’s website on the list of ‘Institutions that have not joined or signified their intent to join the Scheme’ (</w:t>
      </w:r>
      <w:hyperlink r:id="rId19" w:history="1">
        <w:r w:rsidRPr="001A67D6">
          <w:rPr>
            <w:rStyle w:val="Hyperlink"/>
          </w:rPr>
          <w:t>www.nationalredress.gov.au</w:t>
        </w:r>
      </w:hyperlink>
      <w:r w:rsidRPr="001A67D6">
        <w:t>)</w:t>
      </w:r>
    </w:p>
    <w:p w14:paraId="19B67E78" w14:textId="22B87528" w:rsidR="001A67D6" w:rsidRPr="001A67D6" w:rsidRDefault="001A67D6" w:rsidP="001A67D6">
      <w:pPr>
        <w:pStyle w:val="ListBullet"/>
      </w:pPr>
      <w:r w:rsidRPr="001A67D6">
        <w:t xml:space="preserve">an organisation or your project partner is an organisation that has been named by the Workplace Gender Equality Agency as an organisation that has </w:t>
      </w:r>
      <w:hyperlink r:id="rId20" w:history="1">
        <w:r w:rsidRPr="001A67D6">
          <w:rPr>
            <w:rStyle w:val="Hyperlink"/>
          </w:rPr>
          <w:t>not complied</w:t>
        </w:r>
      </w:hyperlink>
      <w:r w:rsidRPr="001A67D6">
        <w:t xml:space="preserve"> with Workp</w:t>
      </w:r>
      <w:r w:rsidR="00EC62ED">
        <w:t>lace Gender Equality Act (2012)</w:t>
      </w:r>
      <w:r w:rsidRPr="001A67D6">
        <w:t xml:space="preserve"> </w:t>
      </w:r>
    </w:p>
    <w:p w14:paraId="374C8E70" w14:textId="5A8F6311" w:rsidR="00C638D1" w:rsidRDefault="00C638D1" w:rsidP="00C32C6B">
      <w:pPr>
        <w:pStyle w:val="ListBullet"/>
      </w:pPr>
      <w:r>
        <w:t xml:space="preserve">a </w:t>
      </w:r>
      <w:r w:rsidR="005D0506">
        <w:t>p</w:t>
      </w:r>
      <w:r w:rsidR="005D0506" w:rsidRPr="009E3949">
        <w:t>ublicly funded research organisation</w:t>
      </w:r>
      <w:r w:rsidR="005D0506">
        <w:t xml:space="preserve"> (PFRO)</w:t>
      </w:r>
      <w:r>
        <w:t xml:space="preserve">, however </w:t>
      </w:r>
      <w:r w:rsidR="005D0506">
        <w:t xml:space="preserve">PFROs </w:t>
      </w:r>
      <w:r>
        <w:t xml:space="preserve">may </w:t>
      </w:r>
      <w:r w:rsidR="002339EB">
        <w:t xml:space="preserve">participate </w:t>
      </w:r>
      <w:r>
        <w:t xml:space="preserve">as </w:t>
      </w:r>
      <w:r w:rsidR="00A46DAF">
        <w:t>part of a joint application</w:t>
      </w:r>
      <w:r w:rsidR="00B60616">
        <w:t xml:space="preserve"> </w:t>
      </w:r>
    </w:p>
    <w:p w14:paraId="2807AC04" w14:textId="26B82266"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0B177597" w:rsidR="00F52948" w:rsidRPr="005A61FE" w:rsidRDefault="00F52948" w:rsidP="00653895">
      <w:pPr>
        <w:pStyle w:val="ListBullet"/>
      </w:pPr>
      <w:r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CA58A1">
        <w:t>4.1</w:t>
      </w:r>
      <w:r w:rsidRPr="005A61FE">
        <w:fldChar w:fldCharType="end"/>
      </w:r>
    </w:p>
    <w:p w14:paraId="5DB3492E" w14:textId="102D45F5"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195EC657" w14:textId="6832B4B2" w:rsidR="00BB7400" w:rsidRDefault="00BB7400" w:rsidP="00BB7400">
      <w:pPr>
        <w:pStyle w:val="ListBullet"/>
        <w:ind w:left="357" w:hanging="357"/>
        <w:rPr>
          <w:szCs w:val="20"/>
        </w:rPr>
      </w:pPr>
      <w:r>
        <w:t>a Commonwealth, state and local government agency or body (including government business enterprises other than eligible</w:t>
      </w:r>
      <w:r w:rsidR="00007643">
        <w:t xml:space="preserve"> </w:t>
      </w:r>
      <w:r>
        <w:t>PFRAs</w:t>
      </w:r>
      <w:r w:rsidR="00007643">
        <w:t>)</w:t>
      </w:r>
    </w:p>
    <w:p w14:paraId="2335370A" w14:textId="1149AD06" w:rsidR="001844D5" w:rsidRDefault="001844D5" w:rsidP="00C32C6B">
      <w:pPr>
        <w:pStyle w:val="ListBullet"/>
      </w:pPr>
      <w:proofErr w:type="gramStart"/>
      <w:r>
        <w:t>a</w:t>
      </w:r>
      <w:proofErr w:type="gramEnd"/>
      <w:r>
        <w:t xml:space="preserve"> non-corporate Commonwealth entity</w:t>
      </w:r>
      <w:r w:rsidR="00A46DAF">
        <w:t>.</w:t>
      </w:r>
    </w:p>
    <w:p w14:paraId="4E2E3F28" w14:textId="50823FE6" w:rsidR="00E27755" w:rsidRDefault="00F52948" w:rsidP="0085224B">
      <w:pPr>
        <w:pStyle w:val="Heading2"/>
      </w:pPr>
      <w:bookmarkStart w:id="49" w:name="_Toc531277486"/>
      <w:bookmarkStart w:id="50" w:name="_Toc489952676"/>
      <w:bookmarkStart w:id="51" w:name="_Toc496536659"/>
      <w:bookmarkStart w:id="52" w:name="_Toc955296"/>
      <w:bookmarkStart w:id="53" w:name="_Toc79416745"/>
      <w:r w:rsidRPr="005A61FE">
        <w:t xml:space="preserve">What </w:t>
      </w:r>
      <w:r w:rsidR="00082460">
        <w:t xml:space="preserve">the </w:t>
      </w:r>
      <w:r w:rsidR="00E27755">
        <w:t xml:space="preserve">grant </w:t>
      </w:r>
      <w:r w:rsidR="00082460">
        <w:t xml:space="preserve">money can be used </w:t>
      </w:r>
      <w:r w:rsidRPr="005A61FE">
        <w:t>for</w:t>
      </w:r>
      <w:bookmarkEnd w:id="49"/>
      <w:bookmarkEnd w:id="50"/>
      <w:bookmarkEnd w:id="51"/>
      <w:bookmarkEnd w:id="52"/>
      <w:bookmarkEnd w:id="53"/>
    </w:p>
    <w:p w14:paraId="25F65256" w14:textId="36FF3F97" w:rsidR="00E95540" w:rsidRPr="00C330AE" w:rsidRDefault="00E95540" w:rsidP="0085224B">
      <w:pPr>
        <w:pStyle w:val="Heading3"/>
      </w:pPr>
      <w:bookmarkStart w:id="54" w:name="_Toc530072978"/>
      <w:bookmarkStart w:id="55" w:name="_Toc530072979"/>
      <w:bookmarkStart w:id="56" w:name="_Toc530072980"/>
      <w:bookmarkStart w:id="57" w:name="_Toc530072981"/>
      <w:bookmarkStart w:id="58" w:name="_Toc530072982"/>
      <w:bookmarkStart w:id="59" w:name="_Toc530072983"/>
      <w:bookmarkStart w:id="60" w:name="_Toc530072984"/>
      <w:bookmarkStart w:id="61" w:name="_Toc530072985"/>
      <w:bookmarkStart w:id="62" w:name="_Toc530072986"/>
      <w:bookmarkStart w:id="63" w:name="_Toc530072987"/>
      <w:bookmarkStart w:id="64" w:name="_Toc530072988"/>
      <w:bookmarkStart w:id="65" w:name="_Ref468355814"/>
      <w:bookmarkStart w:id="66" w:name="_Toc496536661"/>
      <w:bookmarkStart w:id="67" w:name="_Toc531277487"/>
      <w:bookmarkStart w:id="68" w:name="_Toc955297"/>
      <w:bookmarkStart w:id="69" w:name="_Toc79416746"/>
      <w:bookmarkStart w:id="70" w:name="_Toc383003258"/>
      <w:bookmarkStart w:id="71" w:name="_Toc164844265"/>
      <w:bookmarkEnd w:id="47"/>
      <w:bookmarkEnd w:id="48"/>
      <w:bookmarkEnd w:id="54"/>
      <w:bookmarkEnd w:id="55"/>
      <w:bookmarkEnd w:id="56"/>
      <w:bookmarkEnd w:id="57"/>
      <w:bookmarkEnd w:id="58"/>
      <w:bookmarkEnd w:id="59"/>
      <w:bookmarkEnd w:id="60"/>
      <w:bookmarkEnd w:id="61"/>
      <w:bookmarkEnd w:id="62"/>
      <w:bookmarkEnd w:id="63"/>
      <w:bookmarkEnd w:id="64"/>
      <w:r w:rsidRPr="00C330AE">
        <w:t xml:space="preserve">Eligible </w:t>
      </w:r>
      <w:r w:rsidR="008A5CD2" w:rsidRPr="00C330AE">
        <w:t>a</w:t>
      </w:r>
      <w:r w:rsidRPr="00C330AE">
        <w:t>ctivities</w:t>
      </w:r>
      <w:bookmarkEnd w:id="65"/>
      <w:bookmarkEnd w:id="66"/>
      <w:bookmarkEnd w:id="67"/>
      <w:bookmarkEnd w:id="68"/>
      <w:bookmarkEnd w:id="69"/>
    </w:p>
    <w:p w14:paraId="78056DA8" w14:textId="77777777" w:rsidR="00F52948" w:rsidRPr="005A61FE" w:rsidRDefault="00F52948" w:rsidP="00F52948">
      <w:pPr>
        <w:spacing w:after="80"/>
      </w:pPr>
      <w:r w:rsidRPr="005A61FE">
        <w:t>To be eligible your project must:</w:t>
      </w:r>
    </w:p>
    <w:p w14:paraId="0EE86E76" w14:textId="713F02CC" w:rsidR="00F52948" w:rsidRDefault="001A67D6" w:rsidP="00653895">
      <w:pPr>
        <w:pStyle w:val="ListBullet"/>
        <w:spacing w:after="120"/>
      </w:pPr>
      <w:proofErr w:type="gramStart"/>
      <w:r>
        <w:t>be</w:t>
      </w:r>
      <w:proofErr w:type="gramEnd"/>
      <w:r>
        <w:t xml:space="preserve"> aimed at</w:t>
      </w:r>
      <w:r w:rsidR="00A46DAF">
        <w:t xml:space="preserve"> </w:t>
      </w:r>
      <w:r w:rsidR="00685624">
        <w:t xml:space="preserve">designing, </w:t>
      </w:r>
      <w:r w:rsidR="00A46DAF">
        <w:t>establishing and</w:t>
      </w:r>
      <w:r>
        <w:t xml:space="preserve"> managing a program </w:t>
      </w:r>
      <w:r w:rsidR="00280070">
        <w:t xml:space="preserve">to </w:t>
      </w:r>
      <w:r w:rsidR="00F01EB3">
        <w:t>identify sectoral focus areas in STEM, nominate collaborative industry projects and a</w:t>
      </w:r>
      <w:r w:rsidR="00D301D2">
        <w:t xml:space="preserve">ward </w:t>
      </w:r>
      <w:r w:rsidR="00D301D2" w:rsidRPr="00F01EB3">
        <w:t xml:space="preserve">scholarships </w:t>
      </w:r>
      <w:r w:rsidR="00F01EB3">
        <w:t xml:space="preserve">to high-performing </w:t>
      </w:r>
      <w:r w:rsidR="00671227">
        <w:t>women</w:t>
      </w:r>
      <w:r w:rsidR="00A46DAF">
        <w:t>.</w:t>
      </w:r>
    </w:p>
    <w:p w14:paraId="59CF4D68" w14:textId="77777777" w:rsidR="00F01EB3" w:rsidRPr="00865713" w:rsidRDefault="00F01EB3" w:rsidP="00F01EB3">
      <w:pPr>
        <w:spacing w:line="320" w:lineRule="atLeast"/>
        <w:rPr>
          <w:color w:val="FF0000"/>
        </w:rPr>
      </w:pPr>
      <w:r w:rsidRPr="007F3C6A">
        <w:t>Eligible activities</w:t>
      </w:r>
      <w:r>
        <w:t xml:space="preserve"> must include:</w:t>
      </w:r>
    </w:p>
    <w:p w14:paraId="351BE63B" w14:textId="4583B0F0" w:rsidR="00414ECC" w:rsidRDefault="00414ECC" w:rsidP="00414ECC">
      <w:pPr>
        <w:pStyle w:val="ListBullet"/>
        <w:numPr>
          <w:ilvl w:val="0"/>
          <w:numId w:val="7"/>
        </w:numPr>
      </w:pPr>
      <w:r>
        <w:t>co-designing a program</w:t>
      </w:r>
      <w:r w:rsidR="00A46DAF">
        <w:t xml:space="preserve"> with the department</w:t>
      </w:r>
      <w:r w:rsidR="00E325F5">
        <w:t>, industry, universities and the broader STEM sector</w:t>
      </w:r>
      <w:r>
        <w:t xml:space="preserve"> to provide</w:t>
      </w:r>
      <w:r w:rsidRPr="00816569">
        <w:t xml:space="preserve"> nationa</w:t>
      </w:r>
      <w:r>
        <w:t xml:space="preserve">lly competitive scholarships for </w:t>
      </w:r>
      <w:r w:rsidRPr="00816569">
        <w:t xml:space="preserve">eligible </w:t>
      </w:r>
      <w:r>
        <w:t>students</w:t>
      </w:r>
    </w:p>
    <w:p w14:paraId="6E11B4C9" w14:textId="77777777" w:rsidR="0071162B" w:rsidRDefault="0071162B" w:rsidP="0071162B">
      <w:pPr>
        <w:pStyle w:val="ListBullet"/>
        <w:numPr>
          <w:ilvl w:val="0"/>
          <w:numId w:val="7"/>
        </w:numPr>
      </w:pPr>
      <w:r>
        <w:t>administrative support for the program, including program management and delivery, monitoring the progress of scholars and their projects, collecting data and reporting on the progress of the program</w:t>
      </w:r>
    </w:p>
    <w:p w14:paraId="31C9D72B" w14:textId="77777777" w:rsidR="0071162B" w:rsidRDefault="0071162B" w:rsidP="0071162B">
      <w:pPr>
        <w:pStyle w:val="ListBullet"/>
      </w:pPr>
      <w:r>
        <w:t xml:space="preserve">engaging universities to nominate collaborative industry projects or placements in priority STEM areas </w:t>
      </w:r>
    </w:p>
    <w:p w14:paraId="1156E667" w14:textId="5CD80E24" w:rsidR="003C43E8" w:rsidRDefault="003C43E8" w:rsidP="006670E4">
      <w:pPr>
        <w:pStyle w:val="ListBullet"/>
      </w:pPr>
      <w:r>
        <w:t xml:space="preserve">providing a tailored development program </w:t>
      </w:r>
      <w:r w:rsidR="008B328B">
        <w:t xml:space="preserve">including </w:t>
      </w:r>
      <w:r>
        <w:t xml:space="preserve">mentoring and other skills development </w:t>
      </w:r>
      <w:r w:rsidR="008B328B">
        <w:t>for participants</w:t>
      </w:r>
    </w:p>
    <w:p w14:paraId="22E19523" w14:textId="5E10EEAC" w:rsidR="00414ECC" w:rsidRDefault="00414ECC" w:rsidP="0071162B">
      <w:pPr>
        <w:pStyle w:val="ListBullet"/>
      </w:pPr>
      <w:r>
        <w:t>build</w:t>
      </w:r>
      <w:r w:rsidR="00C974F6">
        <w:t>ing</w:t>
      </w:r>
      <w:r>
        <w:t xml:space="preserve"> </w:t>
      </w:r>
      <w:r w:rsidR="00C974F6">
        <w:t xml:space="preserve">a </w:t>
      </w:r>
      <w:r>
        <w:rPr>
          <w:rFonts w:cs="Arial"/>
          <w:szCs w:val="20"/>
        </w:rPr>
        <w:t>governance mechanism for the ongoing management of the program</w:t>
      </w:r>
    </w:p>
    <w:p w14:paraId="65ABED5B" w14:textId="67A37609" w:rsidR="00F01EB3" w:rsidRDefault="00F01EB3" w:rsidP="00F01EB3">
      <w:pPr>
        <w:pStyle w:val="ListBullet"/>
        <w:numPr>
          <w:ilvl w:val="0"/>
          <w:numId w:val="7"/>
        </w:numPr>
      </w:pPr>
      <w:r w:rsidRPr="00816569">
        <w:t>provide networking and career development opportunities to scholars to foster linkages between scholars, researchers</w:t>
      </w:r>
      <w:r w:rsidR="006E26E8">
        <w:t>, government</w:t>
      </w:r>
      <w:r w:rsidRPr="00816569">
        <w:t xml:space="preserve"> and industry</w:t>
      </w:r>
    </w:p>
    <w:p w14:paraId="12DFD92A" w14:textId="77777777" w:rsidR="00F01EB3" w:rsidRPr="00816569" w:rsidRDefault="00F01EB3" w:rsidP="00F01EB3">
      <w:pPr>
        <w:pStyle w:val="ListBullet"/>
        <w:numPr>
          <w:ilvl w:val="0"/>
          <w:numId w:val="7"/>
        </w:numPr>
      </w:pPr>
      <w:r>
        <w:t>communicating outcomes of the program, such as case studies on industry projects and/or placements and scholar achievements</w:t>
      </w:r>
    </w:p>
    <w:p w14:paraId="7898396D" w14:textId="6A88EB21" w:rsidR="00E55B12" w:rsidRDefault="00242149" w:rsidP="00D301D2">
      <w:pPr>
        <w:pStyle w:val="ListBullet"/>
      </w:pPr>
      <w:proofErr w:type="gramStart"/>
      <w:r>
        <w:t>other</w:t>
      </w:r>
      <w:proofErr w:type="gramEnd"/>
      <w:r>
        <w:t xml:space="preserve"> activities identified by the department</w:t>
      </w:r>
      <w:r w:rsidR="003C43E8">
        <w:t>.</w:t>
      </w:r>
    </w:p>
    <w:p w14:paraId="25F6525A" w14:textId="77777777" w:rsidR="00E95540" w:rsidRPr="00E162FF" w:rsidRDefault="00486156" w:rsidP="00492E66">
      <w:r>
        <w:t>We may also approve other activities</w:t>
      </w:r>
      <w:r w:rsidR="00E67FC6">
        <w:t>.</w:t>
      </w:r>
    </w:p>
    <w:p w14:paraId="25F6525B" w14:textId="63CC82B4" w:rsidR="00C17E72" w:rsidRDefault="00C17E72" w:rsidP="0085224B">
      <w:pPr>
        <w:pStyle w:val="Heading3"/>
      </w:pPr>
      <w:bookmarkStart w:id="72" w:name="_Toc530072991"/>
      <w:bookmarkStart w:id="73" w:name="_Toc530072992"/>
      <w:bookmarkStart w:id="74" w:name="_Toc530072993"/>
      <w:bookmarkStart w:id="75" w:name="_Toc530072995"/>
      <w:bookmarkStart w:id="76" w:name="_Ref468355804"/>
      <w:bookmarkStart w:id="77" w:name="_Toc496536662"/>
      <w:bookmarkStart w:id="78" w:name="_Toc531277489"/>
      <w:bookmarkStart w:id="79" w:name="_Toc955299"/>
      <w:bookmarkStart w:id="80" w:name="_Toc79416747"/>
      <w:bookmarkEnd w:id="72"/>
      <w:bookmarkEnd w:id="73"/>
      <w:bookmarkEnd w:id="74"/>
      <w:bookmarkEnd w:id="75"/>
      <w:r>
        <w:lastRenderedPageBreak/>
        <w:t xml:space="preserve">Eligible </w:t>
      </w:r>
      <w:r w:rsidR="001F215C">
        <w:t>e</w:t>
      </w:r>
      <w:r w:rsidR="00490C48">
        <w:t>xpenditure</w:t>
      </w:r>
      <w:bookmarkEnd w:id="76"/>
      <w:bookmarkEnd w:id="77"/>
      <w:bookmarkEnd w:id="78"/>
      <w:bookmarkEnd w:id="79"/>
      <w:bookmarkEnd w:id="80"/>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5546FC91" w14:textId="77777777" w:rsidR="00C63898" w:rsidRDefault="00C63898" w:rsidP="00C63898">
      <w:pPr>
        <w:pStyle w:val="ListBullet"/>
        <w:numPr>
          <w:ilvl w:val="0"/>
          <w:numId w:val="7"/>
        </w:numPr>
      </w:pPr>
      <w:r>
        <w:t xml:space="preserve">For </w:t>
      </w:r>
      <w:r w:rsidRPr="005A61FE">
        <w:t>guidance</w:t>
      </w:r>
      <w:r>
        <w:t xml:space="preserve"> on eligible expenditure, see</w:t>
      </w:r>
      <w:r w:rsidRPr="00E162FF">
        <w:t xml:space="preserve"> </w:t>
      </w:r>
      <w:r w:rsidRPr="00777D23">
        <w:t xml:space="preserve">appendix </w:t>
      </w:r>
      <w:r>
        <w:t>A.</w:t>
      </w:r>
    </w:p>
    <w:p w14:paraId="1F542038" w14:textId="77777777" w:rsidR="00C63898" w:rsidRDefault="00C63898" w:rsidP="00C63898">
      <w:pPr>
        <w:pStyle w:val="ListBullet"/>
        <w:numPr>
          <w:ilvl w:val="0"/>
          <w:numId w:val="7"/>
        </w:numPr>
        <w:spacing w:after="120"/>
      </w:pPr>
      <w:r>
        <w:t xml:space="preserve">For </w:t>
      </w:r>
      <w:r w:rsidRPr="005A61FE">
        <w:t>guidance</w:t>
      </w:r>
      <w:r>
        <w:t xml:space="preserve"> on ineligible expenditure, see appendix B.</w:t>
      </w:r>
    </w:p>
    <w:p w14:paraId="207FC41C" w14:textId="2A4D25BE" w:rsidR="00D30E9D" w:rsidRDefault="00D30E9D" w:rsidP="00E27755">
      <w:pPr>
        <w:pStyle w:val="ListBullet"/>
        <w:numPr>
          <w:ilvl w:val="0"/>
          <w:numId w:val="0"/>
        </w:numPr>
        <w:spacing w:after="120"/>
      </w:pPr>
      <w:r w:rsidRPr="00EC02C9">
        <w:t>If your application is successful, we may ask you to verify project costs that you provided in your application. You may need to provide evidence such as quotes for major cost</w:t>
      </w:r>
      <w:r w:rsidR="00072864" w:rsidRPr="00EC02C9">
        <w:t>s.</w:t>
      </w:r>
    </w:p>
    <w:p w14:paraId="5D23CBDF" w14:textId="0F1EABD0"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072864">
        <w:t xml:space="preserve">(who is an AusIndustry </w:t>
      </w:r>
      <w:r w:rsidR="00A54025">
        <w:t xml:space="preserve">General </w:t>
      </w:r>
      <w:r w:rsidR="00A54025" w:rsidRPr="00A54025">
        <w:t>M</w:t>
      </w:r>
      <w:r w:rsidR="00284DC7" w:rsidRPr="00A54025">
        <w:t>anager within</w:t>
      </w:r>
      <w:r w:rsidR="00284DC7">
        <w:t xml:space="preserve">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5E7F5B30" w:rsidR="00EF53D9" w:rsidRDefault="00EF53D9" w:rsidP="00EF53D9">
      <w:bookmarkStart w:id="81" w:name="_Toc496536663"/>
      <w:r>
        <w:t>You must not commence your project until you execute a grant agreement with the Commonw</w:t>
      </w:r>
      <w:r w:rsidR="00072864">
        <w:t>ealth.</w:t>
      </w:r>
    </w:p>
    <w:p w14:paraId="3CD7D84F" w14:textId="09347BB3" w:rsidR="00E3085F" w:rsidRDefault="005C7680" w:rsidP="0085224B">
      <w:pPr>
        <w:pStyle w:val="Heading3"/>
      </w:pPr>
      <w:bookmarkStart w:id="82" w:name="_Toc531277490"/>
      <w:bookmarkStart w:id="83" w:name="_Toc955300"/>
      <w:bookmarkStart w:id="84" w:name="_Toc79416748"/>
      <w:r w:rsidRPr="005A61FE">
        <w:t xml:space="preserve">What </w:t>
      </w:r>
      <w:r w:rsidR="008E0A14" w:rsidRPr="004054B8">
        <w:t>you</w:t>
      </w:r>
      <w:r w:rsidRPr="004054B8">
        <w:t xml:space="preserve"> cannot </w:t>
      </w:r>
      <w:r w:rsidR="008E0A14" w:rsidRPr="004054B8">
        <w:t xml:space="preserve">use the </w:t>
      </w:r>
      <w:r w:rsidRPr="004054B8">
        <w:t>grant for</w:t>
      </w:r>
      <w:bookmarkEnd w:id="81"/>
      <w:bookmarkEnd w:id="82"/>
      <w:bookmarkEnd w:id="83"/>
      <w:bookmarkEnd w:id="84"/>
    </w:p>
    <w:p w14:paraId="45E8DDF7" w14:textId="7504A70B" w:rsidR="00FE5602" w:rsidRDefault="00FE5602" w:rsidP="008D5C33">
      <w:pPr>
        <w:spacing w:after="80"/>
      </w:pPr>
      <w:r>
        <w:t>Expenditure items that are not eligible are</w:t>
      </w:r>
      <w:r w:rsidR="00B6306B">
        <w:t>:</w:t>
      </w:r>
    </w:p>
    <w:p w14:paraId="53B7FAEE" w14:textId="77777777" w:rsidR="00072864" w:rsidRPr="000A1F09" w:rsidRDefault="00072864" w:rsidP="00072864">
      <w:pPr>
        <w:pStyle w:val="ListBullet"/>
      </w:pPr>
      <w:r>
        <w:t>expenditure incurred on past events</w:t>
      </w:r>
    </w:p>
    <w:p w14:paraId="3DF40E32" w14:textId="77777777" w:rsidR="001213E5" w:rsidRDefault="001213E5" w:rsidP="001213E5">
      <w:pPr>
        <w:pStyle w:val="ListBullet"/>
      </w:pPr>
      <w:r>
        <w:t>expenses associated with business as usual activities not related to the objectives and outcomes of this grant</w:t>
      </w:r>
    </w:p>
    <w:p w14:paraId="56D17904" w14:textId="77777777" w:rsidR="001213E5" w:rsidRDefault="001213E5" w:rsidP="001213E5">
      <w:pPr>
        <w:pStyle w:val="ListBullet"/>
      </w:pPr>
      <w:r>
        <w:t>routine operating expenses not accounted as labour on-costs – including communications, accommodation, office computing facilities, printing and stationery, postage, legal and accounting fees and bank charges</w:t>
      </w:r>
    </w:p>
    <w:p w14:paraId="3D1C7B06" w14:textId="77777777" w:rsidR="001213E5" w:rsidRDefault="001213E5" w:rsidP="001213E5">
      <w:pPr>
        <w:pStyle w:val="ListBullet"/>
      </w:pPr>
      <w:r>
        <w:t>costs associated with activities acquitted through other means such as recipient contributions and other contributions received</w:t>
      </w:r>
    </w:p>
    <w:p w14:paraId="08A87697" w14:textId="77777777" w:rsidR="001213E5" w:rsidRDefault="001213E5" w:rsidP="001213E5">
      <w:pPr>
        <w:pStyle w:val="ListBullet"/>
      </w:pPr>
      <w:r>
        <w:t>non-project related staff training and development costs</w:t>
      </w:r>
    </w:p>
    <w:p w14:paraId="41DA376D" w14:textId="77777777" w:rsidR="001213E5" w:rsidRDefault="001213E5" w:rsidP="001213E5">
      <w:pPr>
        <w:pStyle w:val="ListBullet"/>
      </w:pPr>
      <w:r>
        <w:t>financing costs, including debt financing and interest</w:t>
      </w:r>
    </w:p>
    <w:p w14:paraId="3C94A798" w14:textId="1235B0BC" w:rsidR="001213E5" w:rsidRPr="00E82E41" w:rsidRDefault="001213E5" w:rsidP="001213E5">
      <w:pPr>
        <w:pStyle w:val="ListBullet"/>
      </w:pPr>
      <w:r>
        <w:t>capital expenditure for the purchase of assets that are not directly related to the project activities, such as office furniture and equipment and motor vehicles</w:t>
      </w:r>
    </w:p>
    <w:p w14:paraId="66AAB6D4" w14:textId="67E21116" w:rsidR="00072864" w:rsidRPr="000A1F09" w:rsidRDefault="00072864" w:rsidP="00072864">
      <w:pPr>
        <w:pStyle w:val="ListBullet"/>
      </w:pPr>
      <w:r>
        <w:t>cost of applying for the grant</w:t>
      </w:r>
    </w:p>
    <w:p w14:paraId="3E34CBD7" w14:textId="77777777" w:rsidR="00072864" w:rsidRPr="000A1F09" w:rsidRDefault="00072864" w:rsidP="00072864">
      <w:pPr>
        <w:pStyle w:val="ListBullet"/>
      </w:pPr>
      <w:r>
        <w:t>costs incurred prior to submission of your application</w:t>
      </w:r>
    </w:p>
    <w:p w14:paraId="59F62A0C" w14:textId="6827C286" w:rsidR="00072864" w:rsidRPr="008A650B" w:rsidRDefault="00072864" w:rsidP="00072864">
      <w:pPr>
        <w:pStyle w:val="ListBullet"/>
      </w:pPr>
      <w:proofErr w:type="gramStart"/>
      <w:r>
        <w:t>international</w:t>
      </w:r>
      <w:proofErr w:type="gramEnd"/>
      <w:r>
        <w:t xml:space="preserve"> travel expenses</w:t>
      </w:r>
      <w:r w:rsidR="00E325F5">
        <w:t>.</w:t>
      </w:r>
    </w:p>
    <w:p w14:paraId="25F6526D" w14:textId="18B12F91" w:rsidR="0039610D" w:rsidRPr="00747B26" w:rsidRDefault="0036055C" w:rsidP="0085224B">
      <w:pPr>
        <w:pStyle w:val="Heading2"/>
      </w:pPr>
      <w:bookmarkStart w:id="85" w:name="_Toc955301"/>
      <w:bookmarkStart w:id="86" w:name="_Toc496536664"/>
      <w:bookmarkStart w:id="87" w:name="_Toc531277491"/>
      <w:bookmarkStart w:id="88" w:name="_Toc79416749"/>
      <w:r>
        <w:t xml:space="preserve">The </w:t>
      </w:r>
      <w:r w:rsidR="00E93B21">
        <w:t>assessment</w:t>
      </w:r>
      <w:r w:rsidR="0053412C">
        <w:t xml:space="preserve"> </w:t>
      </w:r>
      <w:r>
        <w:t>criteria</w:t>
      </w:r>
      <w:bookmarkEnd w:id="85"/>
      <w:bookmarkEnd w:id="86"/>
      <w:bookmarkEnd w:id="87"/>
      <w:bookmarkEnd w:id="88"/>
    </w:p>
    <w:p w14:paraId="0BD2363B" w14:textId="0A086538"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w:t>
      </w:r>
      <w:r w:rsidR="00783EC3" w:rsidRPr="00F04245">
        <w:lastRenderedPageBreak/>
        <w:t xml:space="preserve">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04C33B3A" w:rsidR="002D2DC7" w:rsidRDefault="002D2DC7" w:rsidP="0039610D">
      <w:r>
        <w:t xml:space="preserve">We will only </w:t>
      </w:r>
      <w:r w:rsidR="00284DC7">
        <w:t xml:space="preserve">consider funding </w:t>
      </w:r>
      <w:r>
        <w:t xml:space="preserve">applications that score </w:t>
      </w:r>
      <w:r w:rsidR="000677D4">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85224B">
      <w:pPr>
        <w:pStyle w:val="Heading3"/>
      </w:pPr>
      <w:bookmarkStart w:id="89" w:name="_Toc496536665"/>
      <w:bookmarkStart w:id="90" w:name="_Toc531277492"/>
      <w:bookmarkStart w:id="91" w:name="_Toc955302"/>
      <w:bookmarkStart w:id="92" w:name="_Toc79416750"/>
      <w:r>
        <w:t>Assessment</w:t>
      </w:r>
      <w:r w:rsidR="0039610D" w:rsidRPr="00AD742E">
        <w:t xml:space="preserve"> </w:t>
      </w:r>
      <w:r w:rsidR="003D09C5">
        <w:t>c</w:t>
      </w:r>
      <w:r w:rsidR="003D09C5" w:rsidRPr="00AD742E">
        <w:t xml:space="preserve">riterion </w:t>
      </w:r>
      <w:r w:rsidR="0039610D" w:rsidRPr="00AD742E">
        <w:t>1</w:t>
      </w:r>
      <w:bookmarkEnd w:id="89"/>
      <w:bookmarkEnd w:id="90"/>
      <w:bookmarkEnd w:id="91"/>
      <w:bookmarkEnd w:id="92"/>
    </w:p>
    <w:p w14:paraId="241033F6" w14:textId="17FE935B" w:rsidR="00960FEF" w:rsidRDefault="00960FEF" w:rsidP="0013564A">
      <w:pPr>
        <w:pStyle w:val="ListNumber2"/>
        <w:numPr>
          <w:ilvl w:val="0"/>
          <w:numId w:val="0"/>
        </w:numPr>
        <w:rPr>
          <w:b/>
        </w:rPr>
      </w:pPr>
      <w:r>
        <w:rPr>
          <w:b/>
        </w:rPr>
        <w:t>A</w:t>
      </w:r>
      <w:r w:rsidRPr="00960FEF">
        <w:rPr>
          <w:b/>
        </w:rPr>
        <w:t xml:space="preserve">lignment with policy intent </w:t>
      </w:r>
      <w:r>
        <w:rPr>
          <w:b/>
        </w:rPr>
        <w:t>(50 points)</w:t>
      </w:r>
    </w:p>
    <w:p w14:paraId="545A67AD" w14:textId="77777777" w:rsidR="00960FEF" w:rsidRDefault="00960FEF" w:rsidP="00960FEF">
      <w:pPr>
        <w:pStyle w:val="ListNumber2"/>
        <w:numPr>
          <w:ilvl w:val="0"/>
          <w:numId w:val="0"/>
        </w:numPr>
        <w:ind w:left="360" w:hanging="360"/>
      </w:pPr>
      <w:r>
        <w:t>You should demonstrate this by identifying:</w:t>
      </w:r>
    </w:p>
    <w:p w14:paraId="67BA6698" w14:textId="5C71D790" w:rsidR="00F32C6E" w:rsidRDefault="00F32C6E" w:rsidP="00F32C6E">
      <w:pPr>
        <w:pStyle w:val="ListNumber2"/>
        <w:numPr>
          <w:ilvl w:val="0"/>
          <w:numId w:val="9"/>
        </w:numPr>
      </w:pPr>
      <w:bookmarkStart w:id="93" w:name="_Toc496536666"/>
      <w:bookmarkStart w:id="94" w:name="_Toc531277493"/>
      <w:bookmarkStart w:id="95" w:name="_Toc955303"/>
      <w:r>
        <w:t>the extent to which your organisation has the relevant experience, skills, and knowledge in the STEM, research or industry sectors to manage the project</w:t>
      </w:r>
    </w:p>
    <w:p w14:paraId="20B88F94" w14:textId="04F41F59" w:rsidR="00E82E41" w:rsidRDefault="00E82E41" w:rsidP="00E82E41">
      <w:pPr>
        <w:pStyle w:val="ListNumber2"/>
        <w:numPr>
          <w:ilvl w:val="0"/>
          <w:numId w:val="9"/>
        </w:numPr>
      </w:pPr>
      <w:r w:rsidRPr="00DA7C12">
        <w:t>a detailed</w:t>
      </w:r>
      <w:r w:rsidR="00DD0FB0">
        <w:t xml:space="preserve"> plan to manage the co-design process, including plan</w:t>
      </w:r>
      <w:r w:rsidRPr="00DA7C12">
        <w:t xml:space="preserve"> for stakeholder engagement</w:t>
      </w:r>
      <w:r w:rsidR="00DD0FB0">
        <w:t>, timeline</w:t>
      </w:r>
      <w:r w:rsidRPr="00DA7C12">
        <w:t xml:space="preserve"> and other work</w:t>
      </w:r>
      <w:r w:rsidR="00DD0FB0">
        <w:t>, with an implementation plan for the scholarships scheme</w:t>
      </w:r>
      <w:r>
        <w:t xml:space="preserve"> to be delivered prior to 30 </w:t>
      </w:r>
      <w:r w:rsidR="008B328B">
        <w:t xml:space="preserve">April </w:t>
      </w:r>
      <w:r>
        <w:t>2022</w:t>
      </w:r>
      <w:r w:rsidR="00587CD6">
        <w:t>.</w:t>
      </w:r>
      <w:r>
        <w:t xml:space="preserve"> </w:t>
      </w:r>
    </w:p>
    <w:p w14:paraId="25F65275" w14:textId="1097B204" w:rsidR="0039610D" w:rsidRPr="00F01C31" w:rsidRDefault="001475D6" w:rsidP="0085224B">
      <w:pPr>
        <w:pStyle w:val="Heading3"/>
      </w:pPr>
      <w:bookmarkStart w:id="96" w:name="_Toc79416751"/>
      <w:r>
        <w:t>Assessment</w:t>
      </w:r>
      <w:r w:rsidR="0039610D" w:rsidRPr="00F01C31">
        <w:t xml:space="preserve"> </w:t>
      </w:r>
      <w:r w:rsidR="003D09C5">
        <w:t>c</w:t>
      </w:r>
      <w:r w:rsidR="003D09C5" w:rsidRPr="00F01C31">
        <w:t xml:space="preserve">riterion </w:t>
      </w:r>
      <w:r w:rsidR="00F11248">
        <w:t>2</w:t>
      </w:r>
      <w:bookmarkEnd w:id="93"/>
      <w:bookmarkEnd w:id="94"/>
      <w:bookmarkEnd w:id="95"/>
      <w:bookmarkEnd w:id="96"/>
    </w:p>
    <w:p w14:paraId="137DA3F3" w14:textId="77777777" w:rsidR="001648FA" w:rsidRDefault="001648FA" w:rsidP="001648FA">
      <w:pPr>
        <w:pStyle w:val="Normalbold"/>
      </w:pPr>
      <w:bookmarkStart w:id="97" w:name="_Toc496536667"/>
      <w:bookmarkStart w:id="98" w:name="_Toc531277494"/>
      <w:bookmarkStart w:id="99" w:name="_Toc955304"/>
      <w:r>
        <w:t>Capacity, capability and resources to deliver the project (30 points)</w:t>
      </w:r>
    </w:p>
    <w:p w14:paraId="560754FA" w14:textId="77777777" w:rsidR="001648FA" w:rsidRDefault="001648FA" w:rsidP="001648FA">
      <w:pPr>
        <w:pStyle w:val="ListNumber2"/>
        <w:keepNext/>
        <w:numPr>
          <w:ilvl w:val="0"/>
          <w:numId w:val="0"/>
        </w:numPr>
      </w:pPr>
      <w:r>
        <w:t>You should demonstrate this by identifying:</w:t>
      </w:r>
    </w:p>
    <w:p w14:paraId="7253E165" w14:textId="1128812D" w:rsidR="001648FA" w:rsidRDefault="001648FA" w:rsidP="00960FEF">
      <w:pPr>
        <w:pStyle w:val="ListNumber2"/>
        <w:numPr>
          <w:ilvl w:val="0"/>
          <w:numId w:val="41"/>
        </w:numPr>
      </w:pPr>
      <w:r>
        <w:t>your track record and experience in managing projects of a similar nature or scale</w:t>
      </w:r>
      <w:r w:rsidR="00210B5C">
        <w:t>, including gender specific programs,</w:t>
      </w:r>
      <w:r>
        <w:t xml:space="preserve"> and your plan specific to this project to utilise and manage</w:t>
      </w:r>
      <w:r w:rsidDel="00F1608E">
        <w:t xml:space="preserve"> </w:t>
      </w:r>
      <w:r>
        <w:t>personnel with the right skills and experience, including strong governance, management, financial and technical expertise</w:t>
      </w:r>
    </w:p>
    <w:p w14:paraId="16FAD315" w14:textId="372E302D" w:rsidR="001648FA" w:rsidRPr="00440D31" w:rsidRDefault="001648FA" w:rsidP="001648FA">
      <w:pPr>
        <w:pStyle w:val="ListNumber2"/>
        <w:numPr>
          <w:ilvl w:val="0"/>
          <w:numId w:val="9"/>
        </w:numPr>
        <w:spacing w:before="0" w:after="160" w:line="259" w:lineRule="auto"/>
      </w:pPr>
      <w:r w:rsidRPr="00440D31">
        <w:t xml:space="preserve">your plan to manage </w:t>
      </w:r>
      <w:r>
        <w:t xml:space="preserve">and deliver </w:t>
      </w:r>
      <w:r w:rsidRPr="00440D31">
        <w:t xml:space="preserve">the project including </w:t>
      </w:r>
      <w:r w:rsidR="003946F7">
        <w:t>service</w:t>
      </w:r>
      <w:r w:rsidRPr="00440D31">
        <w:t xml:space="preserve"> arrangements and governance, implementation methodology, timeframes, delivery risks and budget</w:t>
      </w:r>
    </w:p>
    <w:p w14:paraId="2F809BFB" w14:textId="77777777" w:rsidR="001648FA" w:rsidRDefault="001648FA" w:rsidP="001648FA">
      <w:pPr>
        <w:pStyle w:val="ListNumber2"/>
        <w:numPr>
          <w:ilvl w:val="0"/>
          <w:numId w:val="9"/>
        </w:numPr>
        <w:spacing w:before="0" w:after="160" w:line="259" w:lineRule="auto"/>
      </w:pPr>
      <w:r w:rsidRPr="00440D31">
        <w:t xml:space="preserve">your access, or future access, to any required infrastructure, capital equipment, technology, </w:t>
      </w:r>
      <w:r>
        <w:t xml:space="preserve">commercial agreements, </w:t>
      </w:r>
      <w:r w:rsidRPr="00440D31">
        <w:t>intellectual property</w:t>
      </w:r>
      <w:r>
        <w:t>, specialist skills or expertise,</w:t>
      </w:r>
      <w:r w:rsidRPr="00440D31">
        <w:t xml:space="preserve"> and regulatory or other approvals</w:t>
      </w:r>
      <w:r>
        <w:t xml:space="preserve"> (specify any approval conditions on the project).</w:t>
      </w:r>
    </w:p>
    <w:p w14:paraId="25F6527A" w14:textId="6B7B7A9F" w:rsidR="0039610D" w:rsidRPr="00ED2E1A" w:rsidRDefault="001475D6" w:rsidP="0085224B">
      <w:pPr>
        <w:pStyle w:val="Heading3"/>
      </w:pPr>
      <w:bookmarkStart w:id="100" w:name="_Toc79416752"/>
      <w:r>
        <w:t>Assessment</w:t>
      </w:r>
      <w:r w:rsidR="0039610D" w:rsidRPr="00ED2E1A">
        <w:t xml:space="preserve"> </w:t>
      </w:r>
      <w:r w:rsidR="003D09C5">
        <w:t>c</w:t>
      </w:r>
      <w:r w:rsidR="003D09C5" w:rsidRPr="00ED2E1A">
        <w:t>riteri</w:t>
      </w:r>
      <w:r w:rsidR="003D09C5">
        <w:t xml:space="preserve">on </w:t>
      </w:r>
      <w:r w:rsidR="00F11248">
        <w:t>3</w:t>
      </w:r>
      <w:bookmarkEnd w:id="97"/>
      <w:bookmarkEnd w:id="98"/>
      <w:bookmarkEnd w:id="99"/>
      <w:bookmarkEnd w:id="100"/>
    </w:p>
    <w:p w14:paraId="157503E2" w14:textId="330244CA" w:rsidR="009039D8" w:rsidRDefault="009039D8" w:rsidP="009039D8">
      <w:pPr>
        <w:pStyle w:val="Normalbold"/>
      </w:pPr>
      <w:r>
        <w:t>Financial capability and governance (</w:t>
      </w:r>
      <w:r w:rsidR="001213E5">
        <w:t>2</w:t>
      </w:r>
      <w:r>
        <w:t>0 points)</w:t>
      </w:r>
    </w:p>
    <w:p w14:paraId="4522AD39" w14:textId="77777777" w:rsidR="009039D8" w:rsidRDefault="009039D8" w:rsidP="009039D8">
      <w:pPr>
        <w:pStyle w:val="ListNumber2"/>
        <w:numPr>
          <w:ilvl w:val="0"/>
          <w:numId w:val="0"/>
        </w:numPr>
      </w:pPr>
      <w:r>
        <w:t xml:space="preserve">You should demonstrate this through identifying: </w:t>
      </w:r>
    </w:p>
    <w:p w14:paraId="5E5C3F6B" w14:textId="4315C551" w:rsidR="009039D8" w:rsidRPr="00193B84" w:rsidRDefault="00DA7C12" w:rsidP="00DA7C12">
      <w:pPr>
        <w:pStyle w:val="ListNumber2"/>
        <w:numPr>
          <w:ilvl w:val="0"/>
          <w:numId w:val="43"/>
        </w:numPr>
        <w:tabs>
          <w:tab w:val="left" w:pos="432"/>
        </w:tabs>
        <w:spacing w:before="119" w:after="0" w:line="280" w:lineRule="exact"/>
        <w:ind w:right="144"/>
        <w:textAlignment w:val="baseline"/>
        <w:rPr>
          <w:rFonts w:eastAsia="Arial"/>
          <w:color w:val="000000"/>
        </w:rPr>
      </w:pPr>
      <w:r>
        <w:rPr>
          <w:rFonts w:eastAsia="Arial"/>
          <w:color w:val="000000"/>
        </w:rPr>
        <w:t xml:space="preserve">a </w:t>
      </w:r>
      <w:r w:rsidR="009039D8" w:rsidRPr="00193B84">
        <w:rPr>
          <w:rFonts w:eastAsia="Arial"/>
          <w:color w:val="000000"/>
        </w:rPr>
        <w:t xml:space="preserve">detailed project budget </w:t>
      </w:r>
      <w:r w:rsidR="00193B84" w:rsidRPr="00193B84">
        <w:rPr>
          <w:rFonts w:eastAsia="Arial"/>
          <w:color w:val="000000"/>
        </w:rPr>
        <w:t>that identifies the costs of the co-design process</w:t>
      </w:r>
      <w:r w:rsidR="00193B84">
        <w:rPr>
          <w:rFonts w:eastAsia="Arial"/>
          <w:color w:val="000000"/>
        </w:rPr>
        <w:t xml:space="preserve"> and estimated</w:t>
      </w:r>
      <w:r w:rsidR="007060AD">
        <w:rPr>
          <w:rFonts w:eastAsia="Arial"/>
          <w:color w:val="000000"/>
        </w:rPr>
        <w:t xml:space="preserve"> costs</w:t>
      </w:r>
      <w:r w:rsidR="009039D8" w:rsidRPr="00193B84">
        <w:rPr>
          <w:rFonts w:eastAsia="Arial"/>
          <w:color w:val="000000"/>
        </w:rPr>
        <w:t xml:space="preserve"> </w:t>
      </w:r>
      <w:r w:rsidR="007060AD">
        <w:rPr>
          <w:rFonts w:eastAsia="Arial"/>
          <w:color w:val="000000"/>
        </w:rPr>
        <w:t xml:space="preserve">of the scholarship program including costs </w:t>
      </w:r>
      <w:r w:rsidR="009039D8" w:rsidRPr="00193B84">
        <w:rPr>
          <w:rFonts w:eastAsia="Arial"/>
          <w:color w:val="000000"/>
        </w:rPr>
        <w:t>of promotional activities, the development of content, travel and financial audit</w:t>
      </w:r>
      <w:r w:rsidR="008B1FE3" w:rsidRPr="00193B84">
        <w:rPr>
          <w:rFonts w:eastAsia="Arial"/>
          <w:color w:val="000000"/>
        </w:rPr>
        <w:t>s</w:t>
      </w:r>
      <w:r w:rsidR="009039D8" w:rsidRPr="00193B84">
        <w:rPr>
          <w:rFonts w:eastAsia="Arial"/>
          <w:color w:val="000000"/>
        </w:rPr>
        <w:t>, and demonstrates that costs are commensurate with the level of service to be provided</w:t>
      </w:r>
    </w:p>
    <w:p w14:paraId="13F9D24D" w14:textId="77777777" w:rsidR="009039D8" w:rsidRDefault="009039D8" w:rsidP="009039D8">
      <w:pPr>
        <w:pStyle w:val="ListNumber2"/>
        <w:numPr>
          <w:ilvl w:val="0"/>
          <w:numId w:val="43"/>
        </w:numPr>
        <w:tabs>
          <w:tab w:val="left" w:pos="432"/>
        </w:tabs>
        <w:spacing w:before="83" w:after="0" w:line="280" w:lineRule="exact"/>
        <w:ind w:right="72"/>
        <w:textAlignment w:val="baseline"/>
        <w:rPr>
          <w:rFonts w:eastAsia="Arial"/>
          <w:color w:val="000000"/>
        </w:rPr>
      </w:pPr>
      <w:r w:rsidRPr="00C63E80">
        <w:rPr>
          <w:rFonts w:eastAsia="Arial"/>
          <w:color w:val="000000"/>
        </w:rPr>
        <w:t>your ability to fund the running costs of your organisation external to the project and any project costs that are not covered by the grant</w:t>
      </w:r>
    </w:p>
    <w:p w14:paraId="7205930F" w14:textId="3A36A5FC" w:rsidR="009039D8" w:rsidRDefault="009039D8" w:rsidP="009039D8">
      <w:pPr>
        <w:pStyle w:val="ListNumber2"/>
        <w:numPr>
          <w:ilvl w:val="0"/>
          <w:numId w:val="43"/>
        </w:numPr>
        <w:tabs>
          <w:tab w:val="left" w:pos="432"/>
        </w:tabs>
        <w:spacing w:before="83" w:after="0" w:line="280" w:lineRule="exact"/>
        <w:ind w:right="72"/>
        <w:textAlignment w:val="baseline"/>
        <w:rPr>
          <w:rFonts w:eastAsia="Arial"/>
          <w:color w:val="000000"/>
        </w:rPr>
      </w:pPr>
      <w:proofErr w:type="gramStart"/>
      <w:r w:rsidRPr="00E27CB2">
        <w:rPr>
          <w:rFonts w:eastAsia="Arial"/>
          <w:color w:val="000000"/>
        </w:rPr>
        <w:t>how</w:t>
      </w:r>
      <w:proofErr w:type="gramEnd"/>
      <w:r w:rsidRPr="00E27CB2">
        <w:rPr>
          <w:rFonts w:eastAsia="Arial"/>
          <w:color w:val="000000"/>
        </w:rPr>
        <w:t xml:space="preserve"> your organisation and your partner organisation</w:t>
      </w:r>
      <w:r w:rsidR="00E61953">
        <w:rPr>
          <w:rFonts w:eastAsia="Arial"/>
          <w:color w:val="000000"/>
        </w:rPr>
        <w:t>/s</w:t>
      </w:r>
      <w:r w:rsidRPr="00E27CB2">
        <w:rPr>
          <w:rFonts w:eastAsia="Arial"/>
          <w:color w:val="000000"/>
        </w:rPr>
        <w:t xml:space="preserve"> meet appropriate governance standards</w:t>
      </w:r>
      <w:r>
        <w:rPr>
          <w:rFonts w:eastAsia="Arial"/>
          <w:color w:val="000000"/>
        </w:rPr>
        <w:t>.</w:t>
      </w:r>
    </w:p>
    <w:p w14:paraId="25F6529F" w14:textId="77777777" w:rsidR="00A71134" w:rsidRPr="00F77C1C" w:rsidRDefault="00A71134" w:rsidP="0085224B">
      <w:pPr>
        <w:pStyle w:val="Heading2"/>
      </w:pPr>
      <w:bookmarkStart w:id="101" w:name="_Toc496536669"/>
      <w:bookmarkStart w:id="102" w:name="_Toc531277496"/>
      <w:bookmarkStart w:id="103" w:name="_Toc955306"/>
      <w:bookmarkStart w:id="104" w:name="_Toc79416753"/>
      <w:bookmarkStart w:id="105" w:name="_Toc164844283"/>
      <w:bookmarkStart w:id="106" w:name="_Toc383003272"/>
      <w:bookmarkEnd w:id="70"/>
      <w:bookmarkEnd w:id="71"/>
      <w:r>
        <w:t>How to apply</w:t>
      </w:r>
      <w:bookmarkEnd w:id="101"/>
      <w:bookmarkEnd w:id="102"/>
      <w:bookmarkEnd w:id="103"/>
      <w:bookmarkEnd w:id="104"/>
    </w:p>
    <w:p w14:paraId="25F652A2" w14:textId="54157F94"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1" w:anchor="key-documents" w:history="1">
        <w:r w:rsidRPr="00FA1DC6">
          <w:rPr>
            <w:rStyle w:val="Hyperlink"/>
          </w:rPr>
          <w:t>application form</w:t>
        </w:r>
      </w:hyperlink>
      <w:r w:rsidR="001648FA">
        <w:t xml:space="preserve"> and </w:t>
      </w:r>
      <w:r>
        <w:t xml:space="preserve">the </w:t>
      </w:r>
      <w:r w:rsidR="00F27C1B">
        <w:t xml:space="preserve">sample </w:t>
      </w:r>
      <w:hyperlink r:id="rId22" w:anchor="key-documents" w:history="1">
        <w:r w:rsidRPr="00FA1DC6">
          <w:rPr>
            <w:rStyle w:val="Hyperlink"/>
          </w:rPr>
          <w:t>grant agreement</w:t>
        </w:r>
      </w:hyperlink>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7F50F239" w:rsidR="00A71134" w:rsidRDefault="00A71134" w:rsidP="00A71134">
      <w:pPr>
        <w:pStyle w:val="ListBullet"/>
      </w:pPr>
      <w:r>
        <w:t>complete</w:t>
      </w:r>
      <w:r w:rsidRPr="00E162FF">
        <w:t xml:space="preserve"> the </w:t>
      </w:r>
      <w:r>
        <w:t xml:space="preserve">online </w:t>
      </w:r>
      <w:hyperlink r:id="rId23" w:anchor="applying"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3DA7B813" w:rsidR="00A71134" w:rsidRDefault="00A71134" w:rsidP="00A71134">
      <w:pPr>
        <w:pStyle w:val="ListBullet"/>
      </w:pPr>
      <w:r>
        <w:lastRenderedPageBreak/>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664D8F63" w:rsidR="00A71134" w:rsidRDefault="00C67E20" w:rsidP="00A71134">
      <w:r w:rsidRPr="005A61FE">
        <w:t>You should retain</w:t>
      </w:r>
      <w:r w:rsidR="00A71134">
        <w:t xml:space="preserve"> a copy of your application</w:t>
      </w:r>
      <w:r w:rsidRPr="005A61FE">
        <w:t xml:space="preserve">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85224B">
      <w:pPr>
        <w:pStyle w:val="Heading3"/>
      </w:pPr>
      <w:bookmarkStart w:id="107" w:name="_Toc496536670"/>
      <w:bookmarkStart w:id="108" w:name="_Toc531277497"/>
      <w:bookmarkStart w:id="109" w:name="_Toc955307"/>
      <w:bookmarkStart w:id="110" w:name="_Toc79416754"/>
      <w:r>
        <w:t>Attachments to the application</w:t>
      </w:r>
      <w:bookmarkEnd w:id="107"/>
      <w:bookmarkEnd w:id="108"/>
      <w:bookmarkEnd w:id="109"/>
      <w:bookmarkEnd w:id="110"/>
    </w:p>
    <w:p w14:paraId="25F652B0" w14:textId="4CC7C219" w:rsidR="00A71134" w:rsidRPr="0025345F" w:rsidRDefault="00284DC7" w:rsidP="00760D2E">
      <w:pPr>
        <w:spacing w:after="80"/>
      </w:pPr>
      <w:r w:rsidRPr="0025345F">
        <w:t>You must p</w:t>
      </w:r>
      <w:r w:rsidR="009049DE" w:rsidRPr="0025345F">
        <w:t>rovide</w:t>
      </w:r>
      <w:r w:rsidR="00387369" w:rsidRPr="0025345F">
        <w:t xml:space="preserve"> t</w:t>
      </w:r>
      <w:r w:rsidR="00A71134" w:rsidRPr="0025345F">
        <w:t>he following documents with your application</w:t>
      </w:r>
      <w:r w:rsidR="00825941" w:rsidRPr="0025345F">
        <w:t>:</w:t>
      </w:r>
    </w:p>
    <w:p w14:paraId="25F652B2" w14:textId="77777777" w:rsidR="00A71134" w:rsidRPr="0025345F" w:rsidRDefault="00A71134" w:rsidP="00A71134">
      <w:pPr>
        <w:pStyle w:val="ListBullet"/>
      </w:pPr>
      <w:r w:rsidRPr="0025345F">
        <w:t>project plan</w:t>
      </w:r>
    </w:p>
    <w:p w14:paraId="25F652B3" w14:textId="0C72CBD6" w:rsidR="00A71134" w:rsidRPr="0025345F" w:rsidRDefault="00F62C77" w:rsidP="00A71134">
      <w:pPr>
        <w:pStyle w:val="ListBullet"/>
      </w:pPr>
      <w:r w:rsidRPr="0025345F">
        <w:t xml:space="preserve">project </w:t>
      </w:r>
      <w:r w:rsidR="00A71134" w:rsidRPr="0025345F">
        <w:t xml:space="preserve">budget </w:t>
      </w:r>
    </w:p>
    <w:p w14:paraId="25F652B5" w14:textId="0D4448B6" w:rsidR="00A71134" w:rsidRPr="0025345F" w:rsidRDefault="00A71134" w:rsidP="00A71134">
      <w:pPr>
        <w:pStyle w:val="ListBullet"/>
      </w:pPr>
      <w:proofErr w:type="gramStart"/>
      <w:r w:rsidRPr="0025345F">
        <w:t>evidence</w:t>
      </w:r>
      <w:proofErr w:type="gramEnd"/>
      <w:r w:rsidRPr="0025345F">
        <w:t xml:space="preserve"> of support from the board, CEO</w:t>
      </w:r>
      <w:r w:rsidR="005D3AD3" w:rsidRPr="0025345F">
        <w:t xml:space="preserve"> or equivalent</w:t>
      </w:r>
      <w:r w:rsidR="00284DC7" w:rsidRPr="0025345F">
        <w:t xml:space="preserve"> (template provided on </w:t>
      </w:r>
      <w:hyperlink r:id="rId25" w:anchor="key-documents" w:history="1">
        <w:r w:rsidR="00284DC7" w:rsidRPr="00FA1DC6">
          <w:rPr>
            <w:rStyle w:val="Hyperlink"/>
          </w:rPr>
          <w:t>business.gov.au</w:t>
        </w:r>
      </w:hyperlink>
      <w:r w:rsidR="00284DC7" w:rsidRPr="0025345F">
        <w:t xml:space="preserve"> and </w:t>
      </w:r>
      <w:hyperlink r:id="rId26" w:history="1">
        <w:r w:rsidR="00284DC7" w:rsidRPr="0025345F">
          <w:rPr>
            <w:rStyle w:val="Hyperlink"/>
          </w:rPr>
          <w:t>GrantConnect</w:t>
        </w:r>
      </w:hyperlink>
      <w:r w:rsidR="00284DC7" w:rsidRPr="0025345F">
        <w:t>). Where the CEO or equivalent submits the application, we will accept this as evidence of support.</w:t>
      </w:r>
    </w:p>
    <w:p w14:paraId="25F652B6" w14:textId="51B3FAA8" w:rsidR="00A71134" w:rsidRPr="0025345F" w:rsidRDefault="00A71134" w:rsidP="00007E4B">
      <w:pPr>
        <w:pStyle w:val="ListBullet"/>
        <w:spacing w:after="120"/>
      </w:pPr>
      <w:proofErr w:type="gramStart"/>
      <w:r w:rsidRPr="0025345F">
        <w:t>trust</w:t>
      </w:r>
      <w:proofErr w:type="gramEnd"/>
      <w:r w:rsidRPr="0025345F">
        <w:t xml:space="preserve"> deed (where applicable)</w:t>
      </w:r>
      <w:r w:rsidR="005A61FE" w:rsidRPr="0025345F">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85224B">
      <w:pPr>
        <w:pStyle w:val="Heading3"/>
      </w:pPr>
      <w:bookmarkStart w:id="111" w:name="_Ref531274879"/>
      <w:bookmarkStart w:id="112" w:name="_Toc531277498"/>
      <w:bookmarkStart w:id="113" w:name="_Toc955308"/>
      <w:bookmarkStart w:id="114" w:name="_Toc79416755"/>
      <w:bookmarkStart w:id="115" w:name="_Toc489952689"/>
      <w:bookmarkStart w:id="116" w:name="_Toc496536671"/>
      <w:bookmarkStart w:id="117" w:name="_Ref482605332"/>
      <w:r>
        <w:t>Joint applications</w:t>
      </w:r>
      <w:bookmarkEnd w:id="111"/>
      <w:bookmarkEnd w:id="112"/>
      <w:bookmarkEnd w:id="113"/>
      <w:bookmarkEnd w:id="114"/>
    </w:p>
    <w:p w14:paraId="448E2736" w14:textId="77D33962"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7BE769D0" w:rsidR="00A71134" w:rsidRDefault="00A71134" w:rsidP="00653895">
      <w:pPr>
        <w:pStyle w:val="ListBullet"/>
        <w:spacing w:after="120"/>
      </w:pPr>
      <w:proofErr w:type="gramStart"/>
      <w:r>
        <w:t>details</w:t>
      </w:r>
      <w:proofErr w:type="gramEnd"/>
      <w:r>
        <w:t xml:space="preserve"> of a nominated management level contact officer</w:t>
      </w:r>
      <w:r w:rsidR="00F075DE">
        <w:t>.</w:t>
      </w:r>
    </w:p>
    <w:p w14:paraId="2B21F2CE" w14:textId="5559EA11" w:rsidR="007F7294" w:rsidRPr="005A61FE" w:rsidRDefault="00DF1A74" w:rsidP="007F7294">
      <w:r>
        <w:t>You must have a formal arrangement in place with all parties</w:t>
      </w:r>
      <w:r w:rsidR="007F7294" w:rsidRPr="005A61FE">
        <w:t xml:space="preserve"> prior to execution o</w:t>
      </w:r>
      <w:r w:rsidR="007F7294" w:rsidRPr="00AE4466">
        <w:t>f</w:t>
      </w:r>
      <w:r w:rsidR="007F7294" w:rsidRPr="005A61FE">
        <w:t xml:space="preserve"> the grant agreement. </w:t>
      </w:r>
    </w:p>
    <w:p w14:paraId="100CAD41" w14:textId="28259BCC" w:rsidR="00247D27" w:rsidRDefault="00247D27" w:rsidP="0085224B">
      <w:pPr>
        <w:pStyle w:val="Heading3"/>
      </w:pPr>
      <w:bookmarkStart w:id="118" w:name="_Toc531277499"/>
      <w:bookmarkStart w:id="119" w:name="_Toc955309"/>
      <w:bookmarkStart w:id="120" w:name="_Toc79416756"/>
      <w:r>
        <w:t>Timing of grant opportunity</w:t>
      </w:r>
      <w:bookmarkEnd w:id="115"/>
      <w:bookmarkEnd w:id="116"/>
      <w:bookmarkEnd w:id="118"/>
      <w:bookmarkEnd w:id="119"/>
      <w:bookmarkEnd w:id="120"/>
    </w:p>
    <w:p w14:paraId="6FC0C72E" w14:textId="1CA14AF0"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51A61071" w14:textId="271C351F" w:rsidR="00247D27" w:rsidRDefault="00247D27" w:rsidP="00247D27">
      <w:pPr>
        <w:spacing w:before="200"/>
      </w:pPr>
      <w:r>
        <w:lastRenderedPageBreak/>
        <w:t xml:space="preserve">If you are </w:t>
      </w:r>
      <w:proofErr w:type="gramStart"/>
      <w:r>
        <w:t>successful</w:t>
      </w:r>
      <w:proofErr w:type="gramEnd"/>
      <w:r>
        <w:t xml:space="preserve"> we expect you will be able </w:t>
      </w:r>
      <w:r w:rsidR="00F075DE">
        <w:t xml:space="preserve">to commence your project </w:t>
      </w:r>
      <w:r w:rsidR="00667E00">
        <w:t>in</w:t>
      </w:r>
      <w:r w:rsidR="00F075DE">
        <w:t xml:space="preserve"> January </w:t>
      </w:r>
      <w:r w:rsidR="001A5674">
        <w:t>2022</w:t>
      </w:r>
      <w:r>
        <w:t>.</w:t>
      </w:r>
    </w:p>
    <w:p w14:paraId="6AD1AC12" w14:textId="77777777" w:rsidR="00247D27" w:rsidRDefault="00247D27" w:rsidP="00680B92">
      <w:pPr>
        <w:pStyle w:val="Caption"/>
        <w:keepNext/>
      </w:pPr>
      <w:bookmarkStart w:id="121" w:name="_Toc467773968"/>
      <w:r w:rsidRPr="0054078D">
        <w:rPr>
          <w:bCs/>
        </w:rPr>
        <w:t>Table 1: Expected timing for this grant opportunity</w:t>
      </w:r>
      <w:bookmarkEnd w:id="12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C30A353" w:rsidR="00247D27" w:rsidRPr="00B16B54" w:rsidRDefault="00F075DE" w:rsidP="00F075DE">
            <w:pPr>
              <w:pStyle w:val="TableText"/>
              <w:keepNext/>
            </w:pPr>
            <w:r>
              <w:t xml:space="preserve">8 </w:t>
            </w:r>
            <w:r w:rsidR="00247D27" w:rsidRPr="00B16B54">
              <w:t xml:space="preserve">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0EE9FF23" w:rsidR="00247D27" w:rsidRPr="00B16B54" w:rsidRDefault="00F075DE" w:rsidP="00F075DE">
            <w:pPr>
              <w:pStyle w:val="TableText"/>
              <w:keepNext/>
            </w:pPr>
            <w:r>
              <w:t xml:space="preserve">4 weeks </w:t>
            </w:r>
          </w:p>
        </w:tc>
      </w:tr>
      <w:tr w:rsidR="00247D27" w14:paraId="27D75006" w14:textId="77777777" w:rsidTr="001432F9">
        <w:trPr>
          <w:cantSplit/>
        </w:trPr>
        <w:tc>
          <w:tcPr>
            <w:tcW w:w="4815" w:type="dxa"/>
          </w:tcPr>
          <w:p w14:paraId="482E3985" w14:textId="24635846" w:rsidR="00247D27" w:rsidRPr="00B16B54" w:rsidRDefault="00247D27" w:rsidP="004032F7">
            <w:pPr>
              <w:pStyle w:val="TableText"/>
              <w:keepNext/>
            </w:pPr>
            <w:r w:rsidRPr="00B16B54">
              <w:t>Negotiations and award of grant agreement</w:t>
            </w:r>
          </w:p>
        </w:tc>
        <w:tc>
          <w:tcPr>
            <w:tcW w:w="3974" w:type="dxa"/>
          </w:tcPr>
          <w:p w14:paraId="3061827A" w14:textId="42E1E8BF" w:rsidR="00247D27" w:rsidRPr="00B16B54" w:rsidRDefault="00587CD6" w:rsidP="00F075DE">
            <w:pPr>
              <w:pStyle w:val="TableText"/>
              <w:keepNext/>
            </w:pPr>
            <w:r>
              <w:t>1-4</w:t>
            </w:r>
            <w:r w:rsidR="00F075DE">
              <w:t xml:space="preserve"> weeks </w:t>
            </w:r>
          </w:p>
        </w:tc>
      </w:tr>
      <w:tr w:rsidR="00247D27" w14:paraId="28E24F8E" w14:textId="77777777" w:rsidTr="001432F9">
        <w:trPr>
          <w:cantSplit/>
        </w:trPr>
        <w:tc>
          <w:tcPr>
            <w:tcW w:w="4815" w:type="dxa"/>
          </w:tcPr>
          <w:p w14:paraId="0A25B785" w14:textId="123E3F16" w:rsidR="00247D27" w:rsidRPr="00B16B54" w:rsidRDefault="00247D27" w:rsidP="004032F7">
            <w:pPr>
              <w:pStyle w:val="TableText"/>
              <w:keepNext/>
            </w:pPr>
            <w:r w:rsidRPr="00B16B54">
              <w:t>Notification to unsuccessful applicant</w:t>
            </w:r>
          </w:p>
        </w:tc>
        <w:tc>
          <w:tcPr>
            <w:tcW w:w="3974" w:type="dxa"/>
          </w:tcPr>
          <w:p w14:paraId="63FE2BC7" w14:textId="44428D8E" w:rsidR="00247D27" w:rsidRPr="00B16B54" w:rsidRDefault="00587CD6" w:rsidP="00F075DE">
            <w:pPr>
              <w:pStyle w:val="TableText"/>
              <w:keepNext/>
            </w:pPr>
            <w:r>
              <w:t>4</w:t>
            </w:r>
            <w:r w:rsidR="00247D27" w:rsidRPr="00B16B54">
              <w:t xml:space="preserve"> weeks</w:t>
            </w:r>
            <w:r w:rsidR="00247D27">
              <w:t xml:space="preserve"> </w:t>
            </w:r>
          </w:p>
        </w:tc>
      </w:tr>
      <w:tr w:rsidR="00247D27" w14:paraId="34E7BF3A" w14:textId="77777777" w:rsidTr="001432F9">
        <w:trPr>
          <w:cantSplit/>
        </w:trPr>
        <w:tc>
          <w:tcPr>
            <w:tcW w:w="4815" w:type="dxa"/>
          </w:tcPr>
          <w:p w14:paraId="0D12C166" w14:textId="256D11C5" w:rsidR="00247D27" w:rsidRPr="00B16B54" w:rsidRDefault="00F075DE" w:rsidP="00F075DE">
            <w:pPr>
              <w:pStyle w:val="TableText"/>
              <w:keepNext/>
            </w:pPr>
            <w:r>
              <w:t xml:space="preserve">Earliest start date of </w:t>
            </w:r>
            <w:r w:rsidR="00247D27">
              <w:t>project</w:t>
            </w:r>
            <w:r w:rsidR="00247D27" w:rsidRPr="00B16B54">
              <w:t xml:space="preserve"> </w:t>
            </w:r>
          </w:p>
        </w:tc>
        <w:tc>
          <w:tcPr>
            <w:tcW w:w="3974" w:type="dxa"/>
          </w:tcPr>
          <w:p w14:paraId="23920C1F" w14:textId="7906F7AB" w:rsidR="00247D27" w:rsidRPr="00B16B54" w:rsidRDefault="00697681" w:rsidP="001A5674">
            <w:pPr>
              <w:pStyle w:val="TableText"/>
              <w:keepNext/>
            </w:pPr>
            <w:r>
              <w:t>January 202</w:t>
            </w:r>
            <w:r w:rsidR="001A5674">
              <w:t>2</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28CE043A" w:rsidR="00697681" w:rsidRPr="007B3784" w:rsidRDefault="00697681">
            <w:pPr>
              <w:pStyle w:val="TableText"/>
              <w:keepNext/>
            </w:pPr>
            <w:r>
              <w:t xml:space="preserve">30 </w:t>
            </w:r>
            <w:r w:rsidR="00B1501A">
              <w:t xml:space="preserve">April </w:t>
            </w:r>
            <w:r>
              <w:t>202</w:t>
            </w:r>
            <w:r w:rsidR="00B1501A">
              <w:t>8</w:t>
            </w:r>
          </w:p>
        </w:tc>
      </w:tr>
    </w:tbl>
    <w:p w14:paraId="591417E1" w14:textId="5BD85686" w:rsidR="00247D27" w:rsidRPr="00AD742E" w:rsidRDefault="00247D27" w:rsidP="0085224B">
      <w:pPr>
        <w:pStyle w:val="Heading2"/>
      </w:pPr>
      <w:bookmarkStart w:id="122" w:name="_Toc496536673"/>
      <w:bookmarkStart w:id="123" w:name="_Toc531277500"/>
      <w:bookmarkStart w:id="124" w:name="_Toc955310"/>
      <w:bookmarkStart w:id="125" w:name="_Toc79416757"/>
      <w:bookmarkEnd w:id="117"/>
      <w:r>
        <w:t xml:space="preserve">The </w:t>
      </w:r>
      <w:r w:rsidR="00E93B21">
        <w:t xml:space="preserve">grant </w:t>
      </w:r>
      <w:r>
        <w:t>selection process</w:t>
      </w:r>
      <w:bookmarkEnd w:id="122"/>
      <w:bookmarkEnd w:id="123"/>
      <w:bookmarkEnd w:id="124"/>
      <w:bookmarkEnd w:id="125"/>
    </w:p>
    <w:p w14:paraId="08F496D4" w14:textId="1B44356C"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w:t>
      </w:r>
      <w:r>
        <w:t>Only eligible applications will proceed to the assessment stage.</w:t>
      </w:r>
    </w:p>
    <w:p w14:paraId="786D54D1" w14:textId="77777777" w:rsidR="00F120F3" w:rsidRDefault="00F120F3" w:rsidP="00F120F3">
      <w:r>
        <w:t>We refer your application to a committee of experts. The committee may also seek additional advice from independent technical experts.</w:t>
      </w:r>
    </w:p>
    <w:p w14:paraId="155BC978" w14:textId="50A2EAEE" w:rsidR="00F120F3" w:rsidRDefault="00F120F3" w:rsidP="00F120F3">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providing advice on which project to fund</w:t>
      </w:r>
      <w:r w:rsidRPr="00E162FF">
        <w:t>.</w:t>
      </w:r>
    </w:p>
    <w:p w14:paraId="6E7DDCB4" w14:textId="411B60CC" w:rsidR="00F67DBB" w:rsidRPr="005A61FE" w:rsidRDefault="00F120F3" w:rsidP="00F67DBB">
      <w:r>
        <w:t>The committee</w:t>
      </w:r>
      <w:r w:rsidR="00F67DBB" w:rsidRPr="005A61FE">
        <w:t xml:space="preserve"> consider</w:t>
      </w:r>
      <w:r w:rsidR="00A54025">
        <w:t>s</w:t>
      </w:r>
      <w:r w:rsidR="00F67DBB" w:rsidRPr="005A61FE">
        <w:t xml:space="preserve">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219A8D1E" w:rsidR="00F67DBB" w:rsidRPr="005A61FE" w:rsidRDefault="00626CA0" w:rsidP="00E27987">
      <w:pPr>
        <w:pStyle w:val="ListBullet"/>
        <w:numPr>
          <w:ilvl w:val="0"/>
          <w:numId w:val="7"/>
        </w:numPr>
      </w:pPr>
      <w:r>
        <w:t>if competitive,</w:t>
      </w:r>
      <w:r w:rsidR="00E27987" w:rsidRPr="005A61FE">
        <w:t xml:space="preserve"> </w:t>
      </w:r>
      <w:r w:rsidR="00F67DBB" w:rsidRPr="005A61FE">
        <w:t>how it compares to other applications</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525D3DC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t>
      </w:r>
      <w:r w:rsidR="00F120F3">
        <w:rPr>
          <w:rFonts w:cs="Arial"/>
        </w:rPr>
        <w:t>the committee</w:t>
      </w:r>
      <w:r w:rsidR="00F120F3" w:rsidRPr="005A61FE" w:rsidDel="00E27987">
        <w:rPr>
          <w:rFonts w:cs="Arial"/>
        </w:rPr>
        <w:t xml:space="preserve"> </w:t>
      </w:r>
      <w:r w:rsidRPr="005A61FE" w:rsidDel="00E27987">
        <w:rPr>
          <w:rFonts w:cs="Arial"/>
        </w:rPr>
        <w:t>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1546E078" w14:textId="77777777" w:rsidR="00003DDF" w:rsidRDefault="00003DDF" w:rsidP="00003DDF">
      <w:pPr>
        <w:pStyle w:val="ListBullet"/>
        <w:numPr>
          <w:ilvl w:val="0"/>
          <w:numId w:val="0"/>
        </w:numPr>
      </w:pPr>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proofErr w:type="gramStart"/>
      <w:r>
        <w:t>as a result</w:t>
      </w:r>
      <w:proofErr w:type="gramEnd"/>
      <w:r>
        <w:t xml:space="preserve"> of the Due Diligence process or </w:t>
      </w:r>
      <w:r w:rsidRPr="00B72EE8">
        <w:t>through the normal course of business.</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Pr="006C2610" w:rsidRDefault="00F67DBB" w:rsidP="0085224B">
      <w:pPr>
        <w:pStyle w:val="Heading3"/>
      </w:pPr>
      <w:bookmarkStart w:id="126" w:name="_Toc531277501"/>
      <w:bookmarkStart w:id="127" w:name="_Toc164844279"/>
      <w:bookmarkStart w:id="128" w:name="_Toc383003268"/>
      <w:bookmarkStart w:id="129" w:name="_Toc496536674"/>
      <w:bookmarkStart w:id="130" w:name="_Toc955311"/>
      <w:bookmarkStart w:id="131" w:name="_Toc79416758"/>
      <w:r w:rsidRPr="006C2610">
        <w:t>Who will approve grants?</w:t>
      </w:r>
      <w:bookmarkEnd w:id="126"/>
      <w:bookmarkEnd w:id="127"/>
      <w:bookmarkEnd w:id="128"/>
      <w:bookmarkEnd w:id="129"/>
      <w:bookmarkEnd w:id="130"/>
      <w:bookmarkEnd w:id="131"/>
    </w:p>
    <w:p w14:paraId="5C7FBF1F" w14:textId="72F714ED" w:rsidR="00247D27" w:rsidRPr="006C2610" w:rsidRDefault="00247D27" w:rsidP="00247D27">
      <w:r w:rsidRPr="006C2610">
        <w:t>The Program Delegate</w:t>
      </w:r>
      <w:r w:rsidR="006C2610" w:rsidRPr="006C2610">
        <w:t xml:space="preserve"> d</w:t>
      </w:r>
      <w:r w:rsidRPr="006C2610">
        <w:t>ecides which grants to</w:t>
      </w:r>
      <w:r w:rsidR="00AD26B9" w:rsidRPr="006C2610">
        <w:t xml:space="preserve"> approve taking into account</w:t>
      </w:r>
      <w:r w:rsidRPr="006C2610">
        <w:t xml:space="preserve"> the </w:t>
      </w:r>
      <w:r w:rsidR="00F120F3" w:rsidRPr="006C2610">
        <w:t xml:space="preserve">advice </w:t>
      </w:r>
      <w:r w:rsidR="00AD26B9" w:rsidRPr="006C2610">
        <w:t>of the committee</w:t>
      </w:r>
      <w:r w:rsidRPr="006C2610">
        <w:t xml:space="preserve"> and the availability of grant funds.</w:t>
      </w:r>
    </w:p>
    <w:p w14:paraId="259EB2E2" w14:textId="3853ABB3" w:rsidR="00564DF1" w:rsidRDefault="00564DF1" w:rsidP="00564DF1">
      <w:pPr>
        <w:spacing w:after="80"/>
      </w:pPr>
      <w:bookmarkStart w:id="132" w:name="_Toc489952696"/>
      <w:r w:rsidRPr="006C2610">
        <w:t xml:space="preserve">The Program </w:t>
      </w:r>
      <w:r w:rsidR="006C2610" w:rsidRPr="006C2610">
        <w:t>Delegate’s</w:t>
      </w:r>
      <w:r w:rsidRPr="006C2610">
        <w:t xml:space="preserve"> decision</w:t>
      </w:r>
      <w:r w:rsidRPr="00E162FF">
        <w:t xml:space="preserve">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lastRenderedPageBreak/>
        <w:t>We cannot review decisions about the merits of your application</w:t>
      </w:r>
      <w:r w:rsidRPr="00E162FF">
        <w:t>.</w:t>
      </w:r>
    </w:p>
    <w:p w14:paraId="6C3CBDD8" w14:textId="7BF9D254" w:rsidR="00564DF1" w:rsidRDefault="00564DF1" w:rsidP="00564DF1">
      <w:r>
        <w:t xml:space="preserve">The Program </w:t>
      </w:r>
      <w:r w:rsidRPr="006C2610">
        <w:t>Delegate will not approve</w:t>
      </w:r>
      <w:r>
        <w:t xml:space="preserve"> funding if there is insufficient program funds available across relevant financial years for the program.</w:t>
      </w:r>
    </w:p>
    <w:p w14:paraId="6B408239" w14:textId="548587B2" w:rsidR="00564DF1" w:rsidRDefault="00564DF1" w:rsidP="0085224B">
      <w:pPr>
        <w:pStyle w:val="Heading2"/>
      </w:pPr>
      <w:bookmarkStart w:id="133" w:name="_Toc496536675"/>
      <w:bookmarkStart w:id="134" w:name="_Toc531277502"/>
      <w:bookmarkStart w:id="135" w:name="_Toc955312"/>
      <w:bookmarkStart w:id="136" w:name="_Toc79416759"/>
      <w:r>
        <w:t>Notification of application outcomes</w:t>
      </w:r>
      <w:bookmarkEnd w:id="132"/>
      <w:bookmarkEnd w:id="133"/>
      <w:bookmarkEnd w:id="134"/>
      <w:bookmarkEnd w:id="135"/>
      <w:bookmarkEnd w:id="136"/>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1E10B763" w:rsidR="00247D27" w:rsidRDefault="00247D27" w:rsidP="00247D27">
      <w:r>
        <w:t>If you are unsuccessful, we will give you a</w:t>
      </w:r>
      <w:r w:rsidRPr="00E162FF">
        <w:t xml:space="preserve">n opportunity to discuss the outcome with </w:t>
      </w:r>
      <w:r w:rsidR="00AD26B9">
        <w:t>us.</w:t>
      </w:r>
    </w:p>
    <w:p w14:paraId="25F652C1" w14:textId="3392714E" w:rsidR="000C07C6" w:rsidRDefault="00E93B21" w:rsidP="0085224B">
      <w:pPr>
        <w:pStyle w:val="Heading2"/>
      </w:pPr>
      <w:bookmarkStart w:id="137" w:name="_Toc955313"/>
      <w:bookmarkStart w:id="138" w:name="_Toc496536676"/>
      <w:bookmarkStart w:id="139" w:name="_Toc531277503"/>
      <w:bookmarkStart w:id="140" w:name="_Toc79416760"/>
      <w:r w:rsidRPr="005A61FE">
        <w:t>Successful</w:t>
      </w:r>
      <w:r>
        <w:t xml:space="preserve"> grant applications</w:t>
      </w:r>
      <w:bookmarkEnd w:id="137"/>
      <w:bookmarkEnd w:id="138"/>
      <w:bookmarkEnd w:id="139"/>
      <w:bookmarkEnd w:id="140"/>
    </w:p>
    <w:p w14:paraId="5B4DC469" w14:textId="106DF7FC" w:rsidR="00D057B9" w:rsidRDefault="00D057B9" w:rsidP="0085224B">
      <w:pPr>
        <w:pStyle w:val="Heading3"/>
      </w:pPr>
      <w:bookmarkStart w:id="141" w:name="_Toc466898120"/>
      <w:bookmarkStart w:id="142" w:name="_Toc496536677"/>
      <w:bookmarkStart w:id="143" w:name="_Toc531277504"/>
      <w:bookmarkStart w:id="144" w:name="_Toc955314"/>
      <w:bookmarkStart w:id="145" w:name="_Toc79416761"/>
      <w:bookmarkEnd w:id="105"/>
      <w:bookmarkEnd w:id="106"/>
      <w:r>
        <w:t>Grant agreement</w:t>
      </w:r>
      <w:bookmarkEnd w:id="141"/>
      <w:bookmarkEnd w:id="142"/>
      <w:bookmarkEnd w:id="143"/>
      <w:bookmarkEnd w:id="144"/>
      <w:bookmarkEnd w:id="145"/>
    </w:p>
    <w:p w14:paraId="5174DC1E" w14:textId="12B5FE77"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27" w:anchor="key-documents" w:history="1">
        <w:r w:rsidR="000C3B35" w:rsidRPr="00FA1DC6">
          <w:rPr>
            <w:rStyle w:val="Hyperlink"/>
          </w:rPr>
          <w:t>grant agreement</w:t>
        </w:r>
      </w:hyperlink>
      <w:r w:rsidR="000C3B35">
        <w:t xml:space="preserve"> is available on business.gov.au</w:t>
      </w:r>
      <w:r w:rsidR="005624ED">
        <w:t xml:space="preserve"> and GrantConnect</w:t>
      </w:r>
      <w:r w:rsidR="000F18DD" w:rsidRPr="005A61FE">
        <w:t>.</w:t>
      </w:r>
    </w:p>
    <w:p w14:paraId="5F855BD2" w14:textId="2A3042FF"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r w:rsidR="00022A07">
        <w:t xml:space="preserve">You must not start any program </w:t>
      </w:r>
      <w:r w:rsidR="00E95D50">
        <w:t>activities until</w:t>
      </w:r>
      <w:r w:rsidR="00022A07">
        <w:t xml:space="preserve"> a grant agreement </w:t>
      </w:r>
      <w:proofErr w:type="gramStart"/>
      <w:r w:rsidR="00022A07">
        <w:t>is executed</w:t>
      </w:r>
      <w:proofErr w:type="gramEnd"/>
      <w:r w:rsidR="00022A07">
        <w:t>.</w:t>
      </w:r>
    </w:p>
    <w:p w14:paraId="1419DE98" w14:textId="5EB340B5"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458A4B77" w:rsidR="00D057B9" w:rsidRDefault="00D057B9" w:rsidP="00D057B9">
      <w:r>
        <w:t xml:space="preserve">If you enter an agreement under the </w:t>
      </w:r>
      <w:r w:rsidR="00AE4466" w:rsidRPr="00AE4466">
        <w:t>Boosting the Next Generation of Women in STEM</w:t>
      </w:r>
      <w:r>
        <w:t xml:space="preserve">, you cannot receive other grants </w:t>
      </w:r>
      <w:r w:rsidR="00AE4466">
        <w:t>for the same activities</w:t>
      </w:r>
      <w:r>
        <w:t xml:space="preserve"> 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3CCB968A" w14:textId="5ECE192B" w:rsidR="00C20F83" w:rsidRDefault="00C20F83" w:rsidP="0085224B">
      <w:pPr>
        <w:pStyle w:val="Heading3"/>
      </w:pPr>
      <w:bookmarkStart w:id="146" w:name="_Toc496536681"/>
      <w:bookmarkStart w:id="147" w:name="_Toc531277508"/>
      <w:bookmarkStart w:id="148" w:name="_Toc955318"/>
      <w:bookmarkStart w:id="149" w:name="_Toc79416762"/>
      <w:r>
        <w:t>Standard grant agreement</w:t>
      </w:r>
      <w:bookmarkEnd w:id="146"/>
      <w:bookmarkEnd w:id="147"/>
      <w:bookmarkEnd w:id="148"/>
      <w:bookmarkEnd w:id="149"/>
    </w:p>
    <w:p w14:paraId="695AF38A" w14:textId="09788471" w:rsidR="00C20F83" w:rsidRDefault="00C20F83" w:rsidP="00251541">
      <w:pPr>
        <w:pStyle w:val="ListBullet"/>
        <w:numPr>
          <w:ilvl w:val="0"/>
          <w:numId w:val="0"/>
        </w:numPr>
      </w:pPr>
      <w:r>
        <w:t>We will use a standard grant agreement</w:t>
      </w:r>
      <w:r w:rsidRPr="0062411B">
        <w:rPr>
          <w:iCs/>
        </w:rPr>
        <w:t>.</w:t>
      </w:r>
      <w:r>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BF60D01"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F95C1B" w:rsidRPr="00F95C1B">
        <w:t>Program Delegate</w:t>
      </w:r>
      <w:r w:rsidR="00EF53D9">
        <w:t>.</w:t>
      </w:r>
    </w:p>
    <w:p w14:paraId="1CBD62A4" w14:textId="73D341F3" w:rsidR="00BD3A35" w:rsidRDefault="00BD3A35" w:rsidP="0085224B">
      <w:pPr>
        <w:pStyle w:val="Heading3"/>
      </w:pPr>
      <w:bookmarkStart w:id="150" w:name="_Toc489952704"/>
      <w:bookmarkStart w:id="151" w:name="_Toc496536682"/>
      <w:bookmarkStart w:id="152" w:name="_Toc531277509"/>
      <w:bookmarkStart w:id="153" w:name="_Toc955319"/>
      <w:bookmarkStart w:id="154" w:name="_Toc79416763"/>
      <w:bookmarkStart w:id="155" w:name="_Ref465245613"/>
      <w:bookmarkStart w:id="156" w:name="_Toc467165693"/>
      <w:bookmarkStart w:id="157" w:name="_Toc164844284"/>
      <w:r w:rsidRPr="00CB5DC6">
        <w:t xml:space="preserve">Activity specific legislation, </w:t>
      </w:r>
      <w:r>
        <w:t>policies and industry standards</w:t>
      </w:r>
      <w:bookmarkEnd w:id="150"/>
      <w:bookmarkEnd w:id="151"/>
      <w:bookmarkEnd w:id="152"/>
      <w:bookmarkEnd w:id="153"/>
      <w:bookmarkEnd w:id="154"/>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430620B3" w14:textId="67CC6CF0" w:rsidR="00F81B41" w:rsidRDefault="00147E5A" w:rsidP="00653895">
      <w:pPr>
        <w:pStyle w:val="ListBullet"/>
      </w:pPr>
      <w:r w:rsidRPr="005A61FE">
        <w:t>State/Territory legislation in relation to working with children</w:t>
      </w:r>
    </w:p>
    <w:p w14:paraId="072CA6E2" w14:textId="245AE589" w:rsidR="00C63898" w:rsidRPr="005A61FE" w:rsidRDefault="00CA58A1" w:rsidP="00653895">
      <w:pPr>
        <w:pStyle w:val="ListBullet"/>
      </w:pPr>
      <w:hyperlink r:id="rId28" w:history="1">
        <w:r w:rsidR="00C63898" w:rsidRPr="00C63898">
          <w:rPr>
            <w:rStyle w:val="Hyperlink"/>
          </w:rPr>
          <w:t>Commonwealth Grants Rules and Guidelines</w:t>
        </w:r>
        <w:r w:rsidR="00C63898" w:rsidRPr="00C63898">
          <w:t xml:space="preserve"> (CGRGs)</w:t>
        </w:r>
      </w:hyperlink>
      <w:r w:rsidR="00C63898" w:rsidRPr="00686047">
        <w:rPr>
          <w:vertAlign w:val="superscript"/>
        </w:rPr>
        <w:footnoteReference w:id="3"/>
      </w:r>
    </w:p>
    <w:p w14:paraId="25F652D3" w14:textId="4FB87312" w:rsidR="00CE1A20" w:rsidRPr="00BD2785" w:rsidRDefault="002E3A5A" w:rsidP="0085224B">
      <w:pPr>
        <w:pStyle w:val="Heading3"/>
      </w:pPr>
      <w:bookmarkStart w:id="158" w:name="_Toc489952707"/>
      <w:bookmarkStart w:id="159" w:name="_Toc496536685"/>
      <w:bookmarkStart w:id="160" w:name="_Toc531277729"/>
      <w:bookmarkStart w:id="161" w:name="_Toc463350780"/>
      <w:bookmarkStart w:id="162" w:name="_Toc467165695"/>
      <w:bookmarkStart w:id="163" w:name="_Toc530073035"/>
      <w:bookmarkStart w:id="164" w:name="_Toc496536686"/>
      <w:bookmarkStart w:id="165" w:name="_Toc531277514"/>
      <w:bookmarkStart w:id="166" w:name="_Toc955324"/>
      <w:bookmarkStart w:id="167" w:name="_Toc79416764"/>
      <w:bookmarkEnd w:id="155"/>
      <w:bookmarkEnd w:id="156"/>
      <w:bookmarkEnd w:id="158"/>
      <w:bookmarkEnd w:id="159"/>
      <w:bookmarkEnd w:id="160"/>
      <w:bookmarkEnd w:id="161"/>
      <w:bookmarkEnd w:id="162"/>
      <w:bookmarkEnd w:id="163"/>
      <w:r w:rsidRPr="00BD2785">
        <w:t xml:space="preserve">How </w:t>
      </w:r>
      <w:r w:rsidR="00387369" w:rsidRPr="00BD2785">
        <w:t>we pay the grant</w:t>
      </w:r>
      <w:bookmarkEnd w:id="164"/>
      <w:bookmarkEnd w:id="165"/>
      <w:bookmarkEnd w:id="166"/>
      <w:bookmarkEnd w:id="167"/>
    </w:p>
    <w:p w14:paraId="25F652D5" w14:textId="129FC071" w:rsidR="00F316C0" w:rsidRPr="00BD2785" w:rsidRDefault="00CE1A20" w:rsidP="00077C3D">
      <w:r w:rsidRPr="00BD2785">
        <w:t xml:space="preserve">The </w:t>
      </w:r>
      <w:r w:rsidR="0018250A" w:rsidRPr="00BD2785">
        <w:t>grant agreement</w:t>
      </w:r>
      <w:r w:rsidRPr="00BD2785">
        <w:t xml:space="preserve"> will </w:t>
      </w:r>
      <w:r w:rsidR="003E339B" w:rsidRPr="00BD2785">
        <w:t>state</w:t>
      </w:r>
      <w:r w:rsidR="00042438" w:rsidRPr="00BD2785">
        <w:t xml:space="preserve"> the</w:t>
      </w:r>
      <w:r w:rsidR="00EF53D9" w:rsidRPr="00BD2785">
        <w:t>:</w:t>
      </w:r>
    </w:p>
    <w:p w14:paraId="25F652D7" w14:textId="6DAF4DE0" w:rsidR="00F316C0" w:rsidRPr="00BD2785" w:rsidRDefault="002C0A35" w:rsidP="00F34E3C">
      <w:pPr>
        <w:pStyle w:val="ListBullet"/>
      </w:pPr>
      <w:r w:rsidRPr="00BD2785">
        <w:t xml:space="preserve">maximum grant amount </w:t>
      </w:r>
      <w:r w:rsidR="00387369" w:rsidRPr="00BD2785">
        <w:t>we will pay</w:t>
      </w:r>
    </w:p>
    <w:p w14:paraId="25F652D8" w14:textId="735DADBC" w:rsidR="00F316C0" w:rsidRPr="00BD2785" w:rsidRDefault="006B1989" w:rsidP="00F34E3C">
      <w:pPr>
        <w:pStyle w:val="ListBullet"/>
      </w:pPr>
      <w:r w:rsidRPr="00BD2785">
        <w:t xml:space="preserve">proportion </w:t>
      </w:r>
      <w:r w:rsidR="007D71FE" w:rsidRPr="00BD2785">
        <w:t xml:space="preserve">of </w:t>
      </w:r>
      <w:r w:rsidR="00C42FBE" w:rsidRPr="00BD2785">
        <w:t xml:space="preserve">eligible expenditure </w:t>
      </w:r>
      <w:r w:rsidR="00646E26" w:rsidRPr="00BD2785">
        <w:t>covered by the grant</w:t>
      </w:r>
      <w:r w:rsidR="007D71FE" w:rsidRPr="00BD2785">
        <w:t xml:space="preserve"> (grant </w:t>
      </w:r>
      <w:r w:rsidR="00C42FBE" w:rsidRPr="00BD2785">
        <w:t>percentage</w:t>
      </w:r>
      <w:r w:rsidR="007D71FE" w:rsidRPr="00BD2785">
        <w:t>)</w:t>
      </w:r>
    </w:p>
    <w:p w14:paraId="27902C14" w14:textId="753A0CD1" w:rsidR="006B2631" w:rsidRPr="00BD2785" w:rsidRDefault="006B2631" w:rsidP="00F34E3C">
      <w:pPr>
        <w:pStyle w:val="ListBullet"/>
      </w:pPr>
      <w:r w:rsidRPr="00BD2785">
        <w:t>any in-kind contributions you will make</w:t>
      </w:r>
    </w:p>
    <w:p w14:paraId="71FBF88B" w14:textId="4F0AB180" w:rsidR="006B2631" w:rsidRPr="00BD2785" w:rsidRDefault="006B2631" w:rsidP="005F2A4B">
      <w:pPr>
        <w:pStyle w:val="ListBullet"/>
        <w:spacing w:after="120"/>
      </w:pPr>
      <w:proofErr w:type="gramStart"/>
      <w:r w:rsidRPr="00BD2785">
        <w:t>any</w:t>
      </w:r>
      <w:proofErr w:type="gramEnd"/>
      <w:r w:rsidRPr="00BD2785">
        <w:t xml:space="preserve"> financial contribution provided by you or a third party</w:t>
      </w:r>
      <w:r w:rsidR="005A61FE" w:rsidRPr="00BD2785">
        <w:t>.</w:t>
      </w:r>
    </w:p>
    <w:p w14:paraId="25F652D9" w14:textId="684853D7" w:rsidR="00236D85" w:rsidRPr="00BD2785" w:rsidRDefault="00E3522D" w:rsidP="00F316C0">
      <w:r w:rsidRPr="00BD2785">
        <w:t xml:space="preserve">We will not exceed the </w:t>
      </w:r>
      <w:r w:rsidR="00CE1A20" w:rsidRPr="00BD2785">
        <w:t xml:space="preserve">maximum grant amount under any circumstances. </w:t>
      </w:r>
      <w:r w:rsidR="002E3A5A" w:rsidRPr="00BD2785">
        <w:t>If you incur extra</w:t>
      </w:r>
      <w:r w:rsidR="00CE1A20" w:rsidRPr="00BD2785">
        <w:t xml:space="preserve"> </w:t>
      </w:r>
      <w:r w:rsidR="00B23FBA" w:rsidRPr="00BD2785">
        <w:t>costs</w:t>
      </w:r>
      <w:r w:rsidR="002E3A5A" w:rsidRPr="00BD2785">
        <w:t>, you</w:t>
      </w:r>
      <w:r w:rsidR="00CE1A20" w:rsidRPr="00BD2785">
        <w:t xml:space="preserve"> must </w:t>
      </w:r>
      <w:r w:rsidR="002E3A5A" w:rsidRPr="00BD2785">
        <w:t xml:space="preserve">meet </w:t>
      </w:r>
      <w:r w:rsidR="00B23FBA" w:rsidRPr="00BD2785">
        <w:t xml:space="preserve">them </w:t>
      </w:r>
      <w:r w:rsidR="005A6D76" w:rsidRPr="00BD2785">
        <w:t>yourself.</w:t>
      </w:r>
    </w:p>
    <w:p w14:paraId="7E11054D" w14:textId="7004F391" w:rsidR="00C52233" w:rsidRPr="002C5FE4" w:rsidRDefault="00593911" w:rsidP="002C5FE4">
      <w:r w:rsidRPr="00BD2785">
        <w:t xml:space="preserve">We will make payments </w:t>
      </w:r>
      <w:r w:rsidR="00C52233" w:rsidRPr="00BD2785">
        <w:t>according to an agreed schedule set out in the grant agreement. Payments are subject to satisfactory progress on the project.</w:t>
      </w:r>
    </w:p>
    <w:p w14:paraId="1180285E" w14:textId="77777777" w:rsidR="00A35F51" w:rsidRPr="00572C42" w:rsidRDefault="00A35F51" w:rsidP="0085224B">
      <w:pPr>
        <w:pStyle w:val="Heading3"/>
      </w:pPr>
      <w:bookmarkStart w:id="168" w:name="_Toc531277515"/>
      <w:bookmarkStart w:id="169" w:name="_Toc955325"/>
      <w:bookmarkStart w:id="170" w:name="_Toc79416765"/>
      <w:r>
        <w:t xml:space="preserve">Tax </w:t>
      </w:r>
      <w:r w:rsidR="00D100A1">
        <w:t>o</w:t>
      </w:r>
      <w:r w:rsidRPr="00572C42">
        <w:t>bligations</w:t>
      </w:r>
      <w:bookmarkEnd w:id="168"/>
      <w:bookmarkEnd w:id="169"/>
      <w:bookmarkEnd w:id="170"/>
    </w:p>
    <w:p w14:paraId="7C9964F4" w14:textId="77777777" w:rsidR="004875E4" w:rsidRPr="00E162FF" w:rsidRDefault="00170249" w:rsidP="004875E4">
      <w:bookmarkStart w:id="171" w:name="_Toc496536687"/>
      <w:bookmarkEnd w:id="15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2AFC002" w14:textId="77777777" w:rsidR="009702C2" w:rsidRDefault="009702C2" w:rsidP="0085224B">
      <w:pPr>
        <w:pStyle w:val="Heading3"/>
      </w:pPr>
      <w:bookmarkStart w:id="172" w:name="_Toc79416766"/>
      <w:r>
        <w:t>Governance</w:t>
      </w:r>
      <w:bookmarkEnd w:id="172"/>
    </w:p>
    <w:p w14:paraId="4B65E225" w14:textId="77777777" w:rsidR="009702C2" w:rsidRDefault="009702C2" w:rsidP="009702C2">
      <w:pPr>
        <w:pStyle w:val="ListBullet"/>
        <w:numPr>
          <w:ilvl w:val="0"/>
          <w:numId w:val="0"/>
        </w:numPr>
        <w:spacing w:after="120" w:line="320" w:lineRule="atLeast"/>
        <w:ind w:left="360" w:hanging="360"/>
        <w:rPr>
          <w:rFonts w:cs="Arial"/>
          <w:szCs w:val="20"/>
        </w:rPr>
      </w:pPr>
      <w:r>
        <w:rPr>
          <w:rFonts w:cs="Arial"/>
          <w:szCs w:val="20"/>
        </w:rPr>
        <w:t>You must establish a governance mechanism that ensures:</w:t>
      </w:r>
    </w:p>
    <w:p w14:paraId="1EA181FB" w14:textId="77777777" w:rsidR="009702C2" w:rsidRPr="00F51256" w:rsidRDefault="009702C2" w:rsidP="009702C2">
      <w:pPr>
        <w:pStyle w:val="ListBullet"/>
        <w:numPr>
          <w:ilvl w:val="0"/>
          <w:numId w:val="7"/>
        </w:numPr>
      </w:pPr>
      <w:r w:rsidRPr="00F51256">
        <w:t xml:space="preserve">in close consultation with the </w:t>
      </w:r>
      <w:r>
        <w:t xml:space="preserve">department, you can identify </w:t>
      </w:r>
      <w:r w:rsidRPr="00F51256">
        <w:t>relevant themes drawing on insights from industry, academia and government that align with Au</w:t>
      </w:r>
      <w:r>
        <w:t>stralian Government priorities</w:t>
      </w:r>
    </w:p>
    <w:p w14:paraId="35043A2C" w14:textId="77777777" w:rsidR="009702C2" w:rsidRPr="00F51256" w:rsidRDefault="009702C2" w:rsidP="009702C2">
      <w:pPr>
        <w:pStyle w:val="ListBullet"/>
        <w:numPr>
          <w:ilvl w:val="0"/>
          <w:numId w:val="7"/>
        </w:numPr>
      </w:pPr>
      <w:r w:rsidRPr="00F51256">
        <w:t>you can identify and shortlist, where appropriate, collaborative research projects and/or placement opportunities from Australian universities in partnership with industry</w:t>
      </w:r>
    </w:p>
    <w:p w14:paraId="7E388877" w14:textId="77777777" w:rsidR="009702C2" w:rsidRPr="00F51256" w:rsidRDefault="009702C2" w:rsidP="009702C2">
      <w:pPr>
        <w:pStyle w:val="ListBullet"/>
        <w:numPr>
          <w:ilvl w:val="0"/>
          <w:numId w:val="7"/>
        </w:numPr>
      </w:pPr>
      <w:proofErr w:type="gramStart"/>
      <w:r w:rsidRPr="00F51256">
        <w:t>you</w:t>
      </w:r>
      <w:proofErr w:type="gramEnd"/>
      <w:r w:rsidRPr="00F51256">
        <w:t xml:space="preserve"> can develop and implement ambitious inclusion targets to engage diverse cohorts of scholars to participate in the Program, including those from diverse professional backgroun</w:t>
      </w:r>
      <w:r>
        <w:t xml:space="preserve">ds </w:t>
      </w:r>
      <w:r w:rsidRPr="00F51256">
        <w:t>and those from priori</w:t>
      </w:r>
      <w:r>
        <w:t>ty equity groups.</w:t>
      </w:r>
    </w:p>
    <w:p w14:paraId="20970026" w14:textId="5848805E" w:rsidR="00170249" w:rsidRPr="005A61FE" w:rsidRDefault="00170249" w:rsidP="0085224B">
      <w:pPr>
        <w:pStyle w:val="Heading2"/>
      </w:pPr>
      <w:bookmarkStart w:id="173" w:name="_Toc531277516"/>
      <w:bookmarkStart w:id="174" w:name="_Toc955326"/>
      <w:bookmarkStart w:id="175" w:name="_Toc79416767"/>
      <w:r w:rsidRPr="005A61FE">
        <w:t>Announcement of grants</w:t>
      </w:r>
      <w:bookmarkEnd w:id="173"/>
      <w:bookmarkEnd w:id="174"/>
      <w:bookmarkEnd w:id="175"/>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0"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lastRenderedPageBreak/>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7A28419B" w:rsidR="002C00A0" w:rsidRDefault="00B617C2" w:rsidP="0085224B">
      <w:pPr>
        <w:pStyle w:val="Heading2"/>
      </w:pPr>
      <w:bookmarkStart w:id="176" w:name="_Toc530073040"/>
      <w:bookmarkStart w:id="177" w:name="_Toc531277517"/>
      <w:bookmarkStart w:id="178" w:name="_Toc955327"/>
      <w:bookmarkStart w:id="179" w:name="_Toc79416768"/>
      <w:bookmarkEnd w:id="176"/>
      <w:r>
        <w:t xml:space="preserve">How we monitor your </w:t>
      </w:r>
      <w:bookmarkEnd w:id="171"/>
      <w:bookmarkEnd w:id="177"/>
      <w:bookmarkEnd w:id="178"/>
      <w:r w:rsidR="00082460">
        <w:t>grant activity</w:t>
      </w:r>
      <w:bookmarkEnd w:id="179"/>
    </w:p>
    <w:p w14:paraId="58C338FE" w14:textId="77777777" w:rsidR="0094135B" w:rsidRDefault="0094135B" w:rsidP="0085224B">
      <w:pPr>
        <w:pStyle w:val="Heading3"/>
      </w:pPr>
      <w:bookmarkStart w:id="180" w:name="_Toc531277518"/>
      <w:bookmarkStart w:id="181" w:name="_Toc955328"/>
      <w:bookmarkStart w:id="182" w:name="_Toc79416769"/>
      <w:r>
        <w:t>Keeping us informed</w:t>
      </w:r>
      <w:bookmarkEnd w:id="180"/>
      <w:bookmarkEnd w:id="181"/>
      <w:bookmarkEnd w:id="18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85224B">
      <w:pPr>
        <w:pStyle w:val="Heading3"/>
      </w:pPr>
      <w:bookmarkStart w:id="183" w:name="_Toc531277519"/>
      <w:bookmarkStart w:id="184" w:name="_Toc955329"/>
      <w:bookmarkStart w:id="185" w:name="_Toc79416770"/>
      <w:r w:rsidRPr="005A61FE">
        <w:t>Reporting</w:t>
      </w:r>
      <w:bookmarkEnd w:id="183"/>
      <w:bookmarkEnd w:id="184"/>
      <w:bookmarkEnd w:id="185"/>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85224B">
      <w:pPr>
        <w:pStyle w:val="Heading4"/>
      </w:pPr>
      <w:bookmarkStart w:id="186" w:name="_Toc496536688"/>
      <w:bookmarkStart w:id="187" w:name="_Toc531277520"/>
      <w:bookmarkStart w:id="188" w:name="_Toc955330"/>
      <w:bookmarkStart w:id="189" w:name="_Toc79416771"/>
      <w:r>
        <w:t>Progress report</w:t>
      </w:r>
      <w:r w:rsidR="00CE056C">
        <w:t>s</w:t>
      </w:r>
      <w:bookmarkEnd w:id="186"/>
      <w:bookmarkEnd w:id="187"/>
      <w:bookmarkEnd w:id="188"/>
      <w:bookmarkEnd w:id="189"/>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2A4061A" w:rsidR="00E50F98" w:rsidRDefault="00AE4466"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85224B">
      <w:pPr>
        <w:pStyle w:val="Heading4"/>
      </w:pPr>
      <w:bookmarkStart w:id="190" w:name="_Toc496536689"/>
      <w:bookmarkStart w:id="191" w:name="_Toc531277521"/>
      <w:bookmarkStart w:id="192" w:name="_Toc955331"/>
      <w:bookmarkStart w:id="193" w:name="_Toc79416772"/>
      <w:r w:rsidRPr="005A61FE">
        <w:lastRenderedPageBreak/>
        <w:t>End of project</w:t>
      </w:r>
      <w:r w:rsidR="006132DF">
        <w:t xml:space="preserve"> report</w:t>
      </w:r>
      <w:bookmarkEnd w:id="190"/>
      <w:bookmarkEnd w:id="191"/>
      <w:bookmarkEnd w:id="192"/>
      <w:bookmarkEnd w:id="19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85224B">
      <w:pPr>
        <w:pStyle w:val="Heading4"/>
      </w:pPr>
      <w:bookmarkStart w:id="194" w:name="_Toc496536690"/>
      <w:bookmarkStart w:id="195" w:name="_Toc531277522"/>
      <w:bookmarkStart w:id="196" w:name="_Toc955332"/>
      <w:bookmarkStart w:id="197" w:name="_Toc79416773"/>
      <w:r>
        <w:t>Ad</w:t>
      </w:r>
      <w:r w:rsidR="007F013E">
        <w:t>-</w:t>
      </w:r>
      <w:r>
        <w:t>hoc report</w:t>
      </w:r>
      <w:bookmarkEnd w:id="194"/>
      <w:bookmarkEnd w:id="195"/>
      <w:bookmarkEnd w:id="196"/>
      <w:r w:rsidR="009E1D7E">
        <w:t>s</w:t>
      </w:r>
      <w:bookmarkEnd w:id="19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85224B">
      <w:pPr>
        <w:pStyle w:val="Heading3"/>
      </w:pPr>
      <w:bookmarkStart w:id="198" w:name="_Toc531277523"/>
      <w:bookmarkStart w:id="199" w:name="_Toc496536691"/>
      <w:bookmarkStart w:id="200" w:name="_Toc955333"/>
      <w:bookmarkStart w:id="201" w:name="_Toc79416774"/>
      <w:r>
        <w:t xml:space="preserve">Independent </w:t>
      </w:r>
      <w:r w:rsidRPr="005A61FE">
        <w:t>audit</w:t>
      </w:r>
      <w:r w:rsidR="00985817" w:rsidRPr="005A61FE">
        <w:t>s</w:t>
      </w:r>
      <w:bookmarkEnd w:id="198"/>
      <w:bookmarkEnd w:id="199"/>
      <w:bookmarkEnd w:id="200"/>
      <w:bookmarkEnd w:id="201"/>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85224B">
      <w:pPr>
        <w:pStyle w:val="Heading3"/>
      </w:pPr>
      <w:bookmarkStart w:id="202" w:name="_Toc496536692"/>
      <w:bookmarkStart w:id="203" w:name="_Toc531277524"/>
      <w:bookmarkStart w:id="204" w:name="_Toc955334"/>
      <w:bookmarkStart w:id="205" w:name="_Toc79416775"/>
      <w:bookmarkStart w:id="206" w:name="_Toc383003276"/>
      <w:r>
        <w:t>Compliance visits</w:t>
      </w:r>
      <w:bookmarkEnd w:id="202"/>
      <w:bookmarkEnd w:id="203"/>
      <w:bookmarkEnd w:id="204"/>
      <w:bookmarkEnd w:id="205"/>
    </w:p>
    <w:p w14:paraId="18FA0867" w14:textId="6D46C246"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7A4AD7">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85224B">
      <w:pPr>
        <w:pStyle w:val="Heading3"/>
      </w:pPr>
      <w:bookmarkStart w:id="207" w:name="_Toc496536693"/>
      <w:bookmarkStart w:id="208" w:name="_Toc531277525"/>
      <w:bookmarkStart w:id="209" w:name="_Toc955335"/>
      <w:bookmarkStart w:id="210" w:name="_Toc79416776"/>
      <w:r>
        <w:t>Grant agreement</w:t>
      </w:r>
      <w:r w:rsidRPr="009E7919">
        <w:t xml:space="preserve"> </w:t>
      </w:r>
      <w:r w:rsidR="00BF0BFC" w:rsidRPr="009E7919">
        <w:t>v</w:t>
      </w:r>
      <w:r w:rsidR="00CE1A20" w:rsidRPr="009E7919">
        <w:t>ariations</w:t>
      </w:r>
      <w:bookmarkEnd w:id="206"/>
      <w:bookmarkEnd w:id="207"/>
      <w:bookmarkEnd w:id="208"/>
      <w:bookmarkEnd w:id="209"/>
      <w:bookmarkEnd w:id="21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5F652F9" w14:textId="75D75896"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85224B">
      <w:pPr>
        <w:pStyle w:val="Heading3"/>
      </w:pPr>
      <w:bookmarkStart w:id="211" w:name="_Toc496536695"/>
      <w:bookmarkStart w:id="212" w:name="_Toc531277526"/>
      <w:bookmarkStart w:id="213" w:name="_Toc955336"/>
      <w:bookmarkStart w:id="214" w:name="_Toc79416777"/>
      <w:r>
        <w:lastRenderedPageBreak/>
        <w:t>Evaluation</w:t>
      </w:r>
      <w:bookmarkEnd w:id="211"/>
      <w:bookmarkEnd w:id="212"/>
      <w:bookmarkEnd w:id="213"/>
      <w:bookmarkEnd w:id="214"/>
    </w:p>
    <w:p w14:paraId="70BCABE7" w14:textId="40C9AC0F" w:rsidR="000B5218" w:rsidRPr="005A61FE" w:rsidRDefault="00011AA7" w:rsidP="00F54561">
      <w:r>
        <w:t xml:space="preserve">We </w:t>
      </w:r>
      <w:r w:rsidR="00670C9E">
        <w:t>will</w:t>
      </w:r>
      <w:r>
        <w:t xml:space="preserve"> evaluat</w:t>
      </w:r>
      <w:r w:rsidR="000E11A2">
        <w:t>e</w:t>
      </w:r>
      <w:r>
        <w:t xml:space="preserve"> the </w:t>
      </w:r>
      <w:r w:rsidR="00AE4466">
        <w:t>program t</w:t>
      </w:r>
      <w:r>
        <w:t xml:space="preserve">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85224B">
      <w:pPr>
        <w:pStyle w:val="Heading3"/>
      </w:pPr>
      <w:bookmarkStart w:id="215" w:name="_Toc496536697"/>
      <w:bookmarkStart w:id="216" w:name="_Toc531277527"/>
      <w:bookmarkStart w:id="217" w:name="_Toc955337"/>
      <w:bookmarkStart w:id="218" w:name="_Toc79416778"/>
      <w:bookmarkStart w:id="219" w:name="_Toc164844290"/>
      <w:bookmarkStart w:id="220" w:name="_Toc383003280"/>
      <w:r>
        <w:t>Grant acknowledgement</w:t>
      </w:r>
      <w:bookmarkEnd w:id="215"/>
      <w:bookmarkEnd w:id="216"/>
      <w:bookmarkEnd w:id="217"/>
      <w:bookmarkEnd w:id="218"/>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79431A4E" w:rsidR="00564DF1" w:rsidRDefault="00564DF1" w:rsidP="00564DF1">
      <w:r>
        <w:t>If you erect signage in relation to the project, the signage must contain a</w:t>
      </w:r>
      <w:r w:rsidR="00AE4466">
        <w:t>n acknowledgement of the grant.</w:t>
      </w:r>
    </w:p>
    <w:p w14:paraId="5BB8944A" w14:textId="3D6D9A6C" w:rsidR="000B5218" w:rsidRPr="005A61FE" w:rsidRDefault="000B5218" w:rsidP="0085224B">
      <w:pPr>
        <w:pStyle w:val="Heading2"/>
      </w:pPr>
      <w:bookmarkStart w:id="221" w:name="_Toc531277528"/>
      <w:bookmarkStart w:id="222" w:name="_Toc955338"/>
      <w:bookmarkStart w:id="223" w:name="_Toc79416779"/>
      <w:bookmarkStart w:id="224" w:name="_Toc496536698"/>
      <w:r w:rsidRPr="005A61FE">
        <w:t>Probity</w:t>
      </w:r>
      <w:bookmarkEnd w:id="221"/>
      <w:bookmarkEnd w:id="222"/>
      <w:bookmarkEnd w:id="223"/>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85224B">
      <w:pPr>
        <w:pStyle w:val="Heading3"/>
      </w:pPr>
      <w:bookmarkStart w:id="225" w:name="_Toc531277529"/>
      <w:bookmarkStart w:id="226" w:name="_Toc955339"/>
      <w:bookmarkStart w:id="227" w:name="_Toc79416780"/>
      <w:r>
        <w:t>Conflicts of interest</w:t>
      </w:r>
      <w:bookmarkEnd w:id="224"/>
      <w:bookmarkEnd w:id="225"/>
      <w:bookmarkEnd w:id="226"/>
      <w:bookmarkEnd w:id="227"/>
    </w:p>
    <w:p w14:paraId="04A0B5E4" w14:textId="6B161FD7" w:rsidR="002662F6" w:rsidRDefault="000B5218" w:rsidP="00007E4B">
      <w:bookmarkStart w:id="228" w:name="_Toc496536699"/>
      <w:r w:rsidRPr="005A61FE">
        <w:t>Any conflicts</w:t>
      </w:r>
      <w:r w:rsidR="002662F6">
        <w:t xml:space="preserve"> of interest </w:t>
      </w:r>
      <w:bookmarkEnd w:id="228"/>
      <w:r w:rsidR="002662F6">
        <w:t xml:space="preserve">could affect the performance of </w:t>
      </w:r>
      <w:r w:rsidRPr="005A61FE">
        <w:t xml:space="preserve">the grant opportunity or program. There may be a </w:t>
      </w:r>
      <w:hyperlink r:id="rId3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66DD2B6"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1B7E83">
        <w:t>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3"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29" w:name="_Toc530073069"/>
      <w:bookmarkStart w:id="230" w:name="_Toc530073070"/>
      <w:bookmarkStart w:id="231" w:name="_Toc530073074"/>
      <w:bookmarkStart w:id="232" w:name="_Toc530073075"/>
      <w:bookmarkStart w:id="233" w:name="_Toc530073076"/>
      <w:bookmarkStart w:id="234" w:name="_Toc530073078"/>
      <w:bookmarkStart w:id="235" w:name="_Toc530073079"/>
      <w:bookmarkStart w:id="236" w:name="_Toc530073080"/>
      <w:bookmarkStart w:id="237" w:name="_Toc496536701"/>
      <w:bookmarkStart w:id="238" w:name="_Toc531277530"/>
      <w:bookmarkStart w:id="239" w:name="_Toc955340"/>
      <w:bookmarkEnd w:id="219"/>
      <w:bookmarkEnd w:id="220"/>
      <w:bookmarkEnd w:id="229"/>
      <w:bookmarkEnd w:id="230"/>
      <w:bookmarkEnd w:id="231"/>
      <w:bookmarkEnd w:id="232"/>
      <w:bookmarkEnd w:id="233"/>
      <w:bookmarkEnd w:id="234"/>
      <w:bookmarkEnd w:id="235"/>
      <w:bookmarkEnd w:id="236"/>
      <w:r w:rsidRPr="005A61FE">
        <w:t xml:space="preserve">We publish our </w:t>
      </w:r>
      <w:hyperlink r:id="rId34"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85224B">
      <w:pPr>
        <w:pStyle w:val="Heading3"/>
      </w:pPr>
      <w:r w:rsidRPr="00E62F87">
        <w:lastRenderedPageBreak/>
        <w:t xml:space="preserve"> </w:t>
      </w:r>
      <w:bookmarkStart w:id="240" w:name="_Toc79416781"/>
      <w:r w:rsidR="004C37F5" w:rsidRPr="00E62F87">
        <w:t>How we use your information</w:t>
      </w:r>
      <w:bookmarkEnd w:id="237"/>
      <w:bookmarkEnd w:id="238"/>
      <w:bookmarkEnd w:id="239"/>
      <w:bookmarkEnd w:id="240"/>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A58A1">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A58A1">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85224B">
      <w:pPr>
        <w:pStyle w:val="Heading4"/>
      </w:pPr>
      <w:bookmarkStart w:id="241" w:name="_Ref468133654"/>
      <w:bookmarkStart w:id="242" w:name="_Toc496536702"/>
      <w:bookmarkStart w:id="243" w:name="_Toc531277531"/>
      <w:bookmarkStart w:id="244" w:name="_Toc955341"/>
      <w:bookmarkStart w:id="245" w:name="_Toc79416782"/>
      <w:r w:rsidRPr="00E62F87">
        <w:t xml:space="preserve">How we </w:t>
      </w:r>
      <w:r w:rsidR="00BB37A8">
        <w:t>handle</w:t>
      </w:r>
      <w:r w:rsidRPr="00E62F87">
        <w:t xml:space="preserve"> your </w:t>
      </w:r>
      <w:r w:rsidR="00BB37A8">
        <w:t xml:space="preserve">confidential </w:t>
      </w:r>
      <w:r w:rsidRPr="00E62F87">
        <w:t>information</w:t>
      </w:r>
      <w:bookmarkEnd w:id="241"/>
      <w:bookmarkEnd w:id="242"/>
      <w:bookmarkEnd w:id="243"/>
      <w:bookmarkEnd w:id="244"/>
      <w:bookmarkEnd w:id="245"/>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85224B">
      <w:pPr>
        <w:pStyle w:val="Heading4"/>
      </w:pPr>
      <w:bookmarkStart w:id="246" w:name="_Toc496536703"/>
      <w:bookmarkStart w:id="247" w:name="_Toc531277532"/>
      <w:bookmarkStart w:id="248" w:name="_Toc955342"/>
      <w:bookmarkStart w:id="249" w:name="_Toc79416783"/>
      <w:r w:rsidRPr="00E62F87">
        <w:t xml:space="preserve">When we may </w:t>
      </w:r>
      <w:r w:rsidR="00C43A43" w:rsidRPr="00E62F87">
        <w:t xml:space="preserve">disclose </w:t>
      </w:r>
      <w:r w:rsidRPr="00E62F87">
        <w:t>confidential information</w:t>
      </w:r>
      <w:bookmarkEnd w:id="246"/>
      <w:bookmarkEnd w:id="247"/>
      <w:bookmarkEnd w:id="248"/>
      <w:bookmarkEnd w:id="24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1DB0FF4D"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85224B">
      <w:pPr>
        <w:pStyle w:val="Heading4"/>
      </w:pPr>
      <w:bookmarkStart w:id="250" w:name="_Ref468133671"/>
      <w:bookmarkStart w:id="251" w:name="_Toc496536704"/>
      <w:bookmarkStart w:id="252" w:name="_Toc531277533"/>
      <w:bookmarkStart w:id="253" w:name="_Toc955343"/>
      <w:bookmarkStart w:id="254" w:name="_Toc79416784"/>
      <w:r w:rsidRPr="00E62F87">
        <w:t>How we use your personal information</w:t>
      </w:r>
      <w:bookmarkEnd w:id="250"/>
      <w:bookmarkEnd w:id="251"/>
      <w:bookmarkEnd w:id="252"/>
      <w:bookmarkEnd w:id="253"/>
      <w:bookmarkEnd w:id="254"/>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1684E0F4"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lastRenderedPageBreak/>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5"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85224B">
      <w:pPr>
        <w:pStyle w:val="Heading4"/>
      </w:pPr>
      <w:bookmarkStart w:id="255" w:name="_Toc496536705"/>
      <w:bookmarkStart w:id="256" w:name="_Toc489952724"/>
      <w:bookmarkStart w:id="257" w:name="_Toc496536706"/>
      <w:bookmarkStart w:id="258" w:name="_Toc531277534"/>
      <w:bookmarkStart w:id="259" w:name="_Toc955344"/>
      <w:bookmarkStart w:id="260" w:name="_Toc79416785"/>
      <w:bookmarkEnd w:id="255"/>
      <w:r>
        <w:t>Freedom of information</w:t>
      </w:r>
      <w:bookmarkEnd w:id="256"/>
      <w:bookmarkEnd w:id="257"/>
      <w:bookmarkEnd w:id="258"/>
      <w:bookmarkEnd w:id="259"/>
      <w:bookmarkEnd w:id="260"/>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85224B">
      <w:pPr>
        <w:pStyle w:val="Heading3"/>
      </w:pPr>
      <w:bookmarkStart w:id="261" w:name="_Toc496536707"/>
      <w:bookmarkStart w:id="262" w:name="_Toc531277535"/>
      <w:bookmarkStart w:id="263" w:name="_Toc955345"/>
      <w:bookmarkStart w:id="264" w:name="_Toc79416786"/>
      <w:r>
        <w:t>Enquiries and f</w:t>
      </w:r>
      <w:r w:rsidR="001956C5" w:rsidRPr="00E63F2A">
        <w:t>eedback</w:t>
      </w:r>
      <w:bookmarkEnd w:id="261"/>
      <w:bookmarkEnd w:id="262"/>
      <w:bookmarkEnd w:id="263"/>
      <w:bookmarkEnd w:id="264"/>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6" w:history="1">
        <w:r w:rsidRPr="005A61FE">
          <w:rPr>
            <w:rStyle w:val="Hyperlink"/>
          </w:rPr>
          <w:t>web chat</w:t>
        </w:r>
      </w:hyperlink>
      <w:r>
        <w:t xml:space="preserve"> or</w:t>
      </w:r>
      <w:r w:rsidR="008863EB">
        <w:t xml:space="preserve"> through</w:t>
      </w:r>
      <w:r>
        <w:t xml:space="preserve"> our </w:t>
      </w:r>
      <w:hyperlink r:id="rId37"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8"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9"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4AB0DC61" w:rsidR="00414A64" w:rsidRDefault="001956C5" w:rsidP="00EB3EF4">
      <w:pPr>
        <w:spacing w:after="0"/>
      </w:pPr>
      <w:r w:rsidRPr="00E162FF">
        <w:t>Head of Division</w:t>
      </w:r>
      <w:r w:rsidRPr="00E162FF">
        <w:rPr>
          <w:b/>
        </w:rPr>
        <w:t xml:space="preserve"> </w:t>
      </w:r>
      <w:r w:rsidRPr="00E162FF">
        <w:br/>
      </w:r>
      <w:r w:rsidR="00BD2785">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60B5E01E" w:rsidR="00E90800" w:rsidRDefault="00A15AC7" w:rsidP="009E7919">
      <w:r>
        <w:t>You can also</w:t>
      </w:r>
      <w:r w:rsidR="001956C5" w:rsidRPr="00E162FF">
        <w:t xml:space="preserve"> contact the </w:t>
      </w:r>
      <w:hyperlink r:id="rId40"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3C63C3AD" w14:textId="77777777" w:rsidR="00E90800" w:rsidRDefault="00E90800">
      <w:pPr>
        <w:spacing w:before="0" w:after="0" w:line="240" w:lineRule="auto"/>
      </w:pPr>
      <w:r>
        <w:br w:type="page"/>
      </w:r>
    </w:p>
    <w:p w14:paraId="767C8FEB" w14:textId="637B9F78" w:rsidR="00CD2CCD" w:rsidRPr="0025345F" w:rsidRDefault="00BB5EF3" w:rsidP="0085224B">
      <w:pPr>
        <w:pStyle w:val="Heading2"/>
      </w:pPr>
      <w:bookmarkStart w:id="265" w:name="_Ref17466953"/>
      <w:bookmarkStart w:id="266" w:name="_Toc79416787"/>
      <w:r>
        <w:lastRenderedPageBreak/>
        <w:t>Glossary</w:t>
      </w:r>
      <w:bookmarkEnd w:id="265"/>
      <w:bookmarkEnd w:id="26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432F9">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001432F9">
        <w:trPr>
          <w:cantSplit/>
        </w:trPr>
        <w:tc>
          <w:tcPr>
            <w:tcW w:w="1843" w:type="pct"/>
          </w:tcPr>
          <w:p w14:paraId="4BBEC1A8" w14:textId="7E485AA4" w:rsidR="008D5C33" w:rsidRPr="00DD0810" w:rsidRDefault="008D5C33" w:rsidP="001B7E83">
            <w:r w:rsidRPr="00DD0810">
              <w:t>Committee</w:t>
            </w:r>
          </w:p>
        </w:tc>
        <w:tc>
          <w:tcPr>
            <w:tcW w:w="3157" w:type="pct"/>
          </w:tcPr>
          <w:p w14:paraId="7018352D" w14:textId="440121F9" w:rsidR="008D5C33" w:rsidRPr="007D429E" w:rsidRDefault="008D5C33" w:rsidP="00882029">
            <w:pPr>
              <w:rPr>
                <w:color w:val="000000"/>
                <w:w w:val="0"/>
              </w:rPr>
            </w:pPr>
            <w:r w:rsidRPr="00DD0810">
              <w:t>The body established to consider and assess eligible applications</w:t>
            </w:r>
            <w:r w:rsidR="00673FC4">
              <w:t>. The committee</w:t>
            </w:r>
            <w:r w:rsidRPr="00DD0810">
              <w:t xml:space="preserve"> </w:t>
            </w:r>
            <w:r w:rsidR="00F120F3">
              <w:t>provide</w:t>
            </w:r>
            <w:r w:rsidR="00673FC4">
              <w:t>s</w:t>
            </w:r>
            <w:r w:rsidR="00F120F3">
              <w:t xml:space="preserve"> advice </w:t>
            </w:r>
            <w:r w:rsidRPr="00DD0810">
              <w:t xml:space="preserve">to the </w:t>
            </w:r>
            <w:r w:rsidR="00882029">
              <w:t>Program Delegate</w:t>
            </w:r>
            <w:r w:rsidR="00882029" w:rsidRPr="00DD0810">
              <w:t xml:space="preserve"> </w:t>
            </w:r>
            <w:r w:rsidRPr="00DD0810">
              <w:t>for funding under the program</w:t>
            </w:r>
            <w:r w:rsidRPr="006A7B20">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A58A1">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30ACDFE1" w:rsidR="00706C60" w:rsidRPr="006C4678" w:rsidRDefault="00706C60" w:rsidP="001B7E83">
            <w:r w:rsidRPr="006C4678">
              <w:t xml:space="preserve">An application or proposal </w:t>
            </w:r>
            <w:r w:rsidR="001B7E83">
              <w:t xml:space="preserve">for services or grant funding </w:t>
            </w:r>
            <w:r w:rsidRPr="006C4678">
              <w:t xml:space="preserve">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A58A1">
              <w:t>5.2</w:t>
            </w:r>
            <w:r w:rsidR="00AF1D9D">
              <w:fldChar w:fldCharType="end"/>
            </w:r>
            <w:r w:rsidRPr="006C4678">
              <w:t>.</w:t>
            </w:r>
          </w:p>
        </w:tc>
      </w:tr>
      <w:tr w:rsidR="0052054C" w:rsidRPr="009E3949" w14:paraId="12F76143" w14:textId="77777777" w:rsidTr="001432F9">
        <w:trPr>
          <w:cantSplit/>
        </w:trPr>
        <w:tc>
          <w:tcPr>
            <w:tcW w:w="1843" w:type="pct"/>
          </w:tcPr>
          <w:p w14:paraId="06506668" w14:textId="540C80D8" w:rsidR="0052054C" w:rsidRDefault="0052054C" w:rsidP="008E215B">
            <w:r>
              <w:t xml:space="preserve">Eligible </w:t>
            </w:r>
            <w:r w:rsidR="004C6F6D">
              <w:t xml:space="preserve">expenditure </w:t>
            </w:r>
            <w:r w:rsidR="00464353" w:rsidRPr="005A61FE">
              <w:t>guidance</w:t>
            </w:r>
          </w:p>
        </w:tc>
        <w:tc>
          <w:tcPr>
            <w:tcW w:w="3157" w:type="pct"/>
          </w:tcPr>
          <w:p w14:paraId="5575602C" w14:textId="14B2C7CC"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CA58A1" w:rsidP="009564E7">
            <w:hyperlink r:id="rId41"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C166EB" w:rsidRPr="009E3949" w14:paraId="0372C9DD" w14:textId="77777777" w:rsidTr="001432F9">
        <w:trPr>
          <w:cantSplit/>
        </w:trPr>
        <w:tc>
          <w:tcPr>
            <w:tcW w:w="1843" w:type="pct"/>
          </w:tcPr>
          <w:p w14:paraId="5DE12575" w14:textId="60FE8094" w:rsidR="00C166EB" w:rsidRDefault="00975F29" w:rsidP="008E215B">
            <w:r>
              <w:t>Innovation and Science Australia</w:t>
            </w:r>
          </w:p>
        </w:tc>
        <w:tc>
          <w:tcPr>
            <w:tcW w:w="3157" w:type="pct"/>
          </w:tcPr>
          <w:p w14:paraId="2166E52E" w14:textId="31776F19" w:rsidR="00C166EB" w:rsidRPr="006C4678" w:rsidRDefault="00975F29" w:rsidP="002F3A4F">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xml:space="preserve">) and </w:t>
            </w:r>
            <w:r w:rsidR="008D433F" w:rsidRPr="006C4678">
              <w:t>named in that Act as Innovation and Science Australia.</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080F3845" w:rsidR="00975F29" w:rsidRPr="006C4678" w:rsidRDefault="00C60E0F" w:rsidP="001B7E83">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001B7E83">
              <w:t xml:space="preserve"> </w:t>
            </w:r>
          </w:p>
        </w:tc>
      </w:tr>
      <w:tr w:rsidR="00C60E0F" w:rsidRPr="009E3949" w14:paraId="7FFB65F9" w14:textId="77777777" w:rsidTr="001432F9">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1432F9">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2764B01D" w:rsidR="00F95C1B" w:rsidRPr="006C4678" w:rsidRDefault="00F95C1B" w:rsidP="00111BF8">
            <w:pPr>
              <w:rPr>
                <w:bCs/>
              </w:rPr>
            </w:pPr>
            <w:r>
              <w:t xml:space="preserve">An AusIndustry </w:t>
            </w:r>
            <w:r w:rsidRPr="00111BF8">
              <w:t xml:space="preserve">general </w:t>
            </w:r>
            <w:r w:rsidRPr="00A54025">
              <w:t>manager</w:t>
            </w:r>
            <w:r w:rsidRPr="00111BF8">
              <w:t xml:space="preserve"> within</w:t>
            </w:r>
            <w:r>
              <w:t xml:space="preserve">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1432F9">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42E0C06D" w:rsidR="00C60E0F" w:rsidRDefault="00C60E0F" w:rsidP="00E325F5">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enterprises </w:t>
            </w:r>
            <w:r w:rsidR="00E325F5">
              <w:rPr>
                <w:szCs w:val="20"/>
              </w:rPr>
              <w:t>that</w:t>
            </w:r>
            <w:r w:rsidR="00E325F5" w:rsidRPr="009E3949">
              <w:rPr>
                <w:szCs w:val="20"/>
              </w:rPr>
              <w:t xml:space="preserve"> </w:t>
            </w:r>
            <w:r w:rsidRPr="009E3949">
              <w:rPr>
                <w:szCs w:val="20"/>
              </w:rPr>
              <w:t>undertake publicly funded research.</w:t>
            </w:r>
          </w:p>
        </w:tc>
      </w:tr>
      <w:tr w:rsidR="00384D85" w:rsidRPr="009E3949" w14:paraId="720A5B83" w14:textId="77777777" w:rsidTr="001432F9">
        <w:trPr>
          <w:cantSplit/>
        </w:trPr>
        <w:tc>
          <w:tcPr>
            <w:tcW w:w="1843" w:type="pct"/>
          </w:tcPr>
          <w:p w14:paraId="6F7B9E55" w14:textId="61C191BF" w:rsidR="00384D85" w:rsidRDefault="006C2610" w:rsidP="008E215B">
            <w:r w:rsidRPr="006C2610">
              <w:t>Publicly funded research agencies (PFRAs)</w:t>
            </w:r>
          </w:p>
        </w:tc>
        <w:tc>
          <w:tcPr>
            <w:tcW w:w="3157" w:type="pct"/>
          </w:tcPr>
          <w:p w14:paraId="74761B83" w14:textId="5D29CE7C" w:rsidR="00384D85" w:rsidRPr="009E3949" w:rsidRDefault="006C2610" w:rsidP="00E325F5">
            <w:pPr>
              <w:rPr>
                <w:szCs w:val="20"/>
              </w:rPr>
            </w:pPr>
            <w:r w:rsidRPr="006C2610">
              <w:rPr>
                <w:szCs w:val="20"/>
              </w:rPr>
              <w:t>Commonwealth research agencies including DST, Geoscience Australia, CSIRO and ANSTO.</w:t>
            </w:r>
          </w:p>
        </w:tc>
      </w:tr>
    </w:tbl>
    <w:p w14:paraId="25F65377" w14:textId="77777777" w:rsidR="00230A2B" w:rsidRDefault="00230A2B" w:rsidP="00230A2B"/>
    <w:p w14:paraId="25F65378" w14:textId="77777777" w:rsidR="00230A2B" w:rsidRDefault="00230A2B" w:rsidP="00230A2B">
      <w:pPr>
        <w:sectPr w:rsidR="00230A2B" w:rsidSect="0085224B">
          <w:pgSz w:w="11907" w:h="16840" w:code="9"/>
          <w:pgMar w:top="1134" w:right="1418" w:bottom="1134" w:left="1701" w:header="709" w:footer="709" w:gutter="0"/>
          <w:cols w:space="720"/>
          <w:docGrid w:linePitch="360"/>
        </w:sectPr>
      </w:pPr>
    </w:p>
    <w:p w14:paraId="25F65379" w14:textId="68D2D68D" w:rsidR="00230A2B" w:rsidRDefault="004E0184" w:rsidP="0085224B">
      <w:pPr>
        <w:pStyle w:val="Heading2Appendix"/>
        <w:numPr>
          <w:ilvl w:val="0"/>
          <w:numId w:val="33"/>
        </w:numPr>
      </w:pPr>
      <w:bookmarkStart w:id="267" w:name="_Toc496536709"/>
      <w:bookmarkStart w:id="268" w:name="_Toc531277537"/>
      <w:bookmarkStart w:id="269" w:name="_Toc955347"/>
      <w:bookmarkStart w:id="270" w:name="_Toc79416788"/>
      <w:r>
        <w:lastRenderedPageBreak/>
        <w:t>Eligible expenditure</w:t>
      </w:r>
      <w:bookmarkEnd w:id="267"/>
      <w:bookmarkEnd w:id="268"/>
      <w:bookmarkEnd w:id="269"/>
      <w:bookmarkEnd w:id="270"/>
    </w:p>
    <w:p w14:paraId="25F6537B" w14:textId="534769C6" w:rsidR="00D96D08" w:rsidRDefault="00D96D08" w:rsidP="00D96D08">
      <w:r w:rsidRPr="00E162FF">
        <w:t xml:space="preserve">This section provides </w:t>
      </w:r>
      <w:r w:rsidRPr="005A61FE">
        <w:t>guid</w:t>
      </w:r>
      <w:r w:rsidR="00442B03" w:rsidRPr="005A61FE">
        <w:t>ance</w:t>
      </w:r>
      <w:r w:rsidRPr="00E162FF">
        <w:t xml:space="preserve"> on </w:t>
      </w:r>
      <w:r w:rsidR="001B7E83">
        <w:t xml:space="preserve">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2"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Pr="006F6212" w:rsidRDefault="00D96D08" w:rsidP="0085224B">
      <w:pPr>
        <w:pStyle w:val="Heading3Appendix"/>
      </w:pPr>
      <w:bookmarkStart w:id="271" w:name="_Toc496536710"/>
      <w:bookmarkStart w:id="272" w:name="_Toc531277538"/>
      <w:bookmarkStart w:id="273" w:name="_Toc955348"/>
      <w:bookmarkStart w:id="274" w:name="_Toc79416789"/>
      <w:r w:rsidRPr="006F6212">
        <w:t>How</w:t>
      </w:r>
      <w:r w:rsidR="00DA182E" w:rsidRPr="006F6212">
        <w:t xml:space="preserve"> we verify</w:t>
      </w:r>
      <w:r w:rsidRPr="006F6212">
        <w:t xml:space="preserve"> eligible expenditure</w:t>
      </w:r>
      <w:bookmarkEnd w:id="271"/>
      <w:bookmarkEnd w:id="272"/>
      <w:bookmarkEnd w:id="273"/>
      <w:bookmarkEnd w:id="274"/>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99057F9" w:rsidR="00D96D08" w:rsidRPr="00E162FF" w:rsidRDefault="00E90800" w:rsidP="00D96D08">
      <w:r>
        <w:t>Y</w:t>
      </w:r>
      <w:r w:rsidR="00D96D08">
        <w:t>ou will be required</w:t>
      </w:r>
      <w:r w:rsidR="00D96D08" w:rsidRPr="00E162FF">
        <w:t xml:space="preserve"> to provide an independent financial audit of all eligible expenditure</w:t>
      </w:r>
      <w:r w:rsidR="00D96D08">
        <w:t xml:space="preserve"> from the project</w:t>
      </w:r>
      <w:r>
        <w:t xml:space="preserve"> half way through the program and a</w:t>
      </w:r>
      <w:r w:rsidRPr="00E90800">
        <w:t>t the end of the project</w:t>
      </w:r>
      <w:r>
        <w:t>.</w:t>
      </w:r>
    </w:p>
    <w:p w14:paraId="25F653C9" w14:textId="77777777" w:rsidR="00D96D08" w:rsidRPr="006F6212" w:rsidRDefault="00D96D08" w:rsidP="0085224B">
      <w:pPr>
        <w:pStyle w:val="Heading3Appendix"/>
      </w:pPr>
      <w:bookmarkStart w:id="275" w:name="_Toc496536718"/>
      <w:bookmarkStart w:id="276" w:name="_Toc531277546"/>
      <w:bookmarkStart w:id="277" w:name="_Toc955356"/>
      <w:bookmarkStart w:id="278" w:name="_Toc79416790"/>
      <w:r w:rsidRPr="006F6212">
        <w:t>Labour expenditure</w:t>
      </w:r>
      <w:bookmarkEnd w:id="275"/>
      <w:bookmarkEnd w:id="276"/>
      <w:bookmarkEnd w:id="277"/>
      <w:bookmarkEnd w:id="278"/>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85224B">
      <w:pPr>
        <w:pStyle w:val="Heading3Appendix"/>
      </w:pPr>
      <w:bookmarkStart w:id="279" w:name="_Toc496536719"/>
      <w:bookmarkStart w:id="280" w:name="_Toc531277547"/>
      <w:bookmarkStart w:id="281" w:name="_Toc955357"/>
      <w:bookmarkStart w:id="282" w:name="_Toc79416791"/>
      <w:r w:rsidRPr="006F6212">
        <w:lastRenderedPageBreak/>
        <w:t>Labour on-costs and administrative overhead</w:t>
      </w:r>
      <w:bookmarkEnd w:id="279"/>
      <w:bookmarkEnd w:id="280"/>
      <w:bookmarkEnd w:id="281"/>
      <w:bookmarkEnd w:id="282"/>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83" w:name="OLE_LINK17"/>
      <w:bookmarkStart w:id="284" w:name="OLE_LINK16"/>
      <w:bookmarkEnd w:id="283"/>
      <w:bookmarkEnd w:id="284"/>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3">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285" w:name="OLE_LINK22"/>
      <w:r w:rsidRPr="009B6938">
        <w:t>details of all personnel working on the project, including name, title, function, time spent on the project and salary</w:t>
      </w:r>
    </w:p>
    <w:bookmarkEnd w:id="285"/>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85224B">
      <w:pPr>
        <w:pStyle w:val="Heading3Appendix"/>
      </w:pPr>
      <w:bookmarkStart w:id="286" w:name="_Toc496536720"/>
      <w:bookmarkStart w:id="287" w:name="_Toc531277548"/>
      <w:bookmarkStart w:id="288" w:name="_Toc955358"/>
      <w:bookmarkStart w:id="289" w:name="_Toc79416792"/>
      <w:r w:rsidRPr="006F6212">
        <w:t>Contract expenditure</w:t>
      </w:r>
      <w:bookmarkEnd w:id="286"/>
      <w:bookmarkEnd w:id="287"/>
      <w:bookmarkEnd w:id="288"/>
      <w:bookmarkEnd w:id="289"/>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76CE1221" w:rsidR="007E27EC" w:rsidRPr="006F6212" w:rsidRDefault="007E27EC" w:rsidP="0085224B">
      <w:pPr>
        <w:pStyle w:val="Heading3Appendix"/>
      </w:pPr>
      <w:bookmarkStart w:id="290" w:name="_Toc496536721"/>
      <w:bookmarkStart w:id="291" w:name="_Toc531277549"/>
      <w:bookmarkStart w:id="292" w:name="_Toc955359"/>
      <w:bookmarkStart w:id="293" w:name="_Toc79416793"/>
      <w:r w:rsidRPr="006F6212">
        <w:lastRenderedPageBreak/>
        <w:t>Travel expenditure</w:t>
      </w:r>
      <w:bookmarkEnd w:id="290"/>
      <w:bookmarkEnd w:id="291"/>
      <w:bookmarkEnd w:id="292"/>
      <w:bookmarkEnd w:id="293"/>
    </w:p>
    <w:p w14:paraId="372F96C4" w14:textId="6A662428" w:rsidR="00831451" w:rsidRDefault="00831451" w:rsidP="00E92882">
      <w:pPr>
        <w:spacing w:after="80"/>
      </w:pPr>
      <w:r>
        <w:t xml:space="preserve">Eligible travel </w:t>
      </w:r>
      <w:r w:rsidR="00E92882">
        <w:t>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0DADEBA" w14:textId="4AEE54AE"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depend on</w:t>
      </w:r>
      <w:r w:rsidR="001B7E83">
        <w:t>:</w:t>
      </w:r>
      <w:r w:rsidR="007E27EC">
        <w:t xml:space="preserve">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25F653EB" w14:textId="77777777" w:rsidR="00D96D08" w:rsidRPr="006F6212" w:rsidRDefault="00D96D08" w:rsidP="0085224B">
      <w:pPr>
        <w:pStyle w:val="Heading3Appendix"/>
      </w:pPr>
      <w:bookmarkStart w:id="294" w:name="_Toc496536722"/>
      <w:bookmarkStart w:id="295" w:name="_Toc531277550"/>
      <w:bookmarkStart w:id="296" w:name="_Toc955360"/>
      <w:bookmarkStart w:id="297" w:name="_Toc79416794"/>
      <w:r w:rsidRPr="006F6212">
        <w:t>Other eligible expenditure</w:t>
      </w:r>
      <w:bookmarkEnd w:id="294"/>
      <w:bookmarkEnd w:id="295"/>
      <w:bookmarkEnd w:id="296"/>
      <w:bookmarkEnd w:id="297"/>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0B94502A" w14:textId="0B1FACE1" w:rsidR="00C63898" w:rsidRDefault="00C63898" w:rsidP="00C63898">
      <w:pPr>
        <w:pStyle w:val="ListBullet"/>
      </w:pPr>
      <w:r>
        <w:t xml:space="preserve">costs to </w:t>
      </w:r>
      <w:r w:rsidRPr="00B355C5">
        <w:t xml:space="preserve">administer this program </w:t>
      </w:r>
      <w:r w:rsidR="00CB431C">
        <w:t xml:space="preserve">including staffing and marketing </w:t>
      </w:r>
      <w:r w:rsidRPr="00B355C5">
        <w:t xml:space="preserve">cannot exceed </w:t>
      </w:r>
      <w:r>
        <w:t>$</w:t>
      </w:r>
      <w:r w:rsidR="00CB431C">
        <w:t>4.8</w:t>
      </w:r>
      <w:r>
        <w:t xml:space="preserve"> million</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00F34E3C">
      <w:pPr>
        <w:pStyle w:val="ListBullet"/>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85224B">
      <w:pPr>
        <w:pStyle w:val="Heading2Appendix"/>
      </w:pPr>
      <w:bookmarkStart w:id="298" w:name="_Toc383003259"/>
      <w:bookmarkStart w:id="299" w:name="_Toc496536723"/>
      <w:bookmarkStart w:id="300" w:name="_Toc531277551"/>
      <w:bookmarkStart w:id="301" w:name="_Toc955361"/>
      <w:bookmarkStart w:id="302" w:name="_Toc79416795"/>
      <w:r>
        <w:lastRenderedPageBreak/>
        <w:t>Ineligible expenditure</w:t>
      </w:r>
      <w:bookmarkEnd w:id="298"/>
      <w:bookmarkEnd w:id="299"/>
      <w:bookmarkEnd w:id="300"/>
      <w:bookmarkEnd w:id="301"/>
      <w:bookmarkEnd w:id="302"/>
    </w:p>
    <w:p w14:paraId="25F653F8" w14:textId="404DC91E"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CB431C" w:rsidRDefault="00F87B83" w:rsidP="00F87B83">
      <w:pPr>
        <w:pStyle w:val="ListBullet"/>
      </w:pPr>
      <w:r w:rsidRPr="00CB431C">
        <w:t xml:space="preserve">costs related to obtaining resources used on the project, including </w:t>
      </w:r>
      <w:r w:rsidRPr="00384D85">
        <w:t>interest on loans</w:t>
      </w:r>
      <w:r w:rsidRPr="00CB431C">
        <w:t xml:space="preserve">, job advertising and recruiting, </w:t>
      </w:r>
      <w:r w:rsidRPr="00384D85">
        <w:t>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5D4C93">
      <w:pPr>
        <w:pStyle w:val="ListBullet"/>
        <w:spacing w:after="120"/>
      </w:pPr>
      <w:proofErr w:type="gramStart"/>
      <w:r>
        <w:t>travel</w:t>
      </w:r>
      <w:proofErr w:type="gramEnd"/>
      <w:r>
        <w:t xml:space="preserve"> or overseas costs that exceed 10% of total project costs except where otherwise approved by the </w:t>
      </w:r>
      <w:r w:rsidR="00262481">
        <w:t>Program</w:t>
      </w:r>
      <w:r>
        <w:t xml:space="preserve"> Delegate.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1D18" w14:textId="77777777" w:rsidR="00597BEB" w:rsidRDefault="00597BEB" w:rsidP="00077C3D">
      <w:r>
        <w:separator/>
      </w:r>
    </w:p>
  </w:endnote>
  <w:endnote w:type="continuationSeparator" w:id="0">
    <w:p w14:paraId="09D7EE2A" w14:textId="77777777" w:rsidR="00597BEB" w:rsidRDefault="00597BEB" w:rsidP="00077C3D">
      <w:r>
        <w:continuationSeparator/>
      </w:r>
    </w:p>
  </w:endnote>
  <w:endnote w:type="continuationNotice" w:id="1">
    <w:p w14:paraId="7A288049" w14:textId="77777777" w:rsidR="00597BEB" w:rsidRDefault="00597BE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5A1D" w14:textId="77777777" w:rsidR="00CA58A1" w:rsidRDefault="00CA5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E11E" w14:textId="77777777" w:rsidR="00CA58A1" w:rsidRDefault="00CA5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597BEB" w:rsidRPr="0059733A" w:rsidRDefault="00597BEB"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206E" w14:textId="77777777" w:rsidR="00597BEB" w:rsidRDefault="00597BEB" w:rsidP="00E963B8">
    <w:pPr>
      <w:pStyle w:val="Footer"/>
      <w:tabs>
        <w:tab w:val="clear" w:pos="4153"/>
        <w:tab w:val="clear" w:pos="8306"/>
        <w:tab w:val="center" w:pos="4962"/>
        <w:tab w:val="right" w:pos="8789"/>
      </w:tabs>
    </w:pPr>
    <w:r>
      <w:t xml:space="preserve">Boosting the Next Generation of Women in STEM </w:t>
    </w:r>
  </w:p>
  <w:p w14:paraId="0B280E19" w14:textId="1FC12AF4" w:rsidR="00597BEB" w:rsidRDefault="00597BEB" w:rsidP="00E963B8">
    <w:pPr>
      <w:pStyle w:val="Footer"/>
      <w:tabs>
        <w:tab w:val="clear" w:pos="4153"/>
        <w:tab w:val="clear" w:pos="8306"/>
        <w:tab w:val="center" w:pos="4962"/>
        <w:tab w:val="right" w:pos="8789"/>
      </w:tabs>
      <w:rPr>
        <w:noProof/>
      </w:rPr>
    </w:pPr>
    <w:r>
      <w:t>Grant opportunity guidelines</w:t>
    </w:r>
    <w:r>
      <w:tab/>
    </w:r>
    <w:r w:rsidR="0018533B">
      <w:t>August</w:t>
    </w:r>
    <w:r>
      <w:t xml:space="preserve"> 2021</w:t>
    </w:r>
    <w:r w:rsidRPr="005B72F4">
      <w:tab/>
      <w:t xml:space="preserve">Page </w:t>
    </w:r>
    <w:r w:rsidRPr="005B72F4">
      <w:fldChar w:fldCharType="begin"/>
    </w:r>
    <w:r w:rsidRPr="005B72F4">
      <w:instrText xml:space="preserve"> PAGE </w:instrText>
    </w:r>
    <w:r w:rsidRPr="005B72F4">
      <w:fldChar w:fldCharType="separate"/>
    </w:r>
    <w:r w:rsidR="00CA58A1">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A58A1">
      <w:rPr>
        <w:noProof/>
      </w:rPr>
      <w:t>25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597BEB" w:rsidRDefault="00597BE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61466" w14:textId="77777777" w:rsidR="00597BEB" w:rsidRDefault="00597BEB" w:rsidP="00077C3D">
      <w:r>
        <w:separator/>
      </w:r>
    </w:p>
  </w:footnote>
  <w:footnote w:type="continuationSeparator" w:id="0">
    <w:p w14:paraId="46A52896" w14:textId="77777777" w:rsidR="00597BEB" w:rsidRDefault="00597BEB" w:rsidP="00077C3D">
      <w:r>
        <w:continuationSeparator/>
      </w:r>
    </w:p>
  </w:footnote>
  <w:footnote w:type="continuationNotice" w:id="1">
    <w:p w14:paraId="7442330C" w14:textId="77777777" w:rsidR="00597BEB" w:rsidRDefault="00597BEB" w:rsidP="00077C3D"/>
  </w:footnote>
  <w:footnote w:id="2">
    <w:p w14:paraId="11439183" w14:textId="6E1B0CD5" w:rsidR="00597BEB" w:rsidRDefault="00597BEB"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E247709" w14:textId="77777777" w:rsidR="00597BEB" w:rsidRDefault="00597BEB" w:rsidP="00C63898">
      <w:pPr>
        <w:pStyle w:val="FootnoteText"/>
      </w:pPr>
      <w:r>
        <w:rPr>
          <w:rStyle w:val="FootnoteReference"/>
        </w:rPr>
        <w:footnoteRef/>
      </w:r>
      <w:r>
        <w:t xml:space="preserve"> </w:t>
      </w:r>
      <w:hyperlink r:id="rId2" w:history="1">
        <w:r w:rsidRPr="00CD05A9">
          <w:rPr>
            <w:rStyle w:val="Hyperlink"/>
          </w:rPr>
          <w:t>https://www.finance.gov.au/government/commonwealth-grants/commonwealth-grants-rules-guidelines</w:t>
        </w:r>
      </w:hyperlink>
      <w:r>
        <w:rPr>
          <w:rStyle w:val="Hyperlink"/>
        </w:rPr>
        <w:t xml:space="preserve"> </w:t>
      </w:r>
    </w:p>
  </w:footnote>
  <w:footnote w:id="4">
    <w:p w14:paraId="708B450F" w14:textId="43DA09FD" w:rsidR="00597BEB" w:rsidRPr="007C453D" w:rsidRDefault="00597BE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597BEB" w:rsidRPr="005A61FE" w:rsidRDefault="00597BEB">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597BEB" w:rsidRDefault="00597BEB"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597BEB" w:rsidRDefault="00597BEB"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597BEB" w:rsidRDefault="00597BEB"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388" w14:textId="77777777" w:rsidR="00CA58A1" w:rsidRDefault="00CA5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CE6AA" w14:textId="77777777" w:rsidR="00CA58A1" w:rsidRDefault="00CA5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4457B665" w:rsidR="00597BEB" w:rsidRPr="005326A9" w:rsidRDefault="00597BEB" w:rsidP="0041698F">
    <w:pPr>
      <w:pStyle w:val="NoSpacing"/>
    </w:pPr>
    <w:r>
      <w:rPr>
        <w:rFonts w:ascii="Segoe UI" w:hAnsi="Segoe UI" w:cs="Segoe UI"/>
        <w:noProof/>
        <w:color w:val="444444"/>
        <w:szCs w:val="20"/>
        <w:lang w:eastAsia="en-AU"/>
      </w:rPr>
      <w:drawing>
        <wp:inline distT="0" distB="0" distL="0" distR="0" wp14:anchorId="3365406C" wp14:editId="32FB7C5A">
          <wp:extent cx="5580380" cy="671522"/>
          <wp:effectExtent l="0" t="0" r="1270" b="0"/>
          <wp:docPr id="1" name="Picture 1"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281F5982" w14:textId="6ACADFCF" w:rsidR="00597BEB" w:rsidRPr="005326A9" w:rsidRDefault="00597BEB" w:rsidP="0041698F">
    <w:pPr>
      <w:pStyle w:val="NoSpacing"/>
    </w:pPr>
  </w:p>
  <w:p w14:paraId="55B98D24" w14:textId="05BF7BEA" w:rsidR="00597BEB" w:rsidRPr="002B3327" w:rsidRDefault="00597BE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E3D7764"/>
    <w:multiLevelType w:val="hybridMultilevel"/>
    <w:tmpl w:val="D43CB38E"/>
    <w:lvl w:ilvl="0" w:tplc="F15875F0">
      <w:start w:val="1"/>
      <w:numFmt w:val="lowerLetter"/>
      <w:lvlText w:val="%1."/>
      <w:lvlJc w:val="left"/>
      <w:pPr>
        <w:ind w:left="432" w:hanging="432"/>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8060C"/>
    <w:multiLevelType w:val="hybridMultilevel"/>
    <w:tmpl w:val="122094BA"/>
    <w:lvl w:ilvl="0" w:tplc="0E4CC370">
      <w:start w:val="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EF482A"/>
    <w:multiLevelType w:val="hybridMultilevel"/>
    <w:tmpl w:val="48F410AA"/>
    <w:lvl w:ilvl="0" w:tplc="D1EE20EC">
      <w:start w:val="1"/>
      <w:numFmt w:val="decimal"/>
      <w:pStyle w:val="TableNumber"/>
      <w:lvlText w:val="%1."/>
      <w:lvlJc w:val="left"/>
      <w:pPr>
        <w:ind w:left="720" w:hanging="360"/>
      </w:pPr>
    </w:lvl>
    <w:lvl w:ilvl="1" w:tplc="538460E6" w:tentative="1">
      <w:start w:val="1"/>
      <w:numFmt w:val="lowerLetter"/>
      <w:lvlText w:val="%2."/>
      <w:lvlJc w:val="left"/>
      <w:pPr>
        <w:ind w:left="1440" w:hanging="360"/>
      </w:pPr>
    </w:lvl>
    <w:lvl w:ilvl="2" w:tplc="EC0E73EA" w:tentative="1">
      <w:start w:val="1"/>
      <w:numFmt w:val="lowerRoman"/>
      <w:lvlText w:val="%3."/>
      <w:lvlJc w:val="right"/>
      <w:pPr>
        <w:ind w:left="2160" w:hanging="180"/>
      </w:pPr>
    </w:lvl>
    <w:lvl w:ilvl="3" w:tplc="42508AE0" w:tentative="1">
      <w:start w:val="1"/>
      <w:numFmt w:val="decimal"/>
      <w:lvlText w:val="%4."/>
      <w:lvlJc w:val="left"/>
      <w:pPr>
        <w:ind w:left="2880" w:hanging="360"/>
      </w:pPr>
    </w:lvl>
    <w:lvl w:ilvl="4" w:tplc="1BA6359A" w:tentative="1">
      <w:start w:val="1"/>
      <w:numFmt w:val="lowerLetter"/>
      <w:lvlText w:val="%5."/>
      <w:lvlJc w:val="left"/>
      <w:pPr>
        <w:ind w:left="3600" w:hanging="360"/>
      </w:pPr>
    </w:lvl>
    <w:lvl w:ilvl="5" w:tplc="AEDCB7A8" w:tentative="1">
      <w:start w:val="1"/>
      <w:numFmt w:val="lowerRoman"/>
      <w:lvlText w:val="%6."/>
      <w:lvlJc w:val="right"/>
      <w:pPr>
        <w:ind w:left="4320" w:hanging="180"/>
      </w:pPr>
    </w:lvl>
    <w:lvl w:ilvl="6" w:tplc="52A85A24" w:tentative="1">
      <w:start w:val="1"/>
      <w:numFmt w:val="decimal"/>
      <w:lvlText w:val="%7."/>
      <w:lvlJc w:val="left"/>
      <w:pPr>
        <w:ind w:left="5040" w:hanging="360"/>
      </w:pPr>
    </w:lvl>
    <w:lvl w:ilvl="7" w:tplc="90B4B9C8" w:tentative="1">
      <w:start w:val="1"/>
      <w:numFmt w:val="lowerLetter"/>
      <w:lvlText w:val="%8."/>
      <w:lvlJc w:val="left"/>
      <w:pPr>
        <w:ind w:left="5760" w:hanging="360"/>
      </w:pPr>
    </w:lvl>
    <w:lvl w:ilvl="8" w:tplc="9F22849A" w:tentative="1">
      <w:start w:val="1"/>
      <w:numFmt w:val="lowerRoman"/>
      <w:lvlText w:val="%9."/>
      <w:lvlJc w:val="right"/>
      <w:pPr>
        <w:ind w:left="6480" w:hanging="180"/>
      </w:p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494E892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92466"/>
    <w:multiLevelType w:val="hybridMultilevel"/>
    <w:tmpl w:val="2662EBB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4903BD"/>
    <w:multiLevelType w:val="hybridMultilevel"/>
    <w:tmpl w:val="06FA2964"/>
    <w:lvl w:ilvl="0" w:tplc="4BA0A6F2">
      <w:start w:val="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A0D99"/>
    <w:multiLevelType w:val="hybridMultilevel"/>
    <w:tmpl w:val="F73A1A5E"/>
    <w:lvl w:ilvl="0" w:tplc="0C090003">
      <w:start w:val="1"/>
      <w:numFmt w:val="bullet"/>
      <w:lvlText w:val="o"/>
      <w:lvlJc w:val="left"/>
      <w:pPr>
        <w:ind w:left="1080" w:hanging="360"/>
      </w:pPr>
      <w:rPr>
        <w:rFonts w:ascii="Courier New" w:hAnsi="Courier New" w:cs="Courier New" w:hint="default"/>
      </w:rPr>
    </w:lvl>
    <w:lvl w:ilvl="1" w:tplc="8A52F648" w:tentative="1">
      <w:start w:val="1"/>
      <w:numFmt w:val="bullet"/>
      <w:lvlText w:val="o"/>
      <w:lvlJc w:val="left"/>
      <w:pPr>
        <w:ind w:left="1800" w:hanging="360"/>
      </w:pPr>
      <w:rPr>
        <w:rFonts w:ascii="Courier New" w:hAnsi="Courier New" w:cs="Courier New" w:hint="default"/>
      </w:rPr>
    </w:lvl>
    <w:lvl w:ilvl="2" w:tplc="EEA498EE" w:tentative="1">
      <w:start w:val="1"/>
      <w:numFmt w:val="bullet"/>
      <w:lvlText w:val=""/>
      <w:lvlJc w:val="left"/>
      <w:pPr>
        <w:ind w:left="2520" w:hanging="360"/>
      </w:pPr>
      <w:rPr>
        <w:rFonts w:ascii="Wingdings" w:hAnsi="Wingdings" w:hint="default"/>
      </w:rPr>
    </w:lvl>
    <w:lvl w:ilvl="3" w:tplc="6DCE1B42" w:tentative="1">
      <w:start w:val="1"/>
      <w:numFmt w:val="bullet"/>
      <w:lvlText w:val=""/>
      <w:lvlJc w:val="left"/>
      <w:pPr>
        <w:ind w:left="3240" w:hanging="360"/>
      </w:pPr>
      <w:rPr>
        <w:rFonts w:ascii="Symbol" w:hAnsi="Symbol" w:hint="default"/>
      </w:rPr>
    </w:lvl>
    <w:lvl w:ilvl="4" w:tplc="27E289CE" w:tentative="1">
      <w:start w:val="1"/>
      <w:numFmt w:val="bullet"/>
      <w:lvlText w:val="o"/>
      <w:lvlJc w:val="left"/>
      <w:pPr>
        <w:ind w:left="3960" w:hanging="360"/>
      </w:pPr>
      <w:rPr>
        <w:rFonts w:ascii="Courier New" w:hAnsi="Courier New" w:cs="Courier New" w:hint="default"/>
      </w:rPr>
    </w:lvl>
    <w:lvl w:ilvl="5" w:tplc="45F8C014" w:tentative="1">
      <w:start w:val="1"/>
      <w:numFmt w:val="bullet"/>
      <w:lvlText w:val=""/>
      <w:lvlJc w:val="left"/>
      <w:pPr>
        <w:ind w:left="4680" w:hanging="360"/>
      </w:pPr>
      <w:rPr>
        <w:rFonts w:ascii="Wingdings" w:hAnsi="Wingdings" w:hint="default"/>
      </w:rPr>
    </w:lvl>
    <w:lvl w:ilvl="6" w:tplc="572E0F04" w:tentative="1">
      <w:start w:val="1"/>
      <w:numFmt w:val="bullet"/>
      <w:lvlText w:val=""/>
      <w:lvlJc w:val="left"/>
      <w:pPr>
        <w:ind w:left="5400" w:hanging="360"/>
      </w:pPr>
      <w:rPr>
        <w:rFonts w:ascii="Symbol" w:hAnsi="Symbol" w:hint="default"/>
      </w:rPr>
    </w:lvl>
    <w:lvl w:ilvl="7" w:tplc="60D892A2" w:tentative="1">
      <w:start w:val="1"/>
      <w:numFmt w:val="bullet"/>
      <w:lvlText w:val="o"/>
      <w:lvlJc w:val="left"/>
      <w:pPr>
        <w:ind w:left="6120" w:hanging="360"/>
      </w:pPr>
      <w:rPr>
        <w:rFonts w:ascii="Courier New" w:hAnsi="Courier New" w:cs="Courier New" w:hint="default"/>
      </w:rPr>
    </w:lvl>
    <w:lvl w:ilvl="8" w:tplc="E70C5C66" w:tentative="1">
      <w:start w:val="1"/>
      <w:numFmt w:val="bullet"/>
      <w:lvlText w:val=""/>
      <w:lvlJc w:val="left"/>
      <w:pPr>
        <w:ind w:left="6840" w:hanging="360"/>
      </w:pPr>
      <w:rPr>
        <w:rFonts w:ascii="Wingdings" w:hAnsi="Wingdings" w:hint="default"/>
      </w:rPr>
    </w:lvl>
  </w:abstractNum>
  <w:abstractNum w:abstractNumId="21"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0"/>
  </w:num>
  <w:num w:numId="3">
    <w:abstractNumId w:val="7"/>
  </w:num>
  <w:num w:numId="4">
    <w:abstractNumId w:val="8"/>
  </w:num>
  <w:num w:numId="5">
    <w:abstractNumId w:val="19"/>
  </w:num>
  <w:num w:numId="6">
    <w:abstractNumId w:val="17"/>
  </w:num>
  <w:num w:numId="7">
    <w:abstractNumId w:val="5"/>
  </w:num>
  <w:num w:numId="8">
    <w:abstractNumId w:val="3"/>
  </w:num>
  <w:num w:numId="9">
    <w:abstractNumId w:val="3"/>
    <w:lvlOverride w:ilvl="0">
      <w:startOverride w:val="1"/>
    </w:lvlOverride>
  </w:num>
  <w:num w:numId="10">
    <w:abstractNumId w:val="5"/>
  </w:num>
  <w:num w:numId="11">
    <w:abstractNumId w:val="3"/>
    <w:lvlOverride w:ilvl="0">
      <w:startOverride w:val="1"/>
    </w:lvlOverride>
  </w:num>
  <w:num w:numId="12">
    <w:abstractNumId w:val="11"/>
  </w:num>
  <w:num w:numId="13">
    <w:abstractNumId w:val="2"/>
  </w:num>
  <w:num w:numId="14">
    <w:abstractNumId w:val="13"/>
  </w:num>
  <w:num w:numId="15">
    <w:abstractNumId w:val="3"/>
    <w:lvlOverride w:ilvl="0">
      <w:startOverride w:val="1"/>
    </w:lvlOverride>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1"/>
  </w:num>
  <w:num w:numId="31">
    <w:abstractNumId w:val="12"/>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0"/>
  </w:num>
  <w:num w:numId="36">
    <w:abstractNumId w:val="6"/>
  </w:num>
  <w:num w:numId="37">
    <w:abstractNumId w:val="10"/>
  </w:num>
  <w:num w:numId="38">
    <w:abstractNumId w:val="15"/>
  </w:num>
  <w:num w:numId="39">
    <w:abstractNumId w:val="3"/>
  </w:num>
  <w:num w:numId="40">
    <w:abstractNumId w:val="21"/>
  </w:num>
  <w:num w:numId="41">
    <w:abstractNumId w:val="3"/>
    <w:lvlOverride w:ilvl="0">
      <w:startOverride w:val="1"/>
    </w:lvlOverride>
  </w:num>
  <w:num w:numId="42">
    <w:abstractNumId w:val="3"/>
  </w:num>
  <w:num w:numId="43">
    <w:abstractNumId w:val="4"/>
  </w:num>
  <w:num w:numId="44">
    <w:abstractNumId w:val="9"/>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49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3DDF"/>
    <w:rsid w:val="00005E68"/>
    <w:rsid w:val="000062D1"/>
    <w:rsid w:val="000071CC"/>
    <w:rsid w:val="00007643"/>
    <w:rsid w:val="00007E4B"/>
    <w:rsid w:val="00010CF8"/>
    <w:rsid w:val="00011AA7"/>
    <w:rsid w:val="0001685F"/>
    <w:rsid w:val="00016E51"/>
    <w:rsid w:val="00017238"/>
    <w:rsid w:val="00017503"/>
    <w:rsid w:val="000175F3"/>
    <w:rsid w:val="000176B7"/>
    <w:rsid w:val="000207D9"/>
    <w:rsid w:val="000216F2"/>
    <w:rsid w:val="00022A07"/>
    <w:rsid w:val="00023115"/>
    <w:rsid w:val="0002331D"/>
    <w:rsid w:val="00024C55"/>
    <w:rsid w:val="00025467"/>
    <w:rsid w:val="00026672"/>
    <w:rsid w:val="00026A96"/>
    <w:rsid w:val="00027157"/>
    <w:rsid w:val="000300A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2E3E"/>
    <w:rsid w:val="00055101"/>
    <w:rsid w:val="000553F2"/>
    <w:rsid w:val="00055CD8"/>
    <w:rsid w:val="00057E29"/>
    <w:rsid w:val="00060AD3"/>
    <w:rsid w:val="00060F83"/>
    <w:rsid w:val="00062B2E"/>
    <w:rsid w:val="000635B2"/>
    <w:rsid w:val="0006399E"/>
    <w:rsid w:val="00063BF3"/>
    <w:rsid w:val="00065626"/>
    <w:rsid w:val="00065F24"/>
    <w:rsid w:val="000668C5"/>
    <w:rsid w:val="00066A84"/>
    <w:rsid w:val="000677D4"/>
    <w:rsid w:val="000710C0"/>
    <w:rsid w:val="00071CC0"/>
    <w:rsid w:val="00072864"/>
    <w:rsid w:val="00072BA2"/>
    <w:rsid w:val="000741DE"/>
    <w:rsid w:val="00077C3D"/>
    <w:rsid w:val="000805C4"/>
    <w:rsid w:val="00080675"/>
    <w:rsid w:val="00081379"/>
    <w:rsid w:val="00082460"/>
    <w:rsid w:val="0008289E"/>
    <w:rsid w:val="00082C2C"/>
    <w:rsid w:val="000833DF"/>
    <w:rsid w:val="000837CF"/>
    <w:rsid w:val="00083CC7"/>
    <w:rsid w:val="00084615"/>
    <w:rsid w:val="0008697C"/>
    <w:rsid w:val="000906E4"/>
    <w:rsid w:val="0009133F"/>
    <w:rsid w:val="00093BA1"/>
    <w:rsid w:val="00095869"/>
    <w:rsid w:val="000959EB"/>
    <w:rsid w:val="00096575"/>
    <w:rsid w:val="0009683F"/>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05"/>
    <w:rsid w:val="000E70D4"/>
    <w:rsid w:val="000F027E"/>
    <w:rsid w:val="000F18DD"/>
    <w:rsid w:val="000F7174"/>
    <w:rsid w:val="00100216"/>
    <w:rsid w:val="0010200A"/>
    <w:rsid w:val="00102271"/>
    <w:rsid w:val="0010393D"/>
    <w:rsid w:val="00103E5C"/>
    <w:rsid w:val="00104142"/>
    <w:rsid w:val="001045B6"/>
    <w:rsid w:val="00104854"/>
    <w:rsid w:val="0010490E"/>
    <w:rsid w:val="00106980"/>
    <w:rsid w:val="00106B83"/>
    <w:rsid w:val="00107697"/>
    <w:rsid w:val="00107A22"/>
    <w:rsid w:val="00110DF4"/>
    <w:rsid w:val="00110E37"/>
    <w:rsid w:val="00110F7F"/>
    <w:rsid w:val="00111506"/>
    <w:rsid w:val="00111ABB"/>
    <w:rsid w:val="00111BF8"/>
    <w:rsid w:val="00112457"/>
    <w:rsid w:val="00112A95"/>
    <w:rsid w:val="00113AD7"/>
    <w:rsid w:val="00115C6B"/>
    <w:rsid w:val="0011744A"/>
    <w:rsid w:val="00121192"/>
    <w:rsid w:val="001213E5"/>
    <w:rsid w:val="001214F5"/>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3E7"/>
    <w:rsid w:val="0013564A"/>
    <w:rsid w:val="001370E7"/>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48FA"/>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44D5"/>
    <w:rsid w:val="0018511E"/>
    <w:rsid w:val="0018533B"/>
    <w:rsid w:val="001867EC"/>
    <w:rsid w:val="001875DA"/>
    <w:rsid w:val="001907F9"/>
    <w:rsid w:val="00192F96"/>
    <w:rsid w:val="00193926"/>
    <w:rsid w:val="00193B84"/>
    <w:rsid w:val="0019423A"/>
    <w:rsid w:val="001948A9"/>
    <w:rsid w:val="00194ACD"/>
    <w:rsid w:val="001956C5"/>
    <w:rsid w:val="00195BF5"/>
    <w:rsid w:val="00195D42"/>
    <w:rsid w:val="00196194"/>
    <w:rsid w:val="0019706B"/>
    <w:rsid w:val="00197A10"/>
    <w:rsid w:val="001A06E1"/>
    <w:rsid w:val="001A20AF"/>
    <w:rsid w:val="001A35CA"/>
    <w:rsid w:val="001A4246"/>
    <w:rsid w:val="001A46FB"/>
    <w:rsid w:val="001A51FA"/>
    <w:rsid w:val="001A5674"/>
    <w:rsid w:val="001A5D9B"/>
    <w:rsid w:val="001A612B"/>
    <w:rsid w:val="001A67D6"/>
    <w:rsid w:val="001A6862"/>
    <w:rsid w:val="001A6BCA"/>
    <w:rsid w:val="001B1C0B"/>
    <w:rsid w:val="001B2A5D"/>
    <w:rsid w:val="001B3F03"/>
    <w:rsid w:val="001B43D0"/>
    <w:rsid w:val="001B6C85"/>
    <w:rsid w:val="001B79A9"/>
    <w:rsid w:val="001B7CE1"/>
    <w:rsid w:val="001B7E83"/>
    <w:rsid w:val="001C02DF"/>
    <w:rsid w:val="001C0967"/>
    <w:rsid w:val="001C1B5B"/>
    <w:rsid w:val="001C2830"/>
    <w:rsid w:val="001C3976"/>
    <w:rsid w:val="001C3BC6"/>
    <w:rsid w:val="001C53D3"/>
    <w:rsid w:val="001C6603"/>
    <w:rsid w:val="001C6ACC"/>
    <w:rsid w:val="001C7328"/>
    <w:rsid w:val="001C7F1A"/>
    <w:rsid w:val="001D0EC9"/>
    <w:rsid w:val="001D1072"/>
    <w:rsid w:val="001D1340"/>
    <w:rsid w:val="001D1782"/>
    <w:rsid w:val="001D1F8C"/>
    <w:rsid w:val="001D201F"/>
    <w:rsid w:val="001D20C7"/>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532"/>
    <w:rsid w:val="00201ACE"/>
    <w:rsid w:val="00202552"/>
    <w:rsid w:val="00202DFC"/>
    <w:rsid w:val="00203F73"/>
    <w:rsid w:val="002056AC"/>
    <w:rsid w:val="002067C9"/>
    <w:rsid w:val="00207A20"/>
    <w:rsid w:val="00207AD6"/>
    <w:rsid w:val="0021021D"/>
    <w:rsid w:val="00210B5C"/>
    <w:rsid w:val="00211AB8"/>
    <w:rsid w:val="00211D98"/>
    <w:rsid w:val="002162FB"/>
    <w:rsid w:val="002166E8"/>
    <w:rsid w:val="00217440"/>
    <w:rsid w:val="00220627"/>
    <w:rsid w:val="0022081B"/>
    <w:rsid w:val="00221230"/>
    <w:rsid w:val="002227D6"/>
    <w:rsid w:val="00222C72"/>
    <w:rsid w:val="002239C6"/>
    <w:rsid w:val="00223A1A"/>
    <w:rsid w:val="00224E34"/>
    <w:rsid w:val="0022578C"/>
    <w:rsid w:val="00226A9A"/>
    <w:rsid w:val="00226C2F"/>
    <w:rsid w:val="00227080"/>
    <w:rsid w:val="00227D98"/>
    <w:rsid w:val="0023055D"/>
    <w:rsid w:val="00230A2B"/>
    <w:rsid w:val="00231B61"/>
    <w:rsid w:val="002339EB"/>
    <w:rsid w:val="00234A47"/>
    <w:rsid w:val="00235894"/>
    <w:rsid w:val="00235CA2"/>
    <w:rsid w:val="00236D85"/>
    <w:rsid w:val="00236EC5"/>
    <w:rsid w:val="00237F2F"/>
    <w:rsid w:val="00240385"/>
    <w:rsid w:val="00240AD7"/>
    <w:rsid w:val="00242149"/>
    <w:rsid w:val="00242EEE"/>
    <w:rsid w:val="002442FE"/>
    <w:rsid w:val="00244DC5"/>
    <w:rsid w:val="00245131"/>
    <w:rsid w:val="00245C4E"/>
    <w:rsid w:val="00246B7A"/>
    <w:rsid w:val="00247D27"/>
    <w:rsid w:val="00250C11"/>
    <w:rsid w:val="00250CF5"/>
    <w:rsid w:val="00251541"/>
    <w:rsid w:val="00251F63"/>
    <w:rsid w:val="00251F90"/>
    <w:rsid w:val="0025345F"/>
    <w:rsid w:val="002535EA"/>
    <w:rsid w:val="00254170"/>
    <w:rsid w:val="00254F96"/>
    <w:rsid w:val="002558E5"/>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4C68"/>
    <w:rsid w:val="002751C9"/>
    <w:rsid w:val="00276D9D"/>
    <w:rsid w:val="00277135"/>
    <w:rsid w:val="002779EE"/>
    <w:rsid w:val="00277A56"/>
    <w:rsid w:val="00280070"/>
    <w:rsid w:val="002810E7"/>
    <w:rsid w:val="00281521"/>
    <w:rsid w:val="00282312"/>
    <w:rsid w:val="00282959"/>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33C"/>
    <w:rsid w:val="002A0E03"/>
    <w:rsid w:val="002A1C6B"/>
    <w:rsid w:val="002A2DA9"/>
    <w:rsid w:val="002A311B"/>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D7210"/>
    <w:rsid w:val="002E18F3"/>
    <w:rsid w:val="002E2779"/>
    <w:rsid w:val="002E2BEC"/>
    <w:rsid w:val="002E367A"/>
    <w:rsid w:val="002E3A5A"/>
    <w:rsid w:val="002E3CA8"/>
    <w:rsid w:val="002E5556"/>
    <w:rsid w:val="002F0323"/>
    <w:rsid w:val="002F28CA"/>
    <w:rsid w:val="002F2933"/>
    <w:rsid w:val="002F3A4F"/>
    <w:rsid w:val="002F65BC"/>
    <w:rsid w:val="002F71EC"/>
    <w:rsid w:val="002F7F38"/>
    <w:rsid w:val="003001C7"/>
    <w:rsid w:val="00302AF5"/>
    <w:rsid w:val="003038C5"/>
    <w:rsid w:val="00303AD5"/>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F58"/>
    <w:rsid w:val="00335B3C"/>
    <w:rsid w:val="003364E6"/>
    <w:rsid w:val="003370B0"/>
    <w:rsid w:val="0033741C"/>
    <w:rsid w:val="0034027B"/>
    <w:rsid w:val="00343643"/>
    <w:rsid w:val="0034447B"/>
    <w:rsid w:val="0035099A"/>
    <w:rsid w:val="0035239F"/>
    <w:rsid w:val="00352EA5"/>
    <w:rsid w:val="00353428"/>
    <w:rsid w:val="00353CBF"/>
    <w:rsid w:val="00354604"/>
    <w:rsid w:val="003549A0"/>
    <w:rsid w:val="003552BD"/>
    <w:rsid w:val="003560E1"/>
    <w:rsid w:val="003565D1"/>
    <w:rsid w:val="00356ED2"/>
    <w:rsid w:val="003576AB"/>
    <w:rsid w:val="0036055C"/>
    <w:rsid w:val="00360A9E"/>
    <w:rsid w:val="00360F3D"/>
    <w:rsid w:val="0036358E"/>
    <w:rsid w:val="00363657"/>
    <w:rsid w:val="00363FFC"/>
    <w:rsid w:val="00365CF4"/>
    <w:rsid w:val="00366A18"/>
    <w:rsid w:val="00367CD3"/>
    <w:rsid w:val="003703B2"/>
    <w:rsid w:val="00374A77"/>
    <w:rsid w:val="00383297"/>
    <w:rsid w:val="003836AF"/>
    <w:rsid w:val="00383A3A"/>
    <w:rsid w:val="00384D85"/>
    <w:rsid w:val="00386902"/>
    <w:rsid w:val="003871B6"/>
    <w:rsid w:val="00387369"/>
    <w:rsid w:val="003900DB"/>
    <w:rsid w:val="003903AE"/>
    <w:rsid w:val="003911CF"/>
    <w:rsid w:val="003946F7"/>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56D3"/>
    <w:rsid w:val="003B6AC4"/>
    <w:rsid w:val="003B6D53"/>
    <w:rsid w:val="003B7EC2"/>
    <w:rsid w:val="003C001C"/>
    <w:rsid w:val="003C280B"/>
    <w:rsid w:val="003C2AB0"/>
    <w:rsid w:val="003C2F23"/>
    <w:rsid w:val="003C30E5"/>
    <w:rsid w:val="003C3144"/>
    <w:rsid w:val="003C43E8"/>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29B"/>
    <w:rsid w:val="003F5453"/>
    <w:rsid w:val="003F7220"/>
    <w:rsid w:val="003F745B"/>
    <w:rsid w:val="00402CA9"/>
    <w:rsid w:val="004032F7"/>
    <w:rsid w:val="004054B8"/>
    <w:rsid w:val="00405C0C"/>
    <w:rsid w:val="00405D85"/>
    <w:rsid w:val="0040627F"/>
    <w:rsid w:val="00407403"/>
    <w:rsid w:val="004102B0"/>
    <w:rsid w:val="004108DC"/>
    <w:rsid w:val="004131EC"/>
    <w:rsid w:val="004142C1"/>
    <w:rsid w:val="004143F3"/>
    <w:rsid w:val="00414A64"/>
    <w:rsid w:val="00414ECC"/>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16B"/>
    <w:rsid w:val="004452CD"/>
    <w:rsid w:val="00445D92"/>
    <w:rsid w:val="00446335"/>
    <w:rsid w:val="004475CF"/>
    <w:rsid w:val="00451246"/>
    <w:rsid w:val="00452841"/>
    <w:rsid w:val="00453537"/>
    <w:rsid w:val="00453E77"/>
    <w:rsid w:val="00453EFC"/>
    <w:rsid w:val="00453F62"/>
    <w:rsid w:val="00454422"/>
    <w:rsid w:val="004552D7"/>
    <w:rsid w:val="00455AC0"/>
    <w:rsid w:val="00460C3B"/>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6CB"/>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C7C99"/>
    <w:rsid w:val="004D033A"/>
    <w:rsid w:val="004D0CF5"/>
    <w:rsid w:val="004D19FC"/>
    <w:rsid w:val="004D2CBD"/>
    <w:rsid w:val="004D5A91"/>
    <w:rsid w:val="004D5BB6"/>
    <w:rsid w:val="004D61B0"/>
    <w:rsid w:val="004D6A7F"/>
    <w:rsid w:val="004E0184"/>
    <w:rsid w:val="004E0B0A"/>
    <w:rsid w:val="004E17E8"/>
    <w:rsid w:val="004E1DDF"/>
    <w:rsid w:val="004E31D8"/>
    <w:rsid w:val="004E3E15"/>
    <w:rsid w:val="004E4327"/>
    <w:rsid w:val="004E43BF"/>
    <w:rsid w:val="004E5976"/>
    <w:rsid w:val="004E75D4"/>
    <w:rsid w:val="004F15AC"/>
    <w:rsid w:val="004F1B41"/>
    <w:rsid w:val="004F264D"/>
    <w:rsid w:val="004F2FAF"/>
    <w:rsid w:val="004F3523"/>
    <w:rsid w:val="004F37A1"/>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1E64"/>
    <w:rsid w:val="0054218F"/>
    <w:rsid w:val="00544033"/>
    <w:rsid w:val="0054403B"/>
    <w:rsid w:val="00544300"/>
    <w:rsid w:val="00544899"/>
    <w:rsid w:val="00545737"/>
    <w:rsid w:val="00545895"/>
    <w:rsid w:val="0054620D"/>
    <w:rsid w:val="00546FEC"/>
    <w:rsid w:val="0054745E"/>
    <w:rsid w:val="00551817"/>
    <w:rsid w:val="0055197D"/>
    <w:rsid w:val="00552570"/>
    <w:rsid w:val="00552EDD"/>
    <w:rsid w:val="00553DBD"/>
    <w:rsid w:val="00555308"/>
    <w:rsid w:val="00557045"/>
    <w:rsid w:val="00557246"/>
    <w:rsid w:val="005579F8"/>
    <w:rsid w:val="00557E0C"/>
    <w:rsid w:val="0056165C"/>
    <w:rsid w:val="005624ED"/>
    <w:rsid w:val="005632D8"/>
    <w:rsid w:val="00564DF1"/>
    <w:rsid w:val="00567AC9"/>
    <w:rsid w:val="00567D1E"/>
    <w:rsid w:val="005716C1"/>
    <w:rsid w:val="00571845"/>
    <w:rsid w:val="00572707"/>
    <w:rsid w:val="00572DF4"/>
    <w:rsid w:val="00572E54"/>
    <w:rsid w:val="0057327E"/>
    <w:rsid w:val="00573821"/>
    <w:rsid w:val="005768DB"/>
    <w:rsid w:val="00577D3F"/>
    <w:rsid w:val="0058001F"/>
    <w:rsid w:val="0058223D"/>
    <w:rsid w:val="00583750"/>
    <w:rsid w:val="00583D45"/>
    <w:rsid w:val="005842A6"/>
    <w:rsid w:val="00584325"/>
    <w:rsid w:val="0058635E"/>
    <w:rsid w:val="00586FAD"/>
    <w:rsid w:val="00587034"/>
    <w:rsid w:val="00587CD6"/>
    <w:rsid w:val="00587FEF"/>
    <w:rsid w:val="0059126E"/>
    <w:rsid w:val="00591A3E"/>
    <w:rsid w:val="00591C33"/>
    <w:rsid w:val="00591E81"/>
    <w:rsid w:val="00592DF7"/>
    <w:rsid w:val="00592E1B"/>
    <w:rsid w:val="00593911"/>
    <w:rsid w:val="00594B3C"/>
    <w:rsid w:val="00594E1F"/>
    <w:rsid w:val="00596607"/>
    <w:rsid w:val="0059733A"/>
    <w:rsid w:val="00597881"/>
    <w:rsid w:val="00597BEB"/>
    <w:rsid w:val="005A38E6"/>
    <w:rsid w:val="005A4513"/>
    <w:rsid w:val="005A4714"/>
    <w:rsid w:val="005A5E9D"/>
    <w:rsid w:val="005A61FE"/>
    <w:rsid w:val="005A670D"/>
    <w:rsid w:val="005A6D76"/>
    <w:rsid w:val="005A70F5"/>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668"/>
    <w:rsid w:val="005C3CC7"/>
    <w:rsid w:val="005C585A"/>
    <w:rsid w:val="005C7680"/>
    <w:rsid w:val="005D0506"/>
    <w:rsid w:val="005D11BE"/>
    <w:rsid w:val="005D2418"/>
    <w:rsid w:val="005D2AC3"/>
    <w:rsid w:val="005D2C8A"/>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4B86"/>
    <w:rsid w:val="005F69D2"/>
    <w:rsid w:val="005F7B45"/>
    <w:rsid w:val="00601244"/>
    <w:rsid w:val="00602264"/>
    <w:rsid w:val="0060282C"/>
    <w:rsid w:val="00602898"/>
    <w:rsid w:val="00603548"/>
    <w:rsid w:val="0060558A"/>
    <w:rsid w:val="00605BCD"/>
    <w:rsid w:val="0060644E"/>
    <w:rsid w:val="0060722F"/>
    <w:rsid w:val="0060785D"/>
    <w:rsid w:val="00610900"/>
    <w:rsid w:val="00610DAB"/>
    <w:rsid w:val="006110D2"/>
    <w:rsid w:val="0061167C"/>
    <w:rsid w:val="00611893"/>
    <w:rsid w:val="00611D8C"/>
    <w:rsid w:val="006126D0"/>
    <w:rsid w:val="00612D70"/>
    <w:rsid w:val="00612D8F"/>
    <w:rsid w:val="006132DF"/>
    <w:rsid w:val="0061338A"/>
    <w:rsid w:val="00613C48"/>
    <w:rsid w:val="00613CBB"/>
    <w:rsid w:val="0061673A"/>
    <w:rsid w:val="006171E3"/>
    <w:rsid w:val="00617411"/>
    <w:rsid w:val="00620033"/>
    <w:rsid w:val="00621D25"/>
    <w:rsid w:val="0062275D"/>
    <w:rsid w:val="006253FF"/>
    <w:rsid w:val="00625716"/>
    <w:rsid w:val="00626268"/>
    <w:rsid w:val="00626B4F"/>
    <w:rsid w:val="00626CA0"/>
    <w:rsid w:val="006323DB"/>
    <w:rsid w:val="00635E8B"/>
    <w:rsid w:val="00640E4A"/>
    <w:rsid w:val="006416B1"/>
    <w:rsid w:val="00645360"/>
    <w:rsid w:val="00646D7B"/>
    <w:rsid w:val="00646E26"/>
    <w:rsid w:val="006476DB"/>
    <w:rsid w:val="00651083"/>
    <w:rsid w:val="00651302"/>
    <w:rsid w:val="00653895"/>
    <w:rsid w:val="00654036"/>
    <w:rsid w:val="006544BC"/>
    <w:rsid w:val="006560D2"/>
    <w:rsid w:val="00656393"/>
    <w:rsid w:val="00660F26"/>
    <w:rsid w:val="006622BE"/>
    <w:rsid w:val="00663A13"/>
    <w:rsid w:val="0066445B"/>
    <w:rsid w:val="00664C5F"/>
    <w:rsid w:val="00665793"/>
    <w:rsid w:val="00665A7A"/>
    <w:rsid w:val="00665FC5"/>
    <w:rsid w:val="00666A5E"/>
    <w:rsid w:val="006670E4"/>
    <w:rsid w:val="00667E00"/>
    <w:rsid w:val="00670C9E"/>
    <w:rsid w:val="00671227"/>
    <w:rsid w:val="00671E17"/>
    <w:rsid w:val="00671F7E"/>
    <w:rsid w:val="0067213F"/>
    <w:rsid w:val="0067309B"/>
    <w:rsid w:val="00673949"/>
    <w:rsid w:val="00673FC4"/>
    <w:rsid w:val="00676423"/>
    <w:rsid w:val="00676EF2"/>
    <w:rsid w:val="00680B92"/>
    <w:rsid w:val="006816EA"/>
    <w:rsid w:val="00684490"/>
    <w:rsid w:val="00684E39"/>
    <w:rsid w:val="00685624"/>
    <w:rsid w:val="00686047"/>
    <w:rsid w:val="006908DF"/>
    <w:rsid w:val="00690985"/>
    <w:rsid w:val="00690D15"/>
    <w:rsid w:val="00690D20"/>
    <w:rsid w:val="006914AE"/>
    <w:rsid w:val="006934C3"/>
    <w:rsid w:val="00694003"/>
    <w:rsid w:val="00694E49"/>
    <w:rsid w:val="00696A50"/>
    <w:rsid w:val="00696B00"/>
    <w:rsid w:val="00697681"/>
    <w:rsid w:val="00697B2B"/>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610"/>
    <w:rsid w:val="006C27C3"/>
    <w:rsid w:val="006C3A33"/>
    <w:rsid w:val="006C3FE1"/>
    <w:rsid w:val="006C42C2"/>
    <w:rsid w:val="006C4678"/>
    <w:rsid w:val="006C4CF9"/>
    <w:rsid w:val="006C60C1"/>
    <w:rsid w:val="006C6EDB"/>
    <w:rsid w:val="006C79BB"/>
    <w:rsid w:val="006D29A7"/>
    <w:rsid w:val="006D3729"/>
    <w:rsid w:val="006D49B3"/>
    <w:rsid w:val="006D604A"/>
    <w:rsid w:val="006D660C"/>
    <w:rsid w:val="006D6F93"/>
    <w:rsid w:val="006D7399"/>
    <w:rsid w:val="006D77A4"/>
    <w:rsid w:val="006E05A8"/>
    <w:rsid w:val="006E0602"/>
    <w:rsid w:val="006E0800"/>
    <w:rsid w:val="006E26E8"/>
    <w:rsid w:val="006E2818"/>
    <w:rsid w:val="006E42EC"/>
    <w:rsid w:val="006E5D2D"/>
    <w:rsid w:val="006E6377"/>
    <w:rsid w:val="006E641F"/>
    <w:rsid w:val="006E7694"/>
    <w:rsid w:val="006E7FF6"/>
    <w:rsid w:val="006F1108"/>
    <w:rsid w:val="006F1F74"/>
    <w:rsid w:val="006F4968"/>
    <w:rsid w:val="006F4EE0"/>
    <w:rsid w:val="006F50D9"/>
    <w:rsid w:val="006F6212"/>
    <w:rsid w:val="006F6426"/>
    <w:rsid w:val="0070068E"/>
    <w:rsid w:val="00701557"/>
    <w:rsid w:val="00701E38"/>
    <w:rsid w:val="007028A9"/>
    <w:rsid w:val="007060AD"/>
    <w:rsid w:val="00706C60"/>
    <w:rsid w:val="00707565"/>
    <w:rsid w:val="00707A83"/>
    <w:rsid w:val="00710F12"/>
    <w:rsid w:val="0071162B"/>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1240"/>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67ACF"/>
    <w:rsid w:val="00770559"/>
    <w:rsid w:val="00770AC9"/>
    <w:rsid w:val="00772DF6"/>
    <w:rsid w:val="0077382A"/>
    <w:rsid w:val="00774604"/>
    <w:rsid w:val="00774C41"/>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B80"/>
    <w:rsid w:val="0079007B"/>
    <w:rsid w:val="00790516"/>
    <w:rsid w:val="0079092D"/>
    <w:rsid w:val="00791463"/>
    <w:rsid w:val="00791684"/>
    <w:rsid w:val="0079341E"/>
    <w:rsid w:val="00794E6D"/>
    <w:rsid w:val="00795995"/>
    <w:rsid w:val="00795B82"/>
    <w:rsid w:val="0079748A"/>
    <w:rsid w:val="00797720"/>
    <w:rsid w:val="0079793D"/>
    <w:rsid w:val="00797EB2"/>
    <w:rsid w:val="007A102A"/>
    <w:rsid w:val="007A1BD6"/>
    <w:rsid w:val="007A2076"/>
    <w:rsid w:val="007A239B"/>
    <w:rsid w:val="007A2BC8"/>
    <w:rsid w:val="007A4AD7"/>
    <w:rsid w:val="007A4B6D"/>
    <w:rsid w:val="007B1A28"/>
    <w:rsid w:val="007B1AE7"/>
    <w:rsid w:val="007B4083"/>
    <w:rsid w:val="007B4B41"/>
    <w:rsid w:val="007B6464"/>
    <w:rsid w:val="007B6EED"/>
    <w:rsid w:val="007C0282"/>
    <w:rsid w:val="007C05FC"/>
    <w:rsid w:val="007C0720"/>
    <w:rsid w:val="007C0E7B"/>
    <w:rsid w:val="007C183A"/>
    <w:rsid w:val="007C453D"/>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3D12"/>
    <w:rsid w:val="007F4549"/>
    <w:rsid w:val="007F4CA5"/>
    <w:rsid w:val="007F57C6"/>
    <w:rsid w:val="007F5BD1"/>
    <w:rsid w:val="007F667C"/>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2DC5"/>
    <w:rsid w:val="00821D5F"/>
    <w:rsid w:val="00824B45"/>
    <w:rsid w:val="00825941"/>
    <w:rsid w:val="00826BA9"/>
    <w:rsid w:val="0082724F"/>
    <w:rsid w:val="008274BA"/>
    <w:rsid w:val="00831451"/>
    <w:rsid w:val="008314DD"/>
    <w:rsid w:val="008334C2"/>
    <w:rsid w:val="00835746"/>
    <w:rsid w:val="0084009C"/>
    <w:rsid w:val="0084226A"/>
    <w:rsid w:val="008432E2"/>
    <w:rsid w:val="00843FB0"/>
    <w:rsid w:val="0084513A"/>
    <w:rsid w:val="008454F0"/>
    <w:rsid w:val="00847491"/>
    <w:rsid w:val="00847B44"/>
    <w:rsid w:val="00847CA7"/>
    <w:rsid w:val="00850A22"/>
    <w:rsid w:val="00850D11"/>
    <w:rsid w:val="00851674"/>
    <w:rsid w:val="00851958"/>
    <w:rsid w:val="0085224B"/>
    <w:rsid w:val="0085313E"/>
    <w:rsid w:val="008539BF"/>
    <w:rsid w:val="00853EB9"/>
    <w:rsid w:val="0085511E"/>
    <w:rsid w:val="0085525B"/>
    <w:rsid w:val="00855366"/>
    <w:rsid w:val="008561B5"/>
    <w:rsid w:val="0086014A"/>
    <w:rsid w:val="00861ABF"/>
    <w:rsid w:val="00862339"/>
    <w:rsid w:val="00863265"/>
    <w:rsid w:val="00864C31"/>
    <w:rsid w:val="00870579"/>
    <w:rsid w:val="008705F3"/>
    <w:rsid w:val="00870894"/>
    <w:rsid w:val="008709C9"/>
    <w:rsid w:val="008718E5"/>
    <w:rsid w:val="008744C5"/>
    <w:rsid w:val="00875229"/>
    <w:rsid w:val="00875A72"/>
    <w:rsid w:val="00877D77"/>
    <w:rsid w:val="008815E1"/>
    <w:rsid w:val="00882029"/>
    <w:rsid w:val="0088307E"/>
    <w:rsid w:val="008863EB"/>
    <w:rsid w:val="008900FD"/>
    <w:rsid w:val="00890421"/>
    <w:rsid w:val="0089043E"/>
    <w:rsid w:val="00890AB9"/>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46FE"/>
    <w:rsid w:val="008A5CD2"/>
    <w:rsid w:val="008A6130"/>
    <w:rsid w:val="008A650B"/>
    <w:rsid w:val="008A6CA5"/>
    <w:rsid w:val="008B07C1"/>
    <w:rsid w:val="008B0BAD"/>
    <w:rsid w:val="008B1FE3"/>
    <w:rsid w:val="008B21BE"/>
    <w:rsid w:val="008B328B"/>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1E"/>
    <w:rsid w:val="008E215B"/>
    <w:rsid w:val="008E2228"/>
    <w:rsid w:val="008E2958"/>
    <w:rsid w:val="008E3209"/>
    <w:rsid w:val="008E3C5C"/>
    <w:rsid w:val="008E4722"/>
    <w:rsid w:val="008E4D86"/>
    <w:rsid w:val="008E567E"/>
    <w:rsid w:val="008E5C07"/>
    <w:rsid w:val="008E63DD"/>
    <w:rsid w:val="008F09BF"/>
    <w:rsid w:val="008F3B2B"/>
    <w:rsid w:val="008F3F76"/>
    <w:rsid w:val="008F4F41"/>
    <w:rsid w:val="008F61B1"/>
    <w:rsid w:val="008F74E2"/>
    <w:rsid w:val="009017AF"/>
    <w:rsid w:val="00901F31"/>
    <w:rsid w:val="009039D8"/>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3A0"/>
    <w:rsid w:val="00946D8E"/>
    <w:rsid w:val="00950E19"/>
    <w:rsid w:val="00953198"/>
    <w:rsid w:val="009534A2"/>
    <w:rsid w:val="00953FF9"/>
    <w:rsid w:val="009547C9"/>
    <w:rsid w:val="00954932"/>
    <w:rsid w:val="009557AD"/>
    <w:rsid w:val="009564E7"/>
    <w:rsid w:val="00956979"/>
    <w:rsid w:val="00960FEF"/>
    <w:rsid w:val="009627CE"/>
    <w:rsid w:val="009630DC"/>
    <w:rsid w:val="00965F52"/>
    <w:rsid w:val="00966535"/>
    <w:rsid w:val="00966811"/>
    <w:rsid w:val="00966F25"/>
    <w:rsid w:val="009677F8"/>
    <w:rsid w:val="009702C2"/>
    <w:rsid w:val="00971AA6"/>
    <w:rsid w:val="009746E2"/>
    <w:rsid w:val="00975F29"/>
    <w:rsid w:val="009760E2"/>
    <w:rsid w:val="00977334"/>
    <w:rsid w:val="0097736B"/>
    <w:rsid w:val="009820BB"/>
    <w:rsid w:val="009823AA"/>
    <w:rsid w:val="009824E3"/>
    <w:rsid w:val="00982A47"/>
    <w:rsid w:val="00982D45"/>
    <w:rsid w:val="00982D64"/>
    <w:rsid w:val="00983E4A"/>
    <w:rsid w:val="00985817"/>
    <w:rsid w:val="00985BEF"/>
    <w:rsid w:val="0098645C"/>
    <w:rsid w:val="00987802"/>
    <w:rsid w:val="00987A7F"/>
    <w:rsid w:val="0099035D"/>
    <w:rsid w:val="009904D7"/>
    <w:rsid w:val="00991446"/>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0B4A"/>
    <w:rsid w:val="009D11E3"/>
    <w:rsid w:val="009D20BA"/>
    <w:rsid w:val="009D2A43"/>
    <w:rsid w:val="009D2B88"/>
    <w:rsid w:val="009D33F3"/>
    <w:rsid w:val="009D3692"/>
    <w:rsid w:val="009D5ED4"/>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62D4"/>
    <w:rsid w:val="00A12251"/>
    <w:rsid w:val="00A12913"/>
    <w:rsid w:val="00A14BA0"/>
    <w:rsid w:val="00A14BD6"/>
    <w:rsid w:val="00A14D4B"/>
    <w:rsid w:val="00A15AC7"/>
    <w:rsid w:val="00A16576"/>
    <w:rsid w:val="00A17624"/>
    <w:rsid w:val="00A2004F"/>
    <w:rsid w:val="00A214F8"/>
    <w:rsid w:val="00A229B7"/>
    <w:rsid w:val="00A246C4"/>
    <w:rsid w:val="00A26671"/>
    <w:rsid w:val="00A2690E"/>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6DAF"/>
    <w:rsid w:val="00A473DA"/>
    <w:rsid w:val="00A47491"/>
    <w:rsid w:val="00A47BCC"/>
    <w:rsid w:val="00A502F7"/>
    <w:rsid w:val="00A5049E"/>
    <w:rsid w:val="00A50607"/>
    <w:rsid w:val="00A506FB"/>
    <w:rsid w:val="00A508AE"/>
    <w:rsid w:val="00A50E7D"/>
    <w:rsid w:val="00A50ED4"/>
    <w:rsid w:val="00A5354C"/>
    <w:rsid w:val="00A54025"/>
    <w:rsid w:val="00A546B0"/>
    <w:rsid w:val="00A5557D"/>
    <w:rsid w:val="00A5594F"/>
    <w:rsid w:val="00A572EB"/>
    <w:rsid w:val="00A6379E"/>
    <w:rsid w:val="00A64FD3"/>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3EC1"/>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658A"/>
    <w:rsid w:val="00AB7D85"/>
    <w:rsid w:val="00AC1D76"/>
    <w:rsid w:val="00AC3A64"/>
    <w:rsid w:val="00AC498F"/>
    <w:rsid w:val="00AD0896"/>
    <w:rsid w:val="00AD2074"/>
    <w:rsid w:val="00AD24B5"/>
    <w:rsid w:val="00AD26B9"/>
    <w:rsid w:val="00AD31F2"/>
    <w:rsid w:val="00AD742E"/>
    <w:rsid w:val="00AE0706"/>
    <w:rsid w:val="00AE2DD9"/>
    <w:rsid w:val="00AE4370"/>
    <w:rsid w:val="00AE4466"/>
    <w:rsid w:val="00AE4AC8"/>
    <w:rsid w:val="00AE6176"/>
    <w:rsid w:val="00AE62D8"/>
    <w:rsid w:val="00AE67FB"/>
    <w:rsid w:val="00AE78D4"/>
    <w:rsid w:val="00AE7FA5"/>
    <w:rsid w:val="00AF0142"/>
    <w:rsid w:val="00AF05EF"/>
    <w:rsid w:val="00AF0858"/>
    <w:rsid w:val="00AF1D9D"/>
    <w:rsid w:val="00AF367E"/>
    <w:rsid w:val="00AF405F"/>
    <w:rsid w:val="00AF4807"/>
    <w:rsid w:val="00AF54B7"/>
    <w:rsid w:val="00AF5606"/>
    <w:rsid w:val="00AF587F"/>
    <w:rsid w:val="00AF74BF"/>
    <w:rsid w:val="00AF74DA"/>
    <w:rsid w:val="00AF758E"/>
    <w:rsid w:val="00B019CB"/>
    <w:rsid w:val="00B01F98"/>
    <w:rsid w:val="00B035A2"/>
    <w:rsid w:val="00B051A1"/>
    <w:rsid w:val="00B060EE"/>
    <w:rsid w:val="00B070DB"/>
    <w:rsid w:val="00B10A26"/>
    <w:rsid w:val="00B10D58"/>
    <w:rsid w:val="00B117A9"/>
    <w:rsid w:val="00B149A3"/>
    <w:rsid w:val="00B14B16"/>
    <w:rsid w:val="00B1501A"/>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68D5"/>
    <w:rsid w:val="00B37885"/>
    <w:rsid w:val="00B37D10"/>
    <w:rsid w:val="00B400E6"/>
    <w:rsid w:val="00B41FD0"/>
    <w:rsid w:val="00B42860"/>
    <w:rsid w:val="00B42B6E"/>
    <w:rsid w:val="00B4323A"/>
    <w:rsid w:val="00B4509C"/>
    <w:rsid w:val="00B45117"/>
    <w:rsid w:val="00B45B39"/>
    <w:rsid w:val="00B46107"/>
    <w:rsid w:val="00B46B9A"/>
    <w:rsid w:val="00B50288"/>
    <w:rsid w:val="00B5090F"/>
    <w:rsid w:val="00B50A70"/>
    <w:rsid w:val="00B5130F"/>
    <w:rsid w:val="00B54BD6"/>
    <w:rsid w:val="00B54D23"/>
    <w:rsid w:val="00B54F94"/>
    <w:rsid w:val="00B565AE"/>
    <w:rsid w:val="00B57017"/>
    <w:rsid w:val="00B57155"/>
    <w:rsid w:val="00B57775"/>
    <w:rsid w:val="00B602AA"/>
    <w:rsid w:val="00B60616"/>
    <w:rsid w:val="00B617C2"/>
    <w:rsid w:val="00B61DC3"/>
    <w:rsid w:val="00B62EA7"/>
    <w:rsid w:val="00B6306B"/>
    <w:rsid w:val="00B6358A"/>
    <w:rsid w:val="00B6591E"/>
    <w:rsid w:val="00B65B51"/>
    <w:rsid w:val="00B65DC6"/>
    <w:rsid w:val="00B65FAD"/>
    <w:rsid w:val="00B67172"/>
    <w:rsid w:val="00B673CC"/>
    <w:rsid w:val="00B7103B"/>
    <w:rsid w:val="00B7178E"/>
    <w:rsid w:val="00B72C84"/>
    <w:rsid w:val="00B72EBB"/>
    <w:rsid w:val="00B737FE"/>
    <w:rsid w:val="00B767AA"/>
    <w:rsid w:val="00B77507"/>
    <w:rsid w:val="00B7786C"/>
    <w:rsid w:val="00B802F8"/>
    <w:rsid w:val="00B80A92"/>
    <w:rsid w:val="00B815A5"/>
    <w:rsid w:val="00B81DBB"/>
    <w:rsid w:val="00B81DFB"/>
    <w:rsid w:val="00B82734"/>
    <w:rsid w:val="00B82FF9"/>
    <w:rsid w:val="00B83913"/>
    <w:rsid w:val="00B83CD5"/>
    <w:rsid w:val="00B8451B"/>
    <w:rsid w:val="00B85676"/>
    <w:rsid w:val="00B85896"/>
    <w:rsid w:val="00B859B3"/>
    <w:rsid w:val="00B90D14"/>
    <w:rsid w:val="00B93AD2"/>
    <w:rsid w:val="00B9451D"/>
    <w:rsid w:val="00B94CE2"/>
    <w:rsid w:val="00B952BC"/>
    <w:rsid w:val="00BA0498"/>
    <w:rsid w:val="00BA0B99"/>
    <w:rsid w:val="00BA2862"/>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314"/>
    <w:rsid w:val="00BB69A7"/>
    <w:rsid w:val="00BB6B5E"/>
    <w:rsid w:val="00BB708D"/>
    <w:rsid w:val="00BB7400"/>
    <w:rsid w:val="00BB785B"/>
    <w:rsid w:val="00BB7DD5"/>
    <w:rsid w:val="00BC705F"/>
    <w:rsid w:val="00BC7279"/>
    <w:rsid w:val="00BC76AF"/>
    <w:rsid w:val="00BD046B"/>
    <w:rsid w:val="00BD0E31"/>
    <w:rsid w:val="00BD0ECE"/>
    <w:rsid w:val="00BD0FD5"/>
    <w:rsid w:val="00BD20AF"/>
    <w:rsid w:val="00BD2785"/>
    <w:rsid w:val="00BD39BE"/>
    <w:rsid w:val="00BD3A35"/>
    <w:rsid w:val="00BD3A71"/>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43DF"/>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27802"/>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D79"/>
    <w:rsid w:val="00C60E0F"/>
    <w:rsid w:val="00C6103E"/>
    <w:rsid w:val="00C628C6"/>
    <w:rsid w:val="00C62C59"/>
    <w:rsid w:val="00C63898"/>
    <w:rsid w:val="00C638D1"/>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96DC0"/>
    <w:rsid w:val="00C974F6"/>
    <w:rsid w:val="00CA1CFF"/>
    <w:rsid w:val="00CA49E6"/>
    <w:rsid w:val="00CA4ADF"/>
    <w:rsid w:val="00CA58A1"/>
    <w:rsid w:val="00CA5C20"/>
    <w:rsid w:val="00CA70A1"/>
    <w:rsid w:val="00CB1500"/>
    <w:rsid w:val="00CB2374"/>
    <w:rsid w:val="00CB2888"/>
    <w:rsid w:val="00CB3A14"/>
    <w:rsid w:val="00CB431C"/>
    <w:rsid w:val="00CB4EC9"/>
    <w:rsid w:val="00CB58C7"/>
    <w:rsid w:val="00CB6A38"/>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4EC"/>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839"/>
    <w:rsid w:val="00D04B4E"/>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173D"/>
    <w:rsid w:val="00D22267"/>
    <w:rsid w:val="00D22700"/>
    <w:rsid w:val="00D22898"/>
    <w:rsid w:val="00D230B6"/>
    <w:rsid w:val="00D23CB8"/>
    <w:rsid w:val="00D2428E"/>
    <w:rsid w:val="00D255E2"/>
    <w:rsid w:val="00D26B94"/>
    <w:rsid w:val="00D27332"/>
    <w:rsid w:val="00D301D2"/>
    <w:rsid w:val="00D30C1B"/>
    <w:rsid w:val="00D30E9D"/>
    <w:rsid w:val="00D3117F"/>
    <w:rsid w:val="00D32D37"/>
    <w:rsid w:val="00D33D33"/>
    <w:rsid w:val="00D34CAE"/>
    <w:rsid w:val="00D3576D"/>
    <w:rsid w:val="00D36DA9"/>
    <w:rsid w:val="00D37595"/>
    <w:rsid w:val="00D4078F"/>
    <w:rsid w:val="00D41BA2"/>
    <w:rsid w:val="00D42E57"/>
    <w:rsid w:val="00D4387F"/>
    <w:rsid w:val="00D43D17"/>
    <w:rsid w:val="00D44386"/>
    <w:rsid w:val="00D4478D"/>
    <w:rsid w:val="00D44C83"/>
    <w:rsid w:val="00D4528C"/>
    <w:rsid w:val="00D51281"/>
    <w:rsid w:val="00D537D5"/>
    <w:rsid w:val="00D53C64"/>
    <w:rsid w:val="00D54FEB"/>
    <w:rsid w:val="00D55D7C"/>
    <w:rsid w:val="00D607CA"/>
    <w:rsid w:val="00D60AB8"/>
    <w:rsid w:val="00D61B9C"/>
    <w:rsid w:val="00D61C1D"/>
    <w:rsid w:val="00D61CB2"/>
    <w:rsid w:val="00D62A67"/>
    <w:rsid w:val="00D6389C"/>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C12"/>
    <w:rsid w:val="00DB1F2B"/>
    <w:rsid w:val="00DB4913"/>
    <w:rsid w:val="00DB5CDD"/>
    <w:rsid w:val="00DB64F3"/>
    <w:rsid w:val="00DB67CA"/>
    <w:rsid w:val="00DB7F40"/>
    <w:rsid w:val="00DC19AF"/>
    <w:rsid w:val="00DC1BCD"/>
    <w:rsid w:val="00DC39EE"/>
    <w:rsid w:val="00DC55D6"/>
    <w:rsid w:val="00DD0810"/>
    <w:rsid w:val="00DD092D"/>
    <w:rsid w:val="00DD0AC3"/>
    <w:rsid w:val="00DD0FB0"/>
    <w:rsid w:val="00DD2218"/>
    <w:rsid w:val="00DD38DB"/>
    <w:rsid w:val="00DD3C0D"/>
    <w:rsid w:val="00DD3FD5"/>
    <w:rsid w:val="00DD5A96"/>
    <w:rsid w:val="00DD60E3"/>
    <w:rsid w:val="00DD793E"/>
    <w:rsid w:val="00DE0AF4"/>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DB5"/>
    <w:rsid w:val="00E04E9B"/>
    <w:rsid w:val="00E05882"/>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78A"/>
    <w:rsid w:val="00E3085F"/>
    <w:rsid w:val="00E31E0C"/>
    <w:rsid w:val="00E31F9B"/>
    <w:rsid w:val="00E325F5"/>
    <w:rsid w:val="00E32BD7"/>
    <w:rsid w:val="00E34548"/>
    <w:rsid w:val="00E34FFF"/>
    <w:rsid w:val="00E3522D"/>
    <w:rsid w:val="00E368A8"/>
    <w:rsid w:val="00E37729"/>
    <w:rsid w:val="00E4173B"/>
    <w:rsid w:val="00E42771"/>
    <w:rsid w:val="00E456FA"/>
    <w:rsid w:val="00E4581B"/>
    <w:rsid w:val="00E462A3"/>
    <w:rsid w:val="00E5059B"/>
    <w:rsid w:val="00E50F98"/>
    <w:rsid w:val="00E51C61"/>
    <w:rsid w:val="00E52139"/>
    <w:rsid w:val="00E545FE"/>
    <w:rsid w:val="00E551A8"/>
    <w:rsid w:val="00E55B12"/>
    <w:rsid w:val="00E55FCC"/>
    <w:rsid w:val="00E56300"/>
    <w:rsid w:val="00E56798"/>
    <w:rsid w:val="00E57BED"/>
    <w:rsid w:val="00E61953"/>
    <w:rsid w:val="00E62F87"/>
    <w:rsid w:val="00E640A5"/>
    <w:rsid w:val="00E6414F"/>
    <w:rsid w:val="00E6607B"/>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2E41"/>
    <w:rsid w:val="00E839E8"/>
    <w:rsid w:val="00E84B46"/>
    <w:rsid w:val="00E8569F"/>
    <w:rsid w:val="00E85FA2"/>
    <w:rsid w:val="00E87A6C"/>
    <w:rsid w:val="00E9075D"/>
    <w:rsid w:val="00E90800"/>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792"/>
    <w:rsid w:val="00EB08F2"/>
    <w:rsid w:val="00EB0B8E"/>
    <w:rsid w:val="00EB2820"/>
    <w:rsid w:val="00EB38EC"/>
    <w:rsid w:val="00EB3EF4"/>
    <w:rsid w:val="00EB4183"/>
    <w:rsid w:val="00EB4357"/>
    <w:rsid w:val="00EB4BDD"/>
    <w:rsid w:val="00EB7255"/>
    <w:rsid w:val="00EC02C9"/>
    <w:rsid w:val="00EC106D"/>
    <w:rsid w:val="00EC16AF"/>
    <w:rsid w:val="00EC1DAB"/>
    <w:rsid w:val="00EC4044"/>
    <w:rsid w:val="00EC58D5"/>
    <w:rsid w:val="00EC61D9"/>
    <w:rsid w:val="00EC62ED"/>
    <w:rsid w:val="00EC660C"/>
    <w:rsid w:val="00ED0628"/>
    <w:rsid w:val="00ED2E1A"/>
    <w:rsid w:val="00ED339D"/>
    <w:rsid w:val="00ED45BE"/>
    <w:rsid w:val="00ED4983"/>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1EB3"/>
    <w:rsid w:val="00F02A17"/>
    <w:rsid w:val="00F04B89"/>
    <w:rsid w:val="00F05983"/>
    <w:rsid w:val="00F069A0"/>
    <w:rsid w:val="00F06FDE"/>
    <w:rsid w:val="00F075DE"/>
    <w:rsid w:val="00F07612"/>
    <w:rsid w:val="00F11248"/>
    <w:rsid w:val="00F120F3"/>
    <w:rsid w:val="00F13000"/>
    <w:rsid w:val="00F13C01"/>
    <w:rsid w:val="00F20494"/>
    <w:rsid w:val="00F20B5A"/>
    <w:rsid w:val="00F21325"/>
    <w:rsid w:val="00F21DC4"/>
    <w:rsid w:val="00F22E66"/>
    <w:rsid w:val="00F2323C"/>
    <w:rsid w:val="00F27A5B"/>
    <w:rsid w:val="00F27C1B"/>
    <w:rsid w:val="00F316C0"/>
    <w:rsid w:val="00F32B29"/>
    <w:rsid w:val="00F32C6E"/>
    <w:rsid w:val="00F3368A"/>
    <w:rsid w:val="00F34E3C"/>
    <w:rsid w:val="00F354C8"/>
    <w:rsid w:val="00F35977"/>
    <w:rsid w:val="00F359DD"/>
    <w:rsid w:val="00F3602C"/>
    <w:rsid w:val="00F37040"/>
    <w:rsid w:val="00F378E8"/>
    <w:rsid w:val="00F37B38"/>
    <w:rsid w:val="00F37EA2"/>
    <w:rsid w:val="00F40975"/>
    <w:rsid w:val="00F421FB"/>
    <w:rsid w:val="00F440EA"/>
    <w:rsid w:val="00F454C2"/>
    <w:rsid w:val="00F4729F"/>
    <w:rsid w:val="00F479A9"/>
    <w:rsid w:val="00F52948"/>
    <w:rsid w:val="00F52BC9"/>
    <w:rsid w:val="00F52E3B"/>
    <w:rsid w:val="00F52FEE"/>
    <w:rsid w:val="00F539A5"/>
    <w:rsid w:val="00F54561"/>
    <w:rsid w:val="00F54BD4"/>
    <w:rsid w:val="00F5522D"/>
    <w:rsid w:val="00F55CBB"/>
    <w:rsid w:val="00F608BE"/>
    <w:rsid w:val="00F61D4E"/>
    <w:rsid w:val="00F6297A"/>
    <w:rsid w:val="00F62C77"/>
    <w:rsid w:val="00F667BB"/>
    <w:rsid w:val="00F67DBB"/>
    <w:rsid w:val="00F70201"/>
    <w:rsid w:val="00F7040C"/>
    <w:rsid w:val="00F716A4"/>
    <w:rsid w:val="00F73AC7"/>
    <w:rsid w:val="00F74AB5"/>
    <w:rsid w:val="00F81485"/>
    <w:rsid w:val="00F81B41"/>
    <w:rsid w:val="00F842FB"/>
    <w:rsid w:val="00F85DE5"/>
    <w:rsid w:val="00F86212"/>
    <w:rsid w:val="00F863FA"/>
    <w:rsid w:val="00F87B20"/>
    <w:rsid w:val="00F87B83"/>
    <w:rsid w:val="00F92161"/>
    <w:rsid w:val="00F92F8E"/>
    <w:rsid w:val="00F941B4"/>
    <w:rsid w:val="00F941EE"/>
    <w:rsid w:val="00F958A6"/>
    <w:rsid w:val="00F959E0"/>
    <w:rsid w:val="00F95C1B"/>
    <w:rsid w:val="00F963D9"/>
    <w:rsid w:val="00F9786A"/>
    <w:rsid w:val="00F97FF6"/>
    <w:rsid w:val="00FA169E"/>
    <w:rsid w:val="00FA1D00"/>
    <w:rsid w:val="00FA1DC6"/>
    <w:rsid w:val="00FA2A64"/>
    <w:rsid w:val="00FA3454"/>
    <w:rsid w:val="00FA51C3"/>
    <w:rsid w:val="00FA6CA5"/>
    <w:rsid w:val="00FB0358"/>
    <w:rsid w:val="00FB12AC"/>
    <w:rsid w:val="00FB1C0B"/>
    <w:rsid w:val="00FB1F46"/>
    <w:rsid w:val="00FB2CBF"/>
    <w:rsid w:val="00FB6F52"/>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988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85224B"/>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10"/>
      </w:numPr>
      <w:spacing w:after="80"/>
    </w:pPr>
    <w:rPr>
      <w:iCs w:val="0"/>
    </w:rPr>
  </w:style>
  <w:style w:type="character" w:customStyle="1" w:styleId="Heading2Char">
    <w:name w:val="Heading 2 Char"/>
    <w:basedOn w:val="DefaultParagraphFont"/>
    <w:link w:val="Heading2"/>
    <w:rsid w:val="0085224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Appel note de bas de p,Appel note de bas de p + 11 pt,Appel note de bas de p1,Footnote,Footnote Reference 1,Footnote symbol,Italic,o"/>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BulletChar">
    <w:name w:val="List Bullet Char"/>
    <w:basedOn w:val="DefaultParagraphFont"/>
    <w:link w:val="ListBullet"/>
    <w:uiPriority w:val="99"/>
    <w:rsid w:val="002A311B"/>
    <w:rPr>
      <w:rFonts w:ascii="Arial" w:hAnsi="Arial"/>
      <w:szCs w:val="24"/>
    </w:rPr>
  </w:style>
  <w:style w:type="paragraph" w:customStyle="1" w:styleId="Tablebullet">
    <w:name w:val="Table bullet"/>
    <w:basedOn w:val="Normal"/>
    <w:autoRedefine/>
    <w:qFormat/>
    <w:rsid w:val="00960FEF"/>
    <w:pPr>
      <w:numPr>
        <w:numId w:val="36"/>
      </w:numPr>
      <w:spacing w:before="60" w:after="60" w:line="120" w:lineRule="atLeast"/>
    </w:pPr>
    <w:rPr>
      <w:rFonts w:asciiTheme="minorHAnsi" w:hAnsiTheme="minorHAnsi" w:cs="Arial"/>
      <w:iCs w:val="0"/>
      <w:sz w:val="22"/>
    </w:rPr>
  </w:style>
  <w:style w:type="paragraph" w:customStyle="1" w:styleId="TableNumber">
    <w:name w:val="Table Number"/>
    <w:basedOn w:val="Normal"/>
    <w:qFormat/>
    <w:rsid w:val="00960FEF"/>
    <w:pPr>
      <w:numPr>
        <w:numId w:val="37"/>
      </w:numPr>
      <w:spacing w:before="60" w:after="60" w:line="259" w:lineRule="auto"/>
      <w:ind w:left="284" w:hanging="284"/>
    </w:pPr>
    <w:rPr>
      <w:rFonts w:asciiTheme="minorHAnsi" w:eastAsiaTheme="minorHAnsi" w:hAnsiTheme="minorHAnsi" w:cstheme="minorBidi"/>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5707274">
      <w:bodyDiv w:val="1"/>
      <w:marLeft w:val="0"/>
      <w:marRight w:val="0"/>
      <w:marTop w:val="0"/>
      <w:marBottom w:val="0"/>
      <w:divBdr>
        <w:top w:val="none" w:sz="0" w:space="0" w:color="auto"/>
        <w:left w:val="none" w:sz="0" w:space="0" w:color="auto"/>
        <w:bottom w:val="none" w:sz="0" w:space="0" w:color="auto"/>
        <w:right w:val="none" w:sz="0" w:space="0" w:color="auto"/>
      </w:divBdr>
    </w:div>
    <w:div w:id="65780963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www.business.gov.au/" TargetMode="External"/><Relationship Id="rId3" Type="http://schemas.openxmlformats.org/officeDocument/2006/relationships/numbering" Target="numbering.xml"/><Relationship Id="rId21" Type="http://schemas.openxmlformats.org/officeDocument/2006/relationships/hyperlink" Target="https://business.gov.au/grants-and-programs/boosting-the-next-generation-of-women-in-stem" TargetMode="External"/><Relationship Id="rId34" Type="http://schemas.openxmlformats.org/officeDocument/2006/relationships/hyperlink" Target="https://www.industry.gov.au/sites/g/files/net3906/f/July%202018/document/pdf/conflict-of-interest-and-insider-trading-policy.pdf" TargetMode="External"/><Relationship Id="rId42" Type="http://schemas.openxmlformats.org/officeDocument/2006/relationships/hyperlink" Target="../../iasesgsseic/designdocs/Forms/AllItems.aspxhttps:/business.gov.au/grants-and-programs/boosting-the-next-generation-of-women-in-ste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boosting-the-next-generation-of-women-in-stem" TargetMode="External"/><Relationship Id="rId33" Type="http://schemas.openxmlformats.org/officeDocument/2006/relationships/hyperlink" Target="https://www.legislation.gov.au/Details/C2019C00057" TargetMode="External"/><Relationship Id="rId38"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wgea.gov.au/what-we-do/compliance-reporting/non-compliant-list" TargetMode="External"/><Relationship Id="rId29" Type="http://schemas.openxmlformats.org/officeDocument/2006/relationships/hyperlink" Target="https://www.ato.gov.au/"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business.gov.au/contact-us"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usiness.gov.au/grants-and-programs/boosting-the-next-generation-of-women-in-stem" TargetMode="External"/><Relationship Id="rId28" Type="http://schemas.openxmlformats.org/officeDocument/2006/relationships/hyperlink" Target="https://www.finance.gov.au/government/commonwealth-grants/commonwealth-grants-rules-guidelines" TargetMode="External"/><Relationship Id="rId36" Type="http://schemas.openxmlformats.org/officeDocument/2006/relationships/hyperlink" Target="https://www.business.gov.au/contact-us" TargetMode="External"/><Relationship Id="rId10" Type="http://schemas.openxmlformats.org/officeDocument/2006/relationships/header" Target="header2.xml"/><Relationship Id="rId19" Type="http://schemas.openxmlformats.org/officeDocument/2006/relationships/hyperlink" Target="http://www.nationalredress.gov.au" TargetMode="External"/><Relationship Id="rId31" Type="http://schemas.openxmlformats.org/officeDocument/2006/relationships/hyperlink" Target="file://prod.protected.ind/User/user03/LLau2/insert%20link%20here"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usiness.gov.au/grants-and-programs/boosting-the-next-generation-of-women-in-stem" TargetMode="External"/><Relationship Id="rId27" Type="http://schemas.openxmlformats.org/officeDocument/2006/relationships/hyperlink" Target="https://business.gov.au/grants-and-programs/boosting-the-next-generation-of-women-in-stem"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hyperlink" Target="https://www.industry.gov.au/data-and-publications/privacy-policy" TargetMode="External"/><Relationship Id="rId43" Type="http://schemas.openxmlformats.org/officeDocument/2006/relationships/image" Target="media/image2.tif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finance.gov.au/government/commonwealth-grants/commonwealth-grants-rules-guidelin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B77DC765-491F-4439-B2EC-BB42CB11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8020</Words>
  <Characters>43249</Characters>
  <Application>Microsoft Office Word</Application>
  <DocSecurity>0</DocSecurity>
  <Lines>942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2021-08-18T04:38:00Z</dcterms:created>
  <dcterms:modified xsi:type="dcterms:W3CDTF">2021-08-18T04:41:00Z</dcterms:modified>
</cp:coreProperties>
</file>