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6CE1E" w14:textId="02867E42" w:rsidR="00387168" w:rsidRPr="00FE4BC3" w:rsidRDefault="00CB662F" w:rsidP="008E3D4E">
      <w:pPr>
        <w:pStyle w:val="Heading1"/>
        <w:spacing w:before="240"/>
      </w:pPr>
      <w:r w:rsidRPr="00FE4BC3">
        <w:t xml:space="preserve">Questions and Answers (Q&amp;As) – Industry Growth </w:t>
      </w:r>
      <w:r w:rsidR="007F7CF4" w:rsidRPr="00FE4BC3">
        <w:t>–</w:t>
      </w:r>
      <w:r w:rsidRPr="00FE4BC3">
        <w:t xml:space="preserve"> Industry Partner Organisation</w:t>
      </w:r>
      <w:r w:rsidR="00A8227B" w:rsidRPr="00FE4BC3">
        <w:t xml:space="preserve"> Program</w:t>
      </w:r>
    </w:p>
    <w:p w14:paraId="7C49E285" w14:textId="2EEF18DA" w:rsidR="00CB662F" w:rsidRDefault="00CB662F" w:rsidP="00CB662F">
      <w:pPr>
        <w:spacing w:after="0"/>
      </w:pPr>
      <w:r w:rsidRPr="00CB662F">
        <w:t xml:space="preserve">This document outlines Q&amp;As from </w:t>
      </w:r>
      <w:r w:rsidR="00F320EC" w:rsidRPr="00F320EC">
        <w:t xml:space="preserve">applicants </w:t>
      </w:r>
      <w:r w:rsidR="00B12AC8">
        <w:t>post program launch on 5 February 2024</w:t>
      </w:r>
      <w:r w:rsidR="004A036E">
        <w:t>.</w:t>
      </w:r>
    </w:p>
    <w:p w14:paraId="2976855E" w14:textId="3CE731DC" w:rsidR="00152361" w:rsidRPr="00FE4BC3" w:rsidRDefault="00330958" w:rsidP="00962BBA">
      <w:pPr>
        <w:pStyle w:val="Heading2"/>
        <w:spacing w:before="240" w:after="240"/>
      </w:pPr>
      <w:r w:rsidRPr="00FE4BC3">
        <w:t xml:space="preserve">It states that an eligible entity is a </w:t>
      </w:r>
      <w:r w:rsidR="00152361" w:rsidRPr="00FE4BC3">
        <w:t>not-for-profit</w:t>
      </w:r>
      <w:r w:rsidRPr="00FE4BC3">
        <w:t xml:space="preserve"> organisation and an entity incorporated in Australia. Does </w:t>
      </w:r>
      <w:proofErr w:type="gramStart"/>
      <w:r w:rsidRPr="00FE4BC3">
        <w:t>this criteria</w:t>
      </w:r>
      <w:proofErr w:type="gramEnd"/>
      <w:r w:rsidRPr="00FE4BC3">
        <w:t xml:space="preserve"> completely exclude a proprietary limited company? </w:t>
      </w:r>
    </w:p>
    <w:p w14:paraId="2094127C" w14:textId="4625D622" w:rsidR="00A37725" w:rsidRDefault="00A37725" w:rsidP="00152361">
      <w:pPr>
        <w:ind w:left="360"/>
      </w:pPr>
      <w:r>
        <w:t xml:space="preserve">A proprietary limited company is generally structured for businesses that operate for-profit businesses which, if for-profit, are not eligible entities. </w:t>
      </w:r>
    </w:p>
    <w:p w14:paraId="799BE108" w14:textId="2A15C785" w:rsidR="00152361" w:rsidRDefault="00152361" w:rsidP="00152361">
      <w:pPr>
        <w:ind w:left="360"/>
      </w:pPr>
      <w:r>
        <w:t>To meet eligibility requirements an organisation must meet the eligibility criteria under section 4.1 of the grant guidelines, to be eligible you must:</w:t>
      </w:r>
    </w:p>
    <w:p w14:paraId="6C14E517" w14:textId="77777777" w:rsidR="00152361" w:rsidRDefault="00152361" w:rsidP="00152361">
      <w:pPr>
        <w:pStyle w:val="ListParagraph"/>
        <w:numPr>
          <w:ilvl w:val="0"/>
          <w:numId w:val="4"/>
        </w:numPr>
        <w:spacing w:after="0" w:line="252" w:lineRule="auto"/>
        <w:rPr>
          <w:rFonts w:eastAsia="Times New Roman"/>
        </w:rPr>
      </w:pPr>
      <w:r>
        <w:rPr>
          <w:rFonts w:eastAsia="Times New Roman"/>
        </w:rPr>
        <w:t>have an Australian Business Number (ABN)</w:t>
      </w:r>
    </w:p>
    <w:p w14:paraId="78A5A6DA" w14:textId="77777777" w:rsidR="00152361" w:rsidRDefault="00152361" w:rsidP="00152361">
      <w:pPr>
        <w:pStyle w:val="ListParagraph"/>
        <w:numPr>
          <w:ilvl w:val="0"/>
          <w:numId w:val="4"/>
        </w:numPr>
        <w:spacing w:after="0" w:line="252" w:lineRule="auto"/>
        <w:rPr>
          <w:rFonts w:eastAsia="Times New Roman"/>
        </w:rPr>
      </w:pPr>
      <w:r>
        <w:rPr>
          <w:rFonts w:eastAsia="Times New Roman"/>
        </w:rPr>
        <w:t>be registered for the Goods and Services Tax (GST), and</w:t>
      </w:r>
    </w:p>
    <w:p w14:paraId="05FEF102" w14:textId="77777777" w:rsidR="00152361" w:rsidRDefault="00152361" w:rsidP="00152361">
      <w:pPr>
        <w:pStyle w:val="ListParagraph"/>
        <w:numPr>
          <w:ilvl w:val="0"/>
          <w:numId w:val="4"/>
        </w:numPr>
        <w:spacing w:after="0" w:line="252" w:lineRule="auto"/>
        <w:rPr>
          <w:rFonts w:eastAsia="Times New Roman"/>
        </w:rPr>
      </w:pPr>
      <w:r>
        <w:rPr>
          <w:rFonts w:eastAsia="Times New Roman"/>
        </w:rPr>
        <w:t>be a not-for-profit organisation, and</w:t>
      </w:r>
    </w:p>
    <w:p w14:paraId="0ADBE6D5" w14:textId="0C7092A0" w:rsidR="00152361" w:rsidRPr="00152361" w:rsidRDefault="00152361" w:rsidP="00152361">
      <w:pPr>
        <w:pStyle w:val="ListParagraph"/>
        <w:numPr>
          <w:ilvl w:val="0"/>
          <w:numId w:val="4"/>
        </w:numPr>
        <w:spacing w:after="0" w:line="252" w:lineRule="auto"/>
      </w:pPr>
      <w:r>
        <w:rPr>
          <w:rFonts w:eastAsia="Times New Roman"/>
        </w:rPr>
        <w:t>an entity incorporated in Australia.</w:t>
      </w:r>
    </w:p>
    <w:p w14:paraId="2C6611D9" w14:textId="77777777" w:rsidR="00152361" w:rsidRPr="00152361" w:rsidRDefault="00152361" w:rsidP="00152361">
      <w:pPr>
        <w:pStyle w:val="ListParagraph"/>
        <w:spacing w:after="0" w:line="252" w:lineRule="auto"/>
        <w:ind w:left="1446"/>
      </w:pPr>
    </w:p>
    <w:p w14:paraId="543DB80B" w14:textId="36F72035" w:rsidR="004A036E" w:rsidRPr="00330958" w:rsidRDefault="004D1FD4" w:rsidP="00FE4BC3">
      <w:pPr>
        <w:pStyle w:val="Heading2"/>
      </w:pPr>
      <w:r>
        <w:t>Can</w:t>
      </w:r>
      <w:r w:rsidR="00330958" w:rsidRPr="00330958">
        <w:t xml:space="preserve"> I partner with an NFP?</w:t>
      </w:r>
    </w:p>
    <w:p w14:paraId="6D912FED" w14:textId="49A28945" w:rsidR="00962BBA" w:rsidRPr="00962BBA" w:rsidRDefault="00AA3DBD" w:rsidP="00962BBA">
      <w:pPr>
        <w:spacing w:before="240"/>
        <w:ind w:left="360"/>
      </w:pPr>
      <w:r>
        <w:t>Under</w:t>
      </w:r>
      <w:r w:rsidR="0004322D">
        <w:t xml:space="preserve"> section </w:t>
      </w:r>
      <w:r w:rsidR="00E01C33">
        <w:t>7.</w:t>
      </w:r>
      <w:r w:rsidR="0004322D">
        <w:t>2 of the grant guidelines ‘</w:t>
      </w:r>
      <w:r w:rsidR="00E01C33" w:rsidRPr="00E01C33">
        <w:t>Joint (consortia) applications</w:t>
      </w:r>
      <w:r w:rsidR="0004322D">
        <w:t>’</w:t>
      </w:r>
      <w:r w:rsidR="0004322D" w:rsidRPr="0004322D">
        <w:t xml:space="preserve">, </w:t>
      </w:r>
      <w:r w:rsidR="00C15D98">
        <w:t>w</w:t>
      </w:r>
      <w:r w:rsidR="00E01C33" w:rsidRPr="003B4FCC">
        <w:t xml:space="preserve">e recognise that some organisations may want to </w:t>
      </w:r>
      <w:proofErr w:type="gramStart"/>
      <w:r w:rsidR="00E01C33" w:rsidRPr="003B4FCC">
        <w:t>join together</w:t>
      </w:r>
      <w:proofErr w:type="gramEnd"/>
      <w:r w:rsidR="00E01C33" w:rsidRPr="003B4FCC">
        <w:t xml:space="preserve"> as a group</w:t>
      </w:r>
      <w:r w:rsidR="00195030">
        <w:t xml:space="preserve"> or partnership</w:t>
      </w:r>
      <w:r w:rsidR="00E01C33" w:rsidRPr="003B4FCC">
        <w:t xml:space="preserve"> to deliver a project. In these circumstances, you must appoint a lead </w:t>
      </w:r>
      <w:r w:rsidR="00A37725">
        <w:t xml:space="preserve">not-for-profit </w:t>
      </w:r>
      <w:r w:rsidR="00E01C33" w:rsidRPr="003B4FCC">
        <w:t>organisation</w:t>
      </w:r>
      <w:r w:rsidR="00A37725">
        <w:t xml:space="preserve"> that is an eligible entity</w:t>
      </w:r>
      <w:r w:rsidR="00E01C33" w:rsidRPr="003B4FCC">
        <w:t xml:space="preserve">. Only the lead organisation can submit the application form and enter into the grant agreement with the Commonwealth. The application must identify all other members of the proposed group and include a letter of support from each of the project partners. </w:t>
      </w:r>
    </w:p>
    <w:p w14:paraId="3DA2DAD0" w14:textId="161D2335" w:rsidR="009D1A77" w:rsidRPr="00E01C33" w:rsidRDefault="00FC0E38" w:rsidP="00962BBA">
      <w:pPr>
        <w:ind w:left="360"/>
      </w:pPr>
      <w:r>
        <w:t xml:space="preserve">If a partnership with an NFP is created, the NFP would be required to become the lead organisation and would </w:t>
      </w:r>
      <w:r w:rsidR="00AA3DBD">
        <w:t>need</w:t>
      </w:r>
      <w:r>
        <w:t xml:space="preserve"> to meet all the eligibility criteria as set out in section 4 of the grant guidelines.</w:t>
      </w:r>
    </w:p>
    <w:p w14:paraId="683E171E" w14:textId="65B7648D" w:rsidR="00152361" w:rsidRPr="008E3D4E" w:rsidRDefault="00E01C33" w:rsidP="008E3D4E">
      <w:pPr>
        <w:pStyle w:val="Heading2"/>
      </w:pPr>
      <w:r w:rsidRPr="00A8227B">
        <w:t>I</w:t>
      </w:r>
      <w:r w:rsidR="00A8227B" w:rsidRPr="00A8227B">
        <w:t>f an</w:t>
      </w:r>
      <w:r>
        <w:t xml:space="preserve"> organisation</w:t>
      </w:r>
      <w:r w:rsidRPr="00E01C33">
        <w:t xml:space="preserve"> is registered as both a charity and a </w:t>
      </w:r>
      <w:r w:rsidR="00152361" w:rsidRPr="00E01C33">
        <w:t>tax-exempt</w:t>
      </w:r>
      <w:r w:rsidRPr="00E01C33">
        <w:t xml:space="preserve"> entity</w:t>
      </w:r>
      <w:r w:rsidR="00A8227B" w:rsidRPr="00A8227B">
        <w:t>, w</w:t>
      </w:r>
      <w:r w:rsidRPr="00A8227B">
        <w:t xml:space="preserve">ould that </w:t>
      </w:r>
      <w:r w:rsidRPr="00E01C33">
        <w:t xml:space="preserve">exclude </w:t>
      </w:r>
      <w:r w:rsidR="00A8227B" w:rsidRPr="00A8227B">
        <w:t>the</w:t>
      </w:r>
      <w:r w:rsidR="00613037" w:rsidRPr="00613037">
        <w:t xml:space="preserve"> organisation</w:t>
      </w:r>
      <w:r w:rsidRPr="00E01C33">
        <w:t xml:space="preserve"> from applying</w:t>
      </w:r>
      <w:r w:rsidRPr="00A8227B">
        <w:t xml:space="preserve">? </w:t>
      </w:r>
    </w:p>
    <w:p w14:paraId="0EDE40D4" w14:textId="1073A564" w:rsidR="00152361" w:rsidRDefault="00152361" w:rsidP="008E3D4E">
      <w:pPr>
        <w:spacing w:before="240" w:after="0"/>
        <w:ind w:left="360"/>
      </w:pPr>
      <w:r>
        <w:t xml:space="preserve">Being a tax-exempt entity does not exclude you from applying. We </w:t>
      </w:r>
      <w:r w:rsidR="00CC28F2">
        <w:t>have edited th</w:t>
      </w:r>
      <w:r w:rsidR="00A42D60">
        <w:t>e</w:t>
      </w:r>
      <w:r w:rsidR="00CC28F2">
        <w:t xml:space="preserve"> wording on business.gov.au to clarify the eligibility of tax-exempt entities.</w:t>
      </w:r>
      <w:r>
        <w:t xml:space="preserve"> </w:t>
      </w:r>
    </w:p>
    <w:p w14:paraId="615C7E35" w14:textId="08EC9954" w:rsidR="00152361" w:rsidRDefault="00152361" w:rsidP="00A21E3F">
      <w:pPr>
        <w:spacing w:before="240"/>
        <w:ind w:left="360"/>
      </w:pPr>
      <w:r>
        <w:t>You do however need to meet eligibility requirements under the eligibility criteria, Section 4.1 of the grant guidelines. To be eligible you must:</w:t>
      </w:r>
    </w:p>
    <w:p w14:paraId="20C96A93" w14:textId="0D7B8A4A" w:rsidR="00FC0E38" w:rsidRDefault="00FC0E38" w:rsidP="00FC0E38">
      <w:pPr>
        <w:pStyle w:val="ListParagraph"/>
        <w:numPr>
          <w:ilvl w:val="0"/>
          <w:numId w:val="3"/>
        </w:numPr>
        <w:spacing w:after="0"/>
      </w:pPr>
      <w:r>
        <w:t>have an Australian Business Number (ABN)</w:t>
      </w:r>
    </w:p>
    <w:p w14:paraId="6A0A4A37" w14:textId="364B4B79" w:rsidR="00FC0E38" w:rsidRDefault="00FC0E38" w:rsidP="00FC0E38">
      <w:pPr>
        <w:pStyle w:val="ListParagraph"/>
        <w:numPr>
          <w:ilvl w:val="0"/>
          <w:numId w:val="3"/>
        </w:numPr>
        <w:spacing w:after="0"/>
      </w:pPr>
      <w:r>
        <w:t>be registered for the Goods and Services Tax (GST), and</w:t>
      </w:r>
    </w:p>
    <w:p w14:paraId="27CDFE64" w14:textId="4923AA3E" w:rsidR="00FC0E38" w:rsidRDefault="00FC0E38" w:rsidP="00FC0E38">
      <w:pPr>
        <w:pStyle w:val="ListParagraph"/>
        <w:numPr>
          <w:ilvl w:val="0"/>
          <w:numId w:val="3"/>
        </w:numPr>
        <w:spacing w:after="0"/>
      </w:pPr>
      <w:r>
        <w:t>be a not-for-profit organisation, and</w:t>
      </w:r>
    </w:p>
    <w:p w14:paraId="33677CB8" w14:textId="3426AA01" w:rsidR="00313401" w:rsidRDefault="00FC0E38" w:rsidP="00313401">
      <w:pPr>
        <w:pStyle w:val="ListParagraph"/>
        <w:numPr>
          <w:ilvl w:val="0"/>
          <w:numId w:val="3"/>
        </w:numPr>
        <w:spacing w:after="0"/>
      </w:pPr>
      <w:r>
        <w:t>an entity incorporated in Australia</w:t>
      </w:r>
      <w:r w:rsidR="00CC28F2">
        <w:t>.</w:t>
      </w:r>
    </w:p>
    <w:p w14:paraId="0CF3DE16" w14:textId="03D638FB" w:rsidR="0010301A" w:rsidRPr="0010301A" w:rsidRDefault="0010301A" w:rsidP="00F34108">
      <w:pPr>
        <w:pStyle w:val="Heading2"/>
        <w:spacing w:after="240"/>
      </w:pPr>
      <w:r w:rsidRPr="0010301A">
        <w:lastRenderedPageBreak/>
        <w:t>Can you please confirm that PFROs</w:t>
      </w:r>
      <w:r w:rsidR="004D1FD4">
        <w:t xml:space="preserve"> </w:t>
      </w:r>
      <w:r w:rsidRPr="0010301A">
        <w:t>are ineligible as per section 4.3 of the grant opportunity guidelines</w:t>
      </w:r>
      <w:r w:rsidR="004D1FD4">
        <w:t>?</w:t>
      </w:r>
    </w:p>
    <w:p w14:paraId="59F8843E" w14:textId="45942A6B" w:rsidR="00B8379D" w:rsidRDefault="00152361" w:rsidP="00F34108">
      <w:pPr>
        <w:pStyle w:val="ListParagraph"/>
        <w:ind w:left="360"/>
      </w:pPr>
      <w:r w:rsidRPr="00810D5B">
        <w:t>Public</w:t>
      </w:r>
      <w:r w:rsidR="00D25065">
        <w:t>ly</w:t>
      </w:r>
      <w:r w:rsidRPr="00810D5B">
        <w:t xml:space="preserve"> Funded Research Organisations </w:t>
      </w:r>
      <w:r w:rsidR="00D25065">
        <w:t xml:space="preserve">(PFROs) </w:t>
      </w:r>
      <w:r w:rsidRPr="00810D5B">
        <w:t xml:space="preserve">are not eligible to apply, however joint applications (consortia) </w:t>
      </w:r>
      <w:r w:rsidR="00D25065">
        <w:t>including PFROs may be</w:t>
      </w:r>
      <w:r w:rsidR="00D25065" w:rsidRPr="00810D5B">
        <w:t xml:space="preserve"> </w:t>
      </w:r>
      <w:r w:rsidRPr="00810D5B">
        <w:t xml:space="preserve">acceptable provided you have a lead </w:t>
      </w:r>
      <w:r w:rsidR="00A37725">
        <w:t xml:space="preserve">not-for-profit </w:t>
      </w:r>
      <w:r w:rsidRPr="00810D5B">
        <w:t>organisation</w:t>
      </w:r>
      <w:r w:rsidR="00A37725">
        <w:t xml:space="preserve"> that is an eligible entity, and</w:t>
      </w:r>
      <w:r w:rsidRPr="00810D5B">
        <w:t xml:space="preserve"> </w:t>
      </w:r>
      <w:r w:rsidR="00A37725">
        <w:t>who</w:t>
      </w:r>
      <w:r w:rsidR="00A37725" w:rsidRPr="00810D5B">
        <w:t xml:space="preserve"> </w:t>
      </w:r>
      <w:r w:rsidRPr="00810D5B">
        <w:t xml:space="preserve">is the main driver of the project and is eligible to apply. For further information on joint applications, refer to section 7.2 of the </w:t>
      </w:r>
      <w:r w:rsidR="00B810AE">
        <w:t>G</w:t>
      </w:r>
      <w:r w:rsidRPr="00810D5B">
        <w:t xml:space="preserve">rant </w:t>
      </w:r>
      <w:r w:rsidR="00B810AE">
        <w:t>O</w:t>
      </w:r>
      <w:r w:rsidRPr="00810D5B">
        <w:t xml:space="preserve">pportunity </w:t>
      </w:r>
      <w:r w:rsidR="00B810AE">
        <w:t>G</w:t>
      </w:r>
      <w:r w:rsidRPr="00810D5B">
        <w:t>uidelines.</w:t>
      </w:r>
    </w:p>
    <w:p w14:paraId="6B0DBE7F" w14:textId="7AECE642" w:rsidR="00B8379D" w:rsidRDefault="00B8379D" w:rsidP="00F34108">
      <w:pPr>
        <w:pStyle w:val="Heading2"/>
        <w:spacing w:after="240"/>
      </w:pPr>
      <w:r w:rsidRPr="00B8379D">
        <w:t>Is there a co-investment</w:t>
      </w:r>
      <w:r w:rsidR="00C93296">
        <w:t>/matched funding</w:t>
      </w:r>
      <w:r w:rsidRPr="00B8379D">
        <w:t xml:space="preserve"> require</w:t>
      </w:r>
      <w:r w:rsidR="00C93296">
        <w:t>ment for the IPO grant opportunity</w:t>
      </w:r>
      <w:r w:rsidRPr="00B8379D">
        <w:t>?</w:t>
      </w:r>
    </w:p>
    <w:p w14:paraId="669D950C" w14:textId="69BE1A69" w:rsidR="00810D5B" w:rsidRPr="00810D5B" w:rsidRDefault="00810D5B" w:rsidP="00F34108">
      <w:pPr>
        <w:pStyle w:val="ListParagraph"/>
        <w:ind w:left="360"/>
      </w:pPr>
      <w:r w:rsidRPr="00810D5B">
        <w:t>No, there is no requirement for co-investment</w:t>
      </w:r>
      <w:r w:rsidR="00C93296">
        <w:t xml:space="preserve"> or matched funding</w:t>
      </w:r>
      <w:r w:rsidRPr="00810D5B">
        <w:t xml:space="preserve"> for this grant opportunity. </w:t>
      </w:r>
    </w:p>
    <w:p w14:paraId="0E459B9A" w14:textId="64CDCEA3" w:rsidR="00C93296" w:rsidRPr="004B0F34" w:rsidRDefault="004B0F34" w:rsidP="00F34108">
      <w:pPr>
        <w:ind w:left="360"/>
        <w:rPr>
          <w:rFonts w:eastAsia="Times New Roman" w:cstheme="minorHAnsi"/>
        </w:rPr>
      </w:pPr>
      <w:r>
        <w:rPr>
          <w:rFonts w:eastAsia="Times New Roman" w:cstheme="minorHAnsi"/>
          <w:iCs/>
        </w:rPr>
        <w:t>Refer to</w:t>
      </w:r>
      <w:r w:rsidR="00C93296">
        <w:rPr>
          <w:rFonts w:eastAsia="Times New Roman" w:cstheme="minorHAnsi"/>
        </w:rPr>
        <w:t xml:space="preserve"> </w:t>
      </w:r>
      <w:r w:rsidR="00C93296" w:rsidRPr="004B0F34">
        <w:rPr>
          <w:rFonts w:eastAsia="Times New Roman" w:cstheme="minorHAnsi"/>
        </w:rPr>
        <w:t>Section 3.1 of the Grant Opportunity Guidelines</w:t>
      </w:r>
      <w:r w:rsidRPr="004B0F34">
        <w:rPr>
          <w:rFonts w:eastAsia="Times New Roman" w:cstheme="minorHAnsi"/>
          <w:iCs/>
        </w:rPr>
        <w:t xml:space="preserve"> </w:t>
      </w:r>
      <w:r>
        <w:rPr>
          <w:rFonts w:eastAsia="Times New Roman" w:cstheme="minorHAnsi"/>
          <w:iCs/>
        </w:rPr>
        <w:t>which says t</w:t>
      </w:r>
      <w:r w:rsidR="00C93296" w:rsidRPr="004B0F34">
        <w:rPr>
          <w:rFonts w:eastAsia="Times New Roman" w:cstheme="minorHAnsi"/>
          <w:iCs/>
        </w:rPr>
        <w:t>he</w:t>
      </w:r>
      <w:r w:rsidR="00C93296" w:rsidRPr="004B0F34">
        <w:rPr>
          <w:rFonts w:eastAsia="Times New Roman" w:cstheme="minorHAnsi"/>
        </w:rPr>
        <w:t xml:space="preserve"> grant amount will be up to 100 per cent of eligible expenditure.</w:t>
      </w:r>
    </w:p>
    <w:p w14:paraId="0A2864AC" w14:textId="31F5E539" w:rsidR="00B8379D" w:rsidRDefault="00B8379D" w:rsidP="00F34108">
      <w:pPr>
        <w:pStyle w:val="Heading2"/>
        <w:spacing w:after="240"/>
      </w:pPr>
      <w:r w:rsidRPr="00B8379D">
        <w:t>Does this grant include the development of software platforms?</w:t>
      </w:r>
    </w:p>
    <w:p w14:paraId="08D4515C" w14:textId="754E0C20" w:rsidR="008A3915" w:rsidRPr="00EC2D83" w:rsidRDefault="00EC2D83" w:rsidP="002410CC">
      <w:pPr>
        <w:pStyle w:val="ListNumber"/>
        <w:numPr>
          <w:ilvl w:val="0"/>
          <w:numId w:val="0"/>
        </w:numPr>
        <w:spacing w:before="0" w:after="0"/>
        <w:ind w:left="357"/>
      </w:pPr>
      <w:r w:rsidRPr="005E209C">
        <w:rPr>
          <w:rFonts w:asciiTheme="minorHAnsi" w:hAnsiTheme="minorHAnsi" w:cstheme="minorHAnsi"/>
          <w:sz w:val="22"/>
          <w:szCs w:val="22"/>
        </w:rPr>
        <w:t>Under Section 2</w:t>
      </w:r>
      <w:r w:rsidR="00EB7663">
        <w:rPr>
          <w:rFonts w:asciiTheme="minorHAnsi" w:hAnsiTheme="minorHAnsi" w:cstheme="minorHAnsi"/>
          <w:sz w:val="22"/>
          <w:szCs w:val="22"/>
        </w:rPr>
        <w:t>.1</w:t>
      </w:r>
      <w:r w:rsidRPr="005E209C">
        <w:rPr>
          <w:rFonts w:asciiTheme="minorHAnsi" w:hAnsiTheme="minorHAnsi" w:cstheme="minorHAnsi"/>
          <w:sz w:val="22"/>
          <w:szCs w:val="22"/>
        </w:rPr>
        <w:t xml:space="preserve"> of the </w:t>
      </w:r>
      <w:r w:rsidR="00B810AE">
        <w:rPr>
          <w:rFonts w:asciiTheme="minorHAnsi" w:hAnsiTheme="minorHAnsi" w:cstheme="minorHAnsi"/>
          <w:sz w:val="22"/>
          <w:szCs w:val="22"/>
        </w:rPr>
        <w:t>G</w:t>
      </w:r>
      <w:r w:rsidRPr="005E209C">
        <w:rPr>
          <w:rFonts w:asciiTheme="minorHAnsi" w:hAnsiTheme="minorHAnsi" w:cstheme="minorHAnsi"/>
          <w:sz w:val="22"/>
          <w:szCs w:val="22"/>
        </w:rPr>
        <w:t xml:space="preserve">rant </w:t>
      </w:r>
      <w:r w:rsidR="00B810AE">
        <w:rPr>
          <w:rFonts w:asciiTheme="minorHAnsi" w:hAnsiTheme="minorHAnsi" w:cstheme="minorHAnsi"/>
          <w:sz w:val="22"/>
          <w:szCs w:val="22"/>
        </w:rPr>
        <w:t>O</w:t>
      </w:r>
      <w:r w:rsidRPr="005E209C">
        <w:rPr>
          <w:rFonts w:asciiTheme="minorHAnsi" w:hAnsiTheme="minorHAnsi" w:cstheme="minorHAnsi"/>
          <w:sz w:val="22"/>
          <w:szCs w:val="22"/>
        </w:rPr>
        <w:t xml:space="preserve">pportunity </w:t>
      </w:r>
      <w:r w:rsidR="00B810AE">
        <w:rPr>
          <w:rFonts w:asciiTheme="minorHAnsi" w:hAnsiTheme="minorHAnsi" w:cstheme="minorHAnsi"/>
          <w:sz w:val="22"/>
          <w:szCs w:val="22"/>
        </w:rPr>
        <w:t>G</w:t>
      </w:r>
      <w:r w:rsidRPr="005E209C">
        <w:rPr>
          <w:rFonts w:asciiTheme="minorHAnsi" w:hAnsiTheme="minorHAnsi" w:cstheme="minorHAnsi"/>
          <w:sz w:val="22"/>
          <w:szCs w:val="22"/>
        </w:rPr>
        <w:t xml:space="preserve">uidelines ‘About the </w:t>
      </w:r>
      <w:r w:rsidR="00EB7663" w:rsidRPr="00EB7663">
        <w:rPr>
          <w:rFonts w:asciiTheme="minorHAnsi" w:hAnsiTheme="minorHAnsi" w:cstheme="minorHAnsi"/>
          <w:sz w:val="22"/>
          <w:szCs w:val="22"/>
        </w:rPr>
        <w:t>Industry Partner Organisation grant opportunity</w:t>
      </w:r>
      <w:r w:rsidR="00EB7663">
        <w:rPr>
          <w:rFonts w:asciiTheme="minorHAnsi" w:hAnsiTheme="minorHAnsi" w:cstheme="minorHAnsi"/>
          <w:sz w:val="22"/>
          <w:szCs w:val="22"/>
        </w:rPr>
        <w:t>’</w:t>
      </w:r>
      <w:r w:rsidR="008A3915" w:rsidRPr="005E209C">
        <w:rPr>
          <w:rFonts w:asciiTheme="minorHAnsi" w:hAnsiTheme="minorHAnsi" w:cstheme="minorHAnsi"/>
          <w:sz w:val="22"/>
          <w:szCs w:val="22"/>
        </w:rPr>
        <w:t xml:space="preserve">, </w:t>
      </w:r>
      <w:bookmarkStart w:id="0" w:name="_Hlk155776328"/>
      <w:r w:rsidR="00EB7663">
        <w:rPr>
          <w:rFonts w:asciiTheme="minorHAnsi" w:hAnsiTheme="minorHAnsi" w:cstheme="minorHAnsi"/>
          <w:sz w:val="22"/>
          <w:szCs w:val="22"/>
        </w:rPr>
        <w:t>s</w:t>
      </w:r>
      <w:r w:rsidR="00EB7663" w:rsidRPr="00EB7663">
        <w:rPr>
          <w:rFonts w:asciiTheme="minorHAnsi" w:hAnsiTheme="minorHAnsi" w:cstheme="minorHAnsi"/>
          <w:sz w:val="22"/>
          <w:szCs w:val="22"/>
        </w:rPr>
        <w:t xml:space="preserve">uccessful applicants of the Industry Partner Organisation (IPO) grant opportunity will receive funding to </w:t>
      </w:r>
      <w:r w:rsidR="00EB7663" w:rsidRPr="000870F1">
        <w:rPr>
          <w:rFonts w:asciiTheme="minorHAnsi" w:hAnsiTheme="minorHAnsi" w:cstheme="minorHAnsi"/>
          <w:b/>
          <w:sz w:val="22"/>
          <w:szCs w:val="22"/>
        </w:rPr>
        <w:t>provide specialised advisory services</w:t>
      </w:r>
      <w:bookmarkEnd w:id="0"/>
      <w:r w:rsidR="000870F1">
        <w:rPr>
          <w:rFonts w:asciiTheme="minorHAnsi" w:hAnsiTheme="minorHAnsi" w:cstheme="minorHAnsi"/>
          <w:sz w:val="22"/>
          <w:szCs w:val="22"/>
        </w:rPr>
        <w:t xml:space="preserve">. </w:t>
      </w:r>
    </w:p>
    <w:p w14:paraId="7EF83A33" w14:textId="20337D77" w:rsidR="00B8379D" w:rsidRDefault="00B8379D" w:rsidP="002410CC">
      <w:pPr>
        <w:pStyle w:val="Heading2"/>
        <w:spacing w:before="240"/>
      </w:pPr>
      <w:r w:rsidRPr="00B8379D">
        <w:t>Do I have time to register as a not-for-profit?</w:t>
      </w:r>
      <w:r w:rsidR="00BE48E7">
        <w:t xml:space="preserve"> </w:t>
      </w:r>
    </w:p>
    <w:p w14:paraId="560533D4" w14:textId="716717A0" w:rsidR="004D22D1" w:rsidRDefault="004D22D1" w:rsidP="0022776A">
      <w:pPr>
        <w:pStyle w:val="ListParagraph"/>
        <w:spacing w:before="240"/>
        <w:ind w:left="360"/>
      </w:pPr>
      <w:r>
        <w:t>Applications</w:t>
      </w:r>
      <w:r w:rsidR="00CA292D">
        <w:t xml:space="preserve"> for Stage One </w:t>
      </w:r>
      <w:r w:rsidR="000870F1">
        <w:t xml:space="preserve">EOI </w:t>
      </w:r>
      <w:r w:rsidR="00CA292D">
        <w:t xml:space="preserve">of the Industry Partner Organisation </w:t>
      </w:r>
      <w:r>
        <w:t>grant opportunity</w:t>
      </w:r>
      <w:r w:rsidR="00CA292D">
        <w:t xml:space="preserve"> close </w:t>
      </w:r>
      <w:r w:rsidR="001C6D3E">
        <w:rPr>
          <w:rFonts w:ascii="Calibri" w:eastAsia="Times New Roman" w:hAnsi="Calibri" w:cs="Calibri"/>
        </w:rPr>
        <w:t xml:space="preserve">5pm Australian Eastern Daylight Savings Time (AEDT) on Friday, </w:t>
      </w:r>
      <w:r w:rsidR="00CA292D">
        <w:rPr>
          <w:rFonts w:ascii="Calibri" w:eastAsia="Times New Roman" w:hAnsi="Calibri" w:cs="Calibri"/>
        </w:rPr>
        <w:t>16 February 2024</w:t>
      </w:r>
      <w:r w:rsidR="00CA292D">
        <w:t>.</w:t>
      </w:r>
      <w:r>
        <w:t xml:space="preserve"> To be eligible to apply </w:t>
      </w:r>
      <w:r w:rsidR="002F2FCA">
        <w:t xml:space="preserve">for the grant opportunity </w:t>
      </w:r>
      <w:r>
        <w:t xml:space="preserve">you need to meet the eligibility requirements at the time you submit </w:t>
      </w:r>
      <w:r w:rsidR="001C6D3E">
        <w:t>y</w:t>
      </w:r>
      <w:r>
        <w:t xml:space="preserve">our application. </w:t>
      </w:r>
    </w:p>
    <w:p w14:paraId="2F745B8A" w14:textId="2098F94B" w:rsidR="004D22D1" w:rsidRDefault="004D22D1" w:rsidP="0022776A">
      <w:pPr>
        <w:ind w:left="360"/>
      </w:pPr>
      <w:r>
        <w:t>Under Section 4.1 of the Grant Opportunity Guidelines, to be eligible you must:</w:t>
      </w:r>
    </w:p>
    <w:p w14:paraId="1DE89759" w14:textId="77777777" w:rsidR="004D22D1" w:rsidRDefault="004D22D1" w:rsidP="004D22D1">
      <w:pPr>
        <w:pStyle w:val="ListParagraph"/>
        <w:numPr>
          <w:ilvl w:val="0"/>
          <w:numId w:val="3"/>
        </w:numPr>
        <w:spacing w:after="0"/>
      </w:pPr>
      <w:r>
        <w:t>have an Australian Business Number (ABN)</w:t>
      </w:r>
    </w:p>
    <w:p w14:paraId="7F02FF7B" w14:textId="77777777" w:rsidR="004D22D1" w:rsidRDefault="004D22D1" w:rsidP="004D22D1">
      <w:pPr>
        <w:pStyle w:val="ListParagraph"/>
        <w:numPr>
          <w:ilvl w:val="0"/>
          <w:numId w:val="3"/>
        </w:numPr>
        <w:spacing w:after="0"/>
      </w:pPr>
      <w:r>
        <w:t>be registered for the Goods and Services Tax (GST), and</w:t>
      </w:r>
    </w:p>
    <w:p w14:paraId="310FFCD5" w14:textId="77777777" w:rsidR="004D22D1" w:rsidRDefault="004D22D1" w:rsidP="004D22D1">
      <w:pPr>
        <w:pStyle w:val="ListParagraph"/>
        <w:numPr>
          <w:ilvl w:val="0"/>
          <w:numId w:val="3"/>
        </w:numPr>
        <w:spacing w:after="0"/>
      </w:pPr>
      <w:r>
        <w:t>be a not-for-profit organisation, and</w:t>
      </w:r>
    </w:p>
    <w:p w14:paraId="4D6347A0" w14:textId="0944A177" w:rsidR="004D22D1" w:rsidRDefault="004D22D1" w:rsidP="004D22D1">
      <w:pPr>
        <w:pStyle w:val="ListParagraph"/>
        <w:numPr>
          <w:ilvl w:val="0"/>
          <w:numId w:val="3"/>
        </w:numPr>
        <w:spacing w:after="0"/>
      </w:pPr>
      <w:r>
        <w:t>an entity incorporated in Australia.</w:t>
      </w:r>
    </w:p>
    <w:p w14:paraId="448AFD21" w14:textId="4289539D" w:rsidR="00F54F44" w:rsidRPr="00A73AE4" w:rsidRDefault="00F54F44" w:rsidP="0022776A">
      <w:pPr>
        <w:pStyle w:val="Heading2"/>
        <w:spacing w:before="240"/>
      </w:pPr>
      <w:r w:rsidRPr="00ED10B0">
        <w:t>The information on</w:t>
      </w:r>
      <w:r w:rsidRPr="00F54F44">
        <w:t xml:space="preserve"> limits for the two </w:t>
      </w:r>
      <w:proofErr w:type="gramStart"/>
      <w:r w:rsidRPr="00F54F44">
        <w:t>criterion</w:t>
      </w:r>
      <w:proofErr w:type="gramEnd"/>
      <w:r w:rsidRPr="00F54F44">
        <w:t xml:space="preserve"> are measured differently – 1,000 words and 5,000 characters. Can you please inform which measurement will be used in the application process via the online portal</w:t>
      </w:r>
      <w:r>
        <w:t>.</w:t>
      </w:r>
    </w:p>
    <w:p w14:paraId="07E20FF2" w14:textId="64CF8E45" w:rsidR="00A73AE4" w:rsidRDefault="000870F1" w:rsidP="00A73AE4">
      <w:pPr>
        <w:spacing w:before="240" w:after="0"/>
        <w:ind w:left="360"/>
      </w:pPr>
      <w:r>
        <w:t>The online portal will limit y</w:t>
      </w:r>
      <w:r w:rsidR="00BE4283" w:rsidRPr="00BE4283">
        <w:t>our</w:t>
      </w:r>
      <w:r w:rsidR="00ED10B0">
        <w:t xml:space="preserve"> response to </w:t>
      </w:r>
      <w:r>
        <w:t xml:space="preserve">5,000 characters </w:t>
      </w:r>
      <w:r w:rsidR="001C450C">
        <w:t>(</w:t>
      </w:r>
      <w:r>
        <w:t xml:space="preserve">approximately </w:t>
      </w:r>
      <w:r w:rsidR="00ED10B0">
        <w:t>1,000 words</w:t>
      </w:r>
      <w:r w:rsidR="001C450C">
        <w:t>)</w:t>
      </w:r>
      <w:r w:rsidR="00ED10B0">
        <w:t xml:space="preserve"> </w:t>
      </w:r>
      <w:r w:rsidR="00BE4283" w:rsidRPr="00BE4283">
        <w:t xml:space="preserve">for each criterion </w:t>
      </w:r>
      <w:r w:rsidR="00ED10B0">
        <w:t>as set out in Section 6.1 of the Grant Opportunity Guidelines</w:t>
      </w:r>
      <w:r w:rsidR="00BE4283" w:rsidRPr="00BE4283">
        <w:t xml:space="preserve">. </w:t>
      </w:r>
    </w:p>
    <w:p w14:paraId="0991E2B5" w14:textId="77777777" w:rsidR="00A73AE4" w:rsidRDefault="00A73AE4">
      <w:pPr>
        <w:spacing w:after="160"/>
      </w:pPr>
      <w:r>
        <w:br w:type="page"/>
      </w:r>
    </w:p>
    <w:p w14:paraId="6F788B6D" w14:textId="77777777" w:rsidR="00F170EB" w:rsidRDefault="00F170EB" w:rsidP="00405980">
      <w:pPr>
        <w:pStyle w:val="Heading2"/>
        <w:spacing w:after="240"/>
      </w:pPr>
      <w:r>
        <w:lastRenderedPageBreak/>
        <w:t>Our organisation</w:t>
      </w:r>
      <w:r w:rsidRPr="00F12F6A">
        <w:t xml:space="preserve"> is a company limited by guarantee with</w:t>
      </w:r>
      <w:r>
        <w:t xml:space="preserve"> Australian Charities and Not-for-profits Commission (</w:t>
      </w:r>
      <w:r w:rsidRPr="00F12F6A">
        <w:t>ACNC</w:t>
      </w:r>
      <w:r>
        <w:t>)</w:t>
      </w:r>
      <w:r w:rsidRPr="00F12F6A">
        <w:t xml:space="preserve"> status. Are we eligible for th</w:t>
      </w:r>
      <w:r>
        <w:t>is</w:t>
      </w:r>
      <w:r w:rsidRPr="00F12F6A">
        <w:t xml:space="preserve"> </w:t>
      </w:r>
      <w:r>
        <w:t>program</w:t>
      </w:r>
      <w:r w:rsidRPr="00F12F6A">
        <w:t>?</w:t>
      </w:r>
    </w:p>
    <w:p w14:paraId="0687E750" w14:textId="77777777" w:rsidR="00F170EB" w:rsidRPr="00F12F6A" w:rsidRDefault="00F170EB" w:rsidP="00F170EB">
      <w:pPr>
        <w:spacing w:after="0"/>
        <w:ind w:left="360"/>
      </w:pPr>
      <w:r w:rsidRPr="00F12F6A">
        <w:t>To be eligible, under Section Under Section 4.1 of the Grant Opportunity Guidelines, you must:</w:t>
      </w:r>
    </w:p>
    <w:p w14:paraId="26C19BFD" w14:textId="77777777" w:rsidR="00F170EB" w:rsidRPr="00F12F6A" w:rsidRDefault="00F170EB" w:rsidP="00F170EB">
      <w:pPr>
        <w:spacing w:after="0"/>
        <w:ind w:left="360"/>
      </w:pPr>
    </w:p>
    <w:p w14:paraId="6C8A0E07" w14:textId="77777777" w:rsidR="00F170EB" w:rsidRDefault="00F170EB" w:rsidP="00F170EB">
      <w:pPr>
        <w:pStyle w:val="ListParagraph"/>
        <w:numPr>
          <w:ilvl w:val="0"/>
          <w:numId w:val="3"/>
        </w:numPr>
        <w:spacing w:after="0"/>
      </w:pPr>
      <w:r>
        <w:t>have an Australian Business Number (ABN)</w:t>
      </w:r>
    </w:p>
    <w:p w14:paraId="07490993" w14:textId="77777777" w:rsidR="00F170EB" w:rsidRDefault="00F170EB" w:rsidP="00F170EB">
      <w:pPr>
        <w:pStyle w:val="ListParagraph"/>
        <w:numPr>
          <w:ilvl w:val="0"/>
          <w:numId w:val="3"/>
        </w:numPr>
        <w:spacing w:after="0"/>
      </w:pPr>
      <w:r>
        <w:t>be registered for the Goods and Services Tax (GST), and</w:t>
      </w:r>
    </w:p>
    <w:p w14:paraId="1800F697" w14:textId="77777777" w:rsidR="00F170EB" w:rsidRDefault="00F170EB" w:rsidP="00F170EB">
      <w:pPr>
        <w:pStyle w:val="ListParagraph"/>
        <w:numPr>
          <w:ilvl w:val="0"/>
          <w:numId w:val="3"/>
        </w:numPr>
        <w:spacing w:after="0"/>
      </w:pPr>
      <w:r>
        <w:t>be a not-for-profit organisation, and</w:t>
      </w:r>
    </w:p>
    <w:p w14:paraId="7800BC72" w14:textId="77777777" w:rsidR="00F170EB" w:rsidRDefault="00F170EB" w:rsidP="00F170EB">
      <w:pPr>
        <w:pStyle w:val="ListParagraph"/>
        <w:numPr>
          <w:ilvl w:val="0"/>
          <w:numId w:val="3"/>
        </w:numPr>
        <w:spacing w:after="0"/>
      </w:pPr>
      <w:r>
        <w:t>an entity incorporated in Australia.</w:t>
      </w:r>
    </w:p>
    <w:p w14:paraId="4F4A4717" w14:textId="77777777" w:rsidR="00F170EB" w:rsidRPr="00F12F6A" w:rsidRDefault="00F170EB" w:rsidP="00F170EB">
      <w:pPr>
        <w:spacing w:after="0"/>
        <w:ind w:left="1440"/>
      </w:pPr>
    </w:p>
    <w:p w14:paraId="6F9629ED" w14:textId="77777777" w:rsidR="00F170EB" w:rsidRDefault="00F170EB" w:rsidP="00405980">
      <w:pPr>
        <w:ind w:left="360"/>
      </w:pPr>
      <w:r>
        <w:t>W</w:t>
      </w:r>
      <w:r w:rsidRPr="00F12F6A">
        <w:t xml:space="preserve">e undertake an eligibility check once you have submitted your application. If you are </w:t>
      </w:r>
      <w:r>
        <w:t>in</w:t>
      </w:r>
      <w:r w:rsidRPr="00F12F6A">
        <w:t xml:space="preserve">eligible, we will identify this at that </w:t>
      </w:r>
      <w:proofErr w:type="gramStart"/>
      <w:r w:rsidRPr="00F12F6A">
        <w:t>time</w:t>
      </w:r>
      <w:proofErr w:type="gramEnd"/>
      <w:r>
        <w:t xml:space="preserve"> and you will be notified</w:t>
      </w:r>
      <w:r w:rsidRPr="00F12F6A">
        <w:t>.</w:t>
      </w:r>
    </w:p>
    <w:p w14:paraId="0B3E6613" w14:textId="0B39A065" w:rsidR="00E07F53" w:rsidRDefault="00805BAF" w:rsidP="0022776A">
      <w:pPr>
        <w:pStyle w:val="Heading2"/>
      </w:pPr>
      <w:r w:rsidRPr="00E07F53">
        <w:t xml:space="preserve">We are a for-profit organisation </w:t>
      </w:r>
      <w:r w:rsidR="007F7CF4">
        <w:t>–</w:t>
      </w:r>
      <w:r w:rsidRPr="00E07F53">
        <w:t xml:space="preserve"> are we still eligible?</w:t>
      </w:r>
      <w:r w:rsidR="00BE48E7">
        <w:t xml:space="preserve"> </w:t>
      </w:r>
    </w:p>
    <w:p w14:paraId="62505FFB" w14:textId="70D5B5B9" w:rsidR="00195030" w:rsidRDefault="00A37725" w:rsidP="0022776A">
      <w:pPr>
        <w:spacing w:before="240"/>
        <w:ind w:left="360"/>
      </w:pPr>
      <w:bookmarkStart w:id="1" w:name="_Hlk158294471"/>
      <w:bookmarkStart w:id="2" w:name="_Hlk158288140"/>
      <w:r>
        <w:t>F</w:t>
      </w:r>
      <w:r w:rsidR="00195030">
        <w:t>or-profit organisations are not eligible.</w:t>
      </w:r>
    </w:p>
    <w:p w14:paraId="43726FA8" w14:textId="3696FC5A" w:rsidR="00BE48E7" w:rsidRDefault="00BE48E7" w:rsidP="007F1A1E">
      <w:pPr>
        <w:spacing w:after="0"/>
        <w:ind w:left="360"/>
      </w:pPr>
      <w:r>
        <w:t>Under Section 4.1 of the Grant Opportunity Guidelines, to be eligible you must:</w:t>
      </w:r>
    </w:p>
    <w:p w14:paraId="18325108" w14:textId="77777777" w:rsidR="00BE48E7" w:rsidRDefault="00BE48E7" w:rsidP="00BE48E7">
      <w:pPr>
        <w:pStyle w:val="ListParagraph"/>
        <w:numPr>
          <w:ilvl w:val="0"/>
          <w:numId w:val="3"/>
        </w:numPr>
        <w:spacing w:after="0"/>
      </w:pPr>
      <w:r>
        <w:t>have an Australian Business Number (ABN)</w:t>
      </w:r>
    </w:p>
    <w:p w14:paraId="5D5B60F1" w14:textId="77777777" w:rsidR="00BE48E7" w:rsidRDefault="00BE48E7" w:rsidP="00BE48E7">
      <w:pPr>
        <w:pStyle w:val="ListParagraph"/>
        <w:numPr>
          <w:ilvl w:val="0"/>
          <w:numId w:val="3"/>
        </w:numPr>
        <w:spacing w:after="0"/>
      </w:pPr>
      <w:r>
        <w:t>be registered for the Goods and Services Tax (GST), and</w:t>
      </w:r>
    </w:p>
    <w:p w14:paraId="15A2F0DE" w14:textId="77777777" w:rsidR="00BE48E7" w:rsidRDefault="00BE48E7" w:rsidP="00BE48E7">
      <w:pPr>
        <w:pStyle w:val="ListParagraph"/>
        <w:numPr>
          <w:ilvl w:val="0"/>
          <w:numId w:val="3"/>
        </w:numPr>
        <w:spacing w:after="0"/>
      </w:pPr>
      <w:r>
        <w:t>be a not-for-profit organisation, and</w:t>
      </w:r>
    </w:p>
    <w:p w14:paraId="4B007528" w14:textId="56120083" w:rsidR="00BE48E7" w:rsidRDefault="00BE48E7" w:rsidP="00BE48E7">
      <w:pPr>
        <w:pStyle w:val="ListParagraph"/>
        <w:numPr>
          <w:ilvl w:val="0"/>
          <w:numId w:val="3"/>
        </w:numPr>
        <w:spacing w:after="0"/>
      </w:pPr>
      <w:r>
        <w:t>an entity incorporated in Australia</w:t>
      </w:r>
      <w:r w:rsidR="004D22D1">
        <w:t>.</w:t>
      </w:r>
    </w:p>
    <w:p w14:paraId="2E7309F7" w14:textId="51CB9F95" w:rsidR="00A42D60" w:rsidRDefault="00BE48E7" w:rsidP="00405980">
      <w:pPr>
        <w:spacing w:before="240" w:after="0"/>
        <w:ind w:left="360"/>
      </w:pPr>
      <w:r w:rsidRPr="00BE48E7">
        <w:t xml:space="preserve">Joint applications (consortia) are acceptable, provided you have a lead </w:t>
      </w:r>
      <w:r w:rsidR="00A37725">
        <w:t xml:space="preserve">not-for-profit </w:t>
      </w:r>
      <w:r w:rsidRPr="00BE48E7">
        <w:t xml:space="preserve">organisation </w:t>
      </w:r>
      <w:r w:rsidR="00A37725">
        <w:t xml:space="preserve">that is an eligible entity, and </w:t>
      </w:r>
      <w:r w:rsidRPr="00BE48E7">
        <w:t>who is the main driver of the project and is eligible to apply.</w:t>
      </w:r>
      <w:bookmarkEnd w:id="1"/>
      <w:r w:rsidRPr="00BE48E7">
        <w:t xml:space="preserve"> For further information on joint applications, refer to section 7.2 of the </w:t>
      </w:r>
      <w:bookmarkEnd w:id="2"/>
      <w:r w:rsidR="00B810AE">
        <w:t>G</w:t>
      </w:r>
      <w:r w:rsidRPr="00BE48E7">
        <w:t xml:space="preserve">rant </w:t>
      </w:r>
      <w:r w:rsidR="00B810AE">
        <w:t>O</w:t>
      </w:r>
      <w:r w:rsidRPr="00BE48E7">
        <w:t xml:space="preserve">pportunity </w:t>
      </w:r>
      <w:r w:rsidR="00B810AE">
        <w:t>G</w:t>
      </w:r>
      <w:r w:rsidRPr="00BE48E7">
        <w:t>uidelines.</w:t>
      </w:r>
    </w:p>
    <w:p w14:paraId="3B21D333" w14:textId="77777777" w:rsidR="00A42D60" w:rsidRDefault="00A42D60" w:rsidP="00405980">
      <w:pPr>
        <w:spacing w:before="240"/>
        <w:ind w:left="360"/>
      </w:pPr>
      <w:r>
        <w:t>W</w:t>
      </w:r>
      <w:r w:rsidRPr="00F12F6A">
        <w:t xml:space="preserve">e undertake an eligibility check once you have submitted your application. If you are </w:t>
      </w:r>
      <w:r>
        <w:t>in</w:t>
      </w:r>
      <w:r w:rsidRPr="00F12F6A">
        <w:t xml:space="preserve">eligible, we will identify this at that </w:t>
      </w:r>
      <w:proofErr w:type="gramStart"/>
      <w:r w:rsidRPr="00F12F6A">
        <w:t>time</w:t>
      </w:r>
      <w:proofErr w:type="gramEnd"/>
      <w:r>
        <w:t xml:space="preserve"> and you will be notified</w:t>
      </w:r>
      <w:r w:rsidRPr="00F12F6A">
        <w:t>.</w:t>
      </w:r>
    </w:p>
    <w:p w14:paraId="055E6AB9" w14:textId="0FAC124D" w:rsidR="00BD26C6" w:rsidRDefault="00805BAF" w:rsidP="00BD26C6">
      <w:pPr>
        <w:pStyle w:val="Heading2"/>
      </w:pPr>
      <w:r w:rsidRPr="00BD26C6">
        <w:t xml:space="preserve">Our organisation falls in to the PFRO category, would it be allowable for </w:t>
      </w:r>
      <w:r w:rsidR="00B13DE9">
        <w:t>our organisation</w:t>
      </w:r>
      <w:r w:rsidRPr="00BD26C6">
        <w:t xml:space="preserve"> to join a </w:t>
      </w:r>
      <w:proofErr w:type="gramStart"/>
      <w:r w:rsidRPr="00BD26C6">
        <w:t>consortia</w:t>
      </w:r>
      <w:proofErr w:type="gramEnd"/>
      <w:r w:rsidRPr="00BD26C6">
        <w:t xml:space="preserve"> as a member of the group? Our organisation would not be the lead </w:t>
      </w:r>
      <w:proofErr w:type="gramStart"/>
      <w:r w:rsidRPr="00BD26C6">
        <w:t>applicant, but</w:t>
      </w:r>
      <w:proofErr w:type="gramEnd"/>
      <w:r w:rsidRPr="00BD26C6">
        <w:t xml:space="preserve"> would provide services as part of the program.</w:t>
      </w:r>
    </w:p>
    <w:p w14:paraId="4A801E76" w14:textId="45B02313" w:rsidR="00FE4BC3" w:rsidRDefault="00BD26C6" w:rsidP="00405980">
      <w:pPr>
        <w:spacing w:before="240" w:after="0"/>
        <w:ind w:left="360"/>
      </w:pPr>
      <w:r w:rsidRPr="00BD26C6">
        <w:t xml:space="preserve">Public Funded Research Organisations are not eligible to apply, however joint applications (consortia) are acceptable, provided you have a lead </w:t>
      </w:r>
      <w:r w:rsidR="00A37725">
        <w:t xml:space="preserve">not-for-profit </w:t>
      </w:r>
      <w:r w:rsidRPr="00BD26C6">
        <w:t>organisation</w:t>
      </w:r>
      <w:r w:rsidR="00A37725">
        <w:t xml:space="preserve"> that is an eligible entity, and</w:t>
      </w:r>
      <w:r w:rsidRPr="00BD26C6">
        <w:t xml:space="preserve"> who is the main driver of the project and is eligible to apply. For further information on joint applications, refer to section 7.2 of the </w:t>
      </w:r>
      <w:r w:rsidR="00B810AE">
        <w:t>G</w:t>
      </w:r>
      <w:r w:rsidRPr="00BD26C6">
        <w:t xml:space="preserve">rant </w:t>
      </w:r>
      <w:r w:rsidR="00B810AE">
        <w:t>O</w:t>
      </w:r>
      <w:r w:rsidRPr="00BD26C6">
        <w:t xml:space="preserve">pportunity </w:t>
      </w:r>
      <w:r w:rsidR="00B810AE">
        <w:t>G</w:t>
      </w:r>
      <w:r w:rsidRPr="00BD26C6">
        <w:t>uidelines.</w:t>
      </w:r>
      <w:r w:rsidR="00FE4BC3">
        <w:br w:type="page"/>
      </w:r>
    </w:p>
    <w:p w14:paraId="1CA1DC23" w14:textId="64E5D697" w:rsidR="00760CA1" w:rsidRPr="00BE48E7" w:rsidRDefault="00760CA1" w:rsidP="00FE4BC3">
      <w:pPr>
        <w:pStyle w:val="Heading2"/>
      </w:pPr>
      <w:r w:rsidRPr="00BE48E7">
        <w:lastRenderedPageBreak/>
        <w:t xml:space="preserve">Can </w:t>
      </w:r>
      <w:r w:rsidR="00E60F13">
        <w:t xml:space="preserve">you </w:t>
      </w:r>
      <w:r w:rsidRPr="00BE48E7">
        <w:t>give any indication of:</w:t>
      </w:r>
    </w:p>
    <w:p w14:paraId="0886DF2B" w14:textId="0E8567E2" w:rsidR="00760CA1" w:rsidRPr="008E3D4E" w:rsidRDefault="00760CA1" w:rsidP="008E3D4E">
      <w:pPr>
        <w:pStyle w:val="Heading3"/>
      </w:pPr>
      <w:r w:rsidRPr="008E3D4E">
        <w:t>the number of SMEs the Industry Growth Program will support</w:t>
      </w:r>
    </w:p>
    <w:p w14:paraId="41F6E975" w14:textId="3960E84A" w:rsidR="00805BAF" w:rsidRPr="008E3D4E" w:rsidRDefault="00760CA1" w:rsidP="008E3D4E">
      <w:pPr>
        <w:pStyle w:val="Heading3"/>
      </w:pPr>
      <w:r w:rsidRPr="008E3D4E">
        <w:t>whether there are any targets for the number of SMEs supported in each of the National Reconstruction Priority areas</w:t>
      </w:r>
      <w:r w:rsidR="0091209E" w:rsidRPr="008E3D4E">
        <w:t>.</w:t>
      </w:r>
    </w:p>
    <w:p w14:paraId="5BB8BF9F" w14:textId="650366B3" w:rsidR="001C450C" w:rsidRDefault="004D22D1" w:rsidP="007F1A1E">
      <w:pPr>
        <w:spacing w:before="240" w:after="0"/>
        <w:ind w:left="360"/>
      </w:pPr>
      <w:r>
        <w:t>We anticipate appro</w:t>
      </w:r>
      <w:r w:rsidR="001C6D3E">
        <w:t xml:space="preserve">ximately 2,000 SMEs per year </w:t>
      </w:r>
      <w:r w:rsidR="00A37725">
        <w:t xml:space="preserve">may </w:t>
      </w:r>
      <w:r w:rsidR="001C6D3E">
        <w:t>apply and be eligible for advice under the Industry Growth Program. However, t</w:t>
      </w:r>
      <w:r w:rsidR="001C450C">
        <w:t>he number of SMEs that will be supported by the Industry Partner Organisations is dependent on the number of</w:t>
      </w:r>
      <w:r w:rsidR="00803B55">
        <w:t xml:space="preserve"> applicants to the program and the number of</w:t>
      </w:r>
      <w:r w:rsidR="001C450C">
        <w:t xml:space="preserve"> referrals from Industry Growth Program Advisers</w:t>
      </w:r>
      <w:r w:rsidR="00A37725">
        <w:t xml:space="preserve"> or the Department</w:t>
      </w:r>
      <w:r w:rsidR="001C450C">
        <w:t>.</w:t>
      </w:r>
    </w:p>
    <w:p w14:paraId="672DD76D" w14:textId="402AD024" w:rsidR="001C450C" w:rsidRDefault="001C450C" w:rsidP="0035601F">
      <w:pPr>
        <w:spacing w:before="240" w:after="240"/>
        <w:ind w:left="357"/>
      </w:pPr>
      <w:r>
        <w:t xml:space="preserve">There are no set targets for the number of SMEs supported in each of the National Reconstruction Priority areas. </w:t>
      </w:r>
    </w:p>
    <w:p w14:paraId="408E6761" w14:textId="2C32C0A1" w:rsidR="00E60F13" w:rsidRDefault="00E60F13" w:rsidP="00FE4BC3">
      <w:pPr>
        <w:pStyle w:val="Heading2"/>
      </w:pPr>
      <w:r w:rsidRPr="00E60F13">
        <w:t>We are in the process of being incorporated but unsure if it will be completed by the closing date for EOI applications, can we still apply?</w:t>
      </w:r>
    </w:p>
    <w:p w14:paraId="04B701FB" w14:textId="0887D8B0" w:rsidR="00E60F13" w:rsidRDefault="00E60F13" w:rsidP="007F1A1E">
      <w:pPr>
        <w:spacing w:before="240"/>
        <w:ind w:left="360"/>
      </w:pPr>
      <w:r>
        <w:t>The Industry Growth</w:t>
      </w:r>
      <w:r w:rsidR="00F170EB">
        <w:t xml:space="preserve"> Program</w:t>
      </w:r>
      <w:r>
        <w:t xml:space="preserve"> – Industry Partner Organisation </w:t>
      </w:r>
      <w:r w:rsidR="00F170EB">
        <w:t xml:space="preserve">grant opportunity </w:t>
      </w:r>
      <w:r>
        <w:t>guidelines state in Section 4.2 Eligibility criteria</w:t>
      </w:r>
      <w:r w:rsidR="0091209E">
        <w:t xml:space="preserve"> that we</w:t>
      </w:r>
      <w:r>
        <w:t xml:space="preserve"> cannot waive the eligibility criteria under any circumstances.</w:t>
      </w:r>
      <w:r w:rsidR="0091209E">
        <w:t xml:space="preserve"> </w:t>
      </w:r>
      <w:r w:rsidR="002922E1">
        <w:t>You</w:t>
      </w:r>
      <w:r>
        <w:t xml:space="preserve"> </w:t>
      </w:r>
      <w:r w:rsidR="002922E1">
        <w:t>must be</w:t>
      </w:r>
      <w:r>
        <w:t xml:space="preserve"> eligible to apply </w:t>
      </w:r>
      <w:r w:rsidR="0091209E">
        <w:t>at</w:t>
      </w:r>
      <w:r>
        <w:t xml:space="preserve"> the </w:t>
      </w:r>
      <w:r w:rsidR="002922E1">
        <w:t xml:space="preserve">time you submit your application for the </w:t>
      </w:r>
      <w:r>
        <w:t>Stage One: EOI.</w:t>
      </w:r>
    </w:p>
    <w:p w14:paraId="629E7F8A" w14:textId="118E924B" w:rsidR="00E60F13" w:rsidRPr="007F229C" w:rsidRDefault="001E510E" w:rsidP="00FE4BC3">
      <w:pPr>
        <w:pStyle w:val="Heading2"/>
      </w:pPr>
      <w:r w:rsidRPr="007F229C">
        <w:t xml:space="preserve">Will the IGP-IPO funding be able to be used to benefit applicant’s existing &amp;/or potential members, </w:t>
      </w:r>
      <w:proofErr w:type="gramStart"/>
      <w:r w:rsidRPr="007F229C">
        <w:t>as long as</w:t>
      </w:r>
      <w:proofErr w:type="gramEnd"/>
      <w:r w:rsidRPr="007F229C">
        <w:t xml:space="preserve"> it includes IGP program participants, or will it be limited to only being used to service IGP Program participants?</w:t>
      </w:r>
    </w:p>
    <w:p w14:paraId="68FCBC80" w14:textId="5CDE7366" w:rsidR="001E510E" w:rsidRPr="007F229C" w:rsidRDefault="001E510E" w:rsidP="007F1A1E">
      <w:pPr>
        <w:pStyle w:val="ListParagraph"/>
        <w:spacing w:before="240"/>
        <w:ind w:left="360"/>
      </w:pPr>
      <w:r w:rsidRPr="007F229C">
        <w:t xml:space="preserve">IPO grant funding must be used exclusively to provide </w:t>
      </w:r>
      <w:r w:rsidR="0091209E" w:rsidRPr="0091209E">
        <w:rPr>
          <w:rFonts w:cstheme="minorHAnsi"/>
        </w:rPr>
        <w:t>specialised advisory services</w:t>
      </w:r>
      <w:r w:rsidRPr="007F229C">
        <w:t xml:space="preserve"> to </w:t>
      </w:r>
      <w:r w:rsidR="0091209E">
        <w:t xml:space="preserve">SMEs </w:t>
      </w:r>
      <w:r w:rsidRPr="007F229C">
        <w:t xml:space="preserve">referred </w:t>
      </w:r>
      <w:r w:rsidR="0091209E">
        <w:t xml:space="preserve">by </w:t>
      </w:r>
      <w:r w:rsidR="0091209E" w:rsidRPr="007F229C">
        <w:t>Industry Growth Program Advisers</w:t>
      </w:r>
      <w:r w:rsidR="00F170EB">
        <w:t xml:space="preserve"> or the Department</w:t>
      </w:r>
      <w:r w:rsidRPr="007F229C">
        <w:t>.</w:t>
      </w:r>
    </w:p>
    <w:p w14:paraId="5F0DA98B" w14:textId="2767AD76" w:rsidR="001E510E" w:rsidRPr="007F229C" w:rsidRDefault="00E400F4" w:rsidP="00FE4BC3">
      <w:pPr>
        <w:pStyle w:val="Heading2"/>
      </w:pPr>
      <w:r w:rsidRPr="007F229C">
        <w:t>How are SMEs transitioned from the initial advice and assessment phase to speciali</w:t>
      </w:r>
      <w:r w:rsidR="0098354A">
        <w:t>s</w:t>
      </w:r>
      <w:r w:rsidRPr="007F229C">
        <w:t>ed support provided by an IPO?</w:t>
      </w:r>
    </w:p>
    <w:p w14:paraId="0E8D90BC" w14:textId="403A8EC4" w:rsidR="00E400F4" w:rsidRPr="007F229C" w:rsidRDefault="00E400F4" w:rsidP="00F95E1C">
      <w:pPr>
        <w:spacing w:before="240" w:after="240"/>
        <w:ind w:left="357"/>
      </w:pPr>
      <w:r w:rsidRPr="007F229C">
        <w:t>Industry Growth program participants will be referred by Industry Growth Program Advisers</w:t>
      </w:r>
      <w:r w:rsidR="00F170EB">
        <w:t xml:space="preserve"> or the Department</w:t>
      </w:r>
      <w:r w:rsidRPr="007F229C">
        <w:t xml:space="preserve"> for specialised advisory services provided by industry partner organisations. Please refer to Section 2.1 of the guidelines for further information.</w:t>
      </w:r>
    </w:p>
    <w:p w14:paraId="3D27EF88" w14:textId="7DA9505A" w:rsidR="00E400F4" w:rsidRPr="00D13705" w:rsidRDefault="00D13705" w:rsidP="00FE4BC3">
      <w:pPr>
        <w:pStyle w:val="Heading2"/>
      </w:pPr>
      <w:r>
        <w:t>How does the relationship between an IPO and Industry Growth Program Adviser work in practice</w:t>
      </w:r>
      <w:r w:rsidR="00E400F4" w:rsidRPr="007F229C">
        <w:t>?</w:t>
      </w:r>
      <w:r>
        <w:t xml:space="preserve"> Additionally, </w:t>
      </w:r>
      <w:r w:rsidRPr="0091209E">
        <w:rPr>
          <w:rFonts w:eastAsia="Times New Roman"/>
        </w:rPr>
        <w:t>how are responsibilities and advisory roles delineated between the IPO and the advisers?</w:t>
      </w:r>
    </w:p>
    <w:p w14:paraId="7A8A4331" w14:textId="1C1D8826" w:rsidR="00E400F4" w:rsidRPr="007F229C" w:rsidRDefault="00E400F4" w:rsidP="007F1A1E">
      <w:pPr>
        <w:pStyle w:val="ListParagraph"/>
        <w:spacing w:before="240"/>
        <w:ind w:left="360"/>
      </w:pPr>
      <w:r w:rsidRPr="007F229C">
        <w:t>This is determined by the parties involved and may be influenced by the needs of the program participants. The Advisers and IPOs offer different services to program participants which will influence their responsibilities. Please refer to Section 2.1 of the guidelines for further information.</w:t>
      </w:r>
    </w:p>
    <w:p w14:paraId="6996D13C" w14:textId="637C92BD" w:rsidR="008B559C" w:rsidRPr="007F229C" w:rsidRDefault="008B559C" w:rsidP="00FE4BC3">
      <w:pPr>
        <w:pStyle w:val="Heading2"/>
      </w:pPr>
      <w:r w:rsidRPr="007F229C">
        <w:t>If we’re already supporting NRF priority areas, is our current work eligible for IPO funding?</w:t>
      </w:r>
    </w:p>
    <w:p w14:paraId="417599FF" w14:textId="569F8A5F" w:rsidR="008B559C" w:rsidRPr="007F229C" w:rsidRDefault="008B559C" w:rsidP="00A4237A">
      <w:pPr>
        <w:spacing w:before="240" w:after="240"/>
        <w:ind w:left="357"/>
      </w:pPr>
      <w:r w:rsidRPr="007F229C">
        <w:t xml:space="preserve">IPO grant funding must be used exclusively to provide </w:t>
      </w:r>
      <w:r w:rsidR="00A42D60" w:rsidRPr="0091209E">
        <w:rPr>
          <w:rFonts w:cstheme="minorHAnsi"/>
        </w:rPr>
        <w:t>specialised advisory services</w:t>
      </w:r>
      <w:r w:rsidR="00A42D60" w:rsidRPr="007F229C" w:rsidDel="0091209E">
        <w:t xml:space="preserve"> </w:t>
      </w:r>
      <w:r w:rsidRPr="007F229C">
        <w:t xml:space="preserve">to </w:t>
      </w:r>
      <w:r w:rsidR="00A42D60">
        <w:t xml:space="preserve">SMEs </w:t>
      </w:r>
      <w:r w:rsidRPr="007F229C">
        <w:t xml:space="preserve">referred </w:t>
      </w:r>
      <w:r w:rsidR="00A42D60">
        <w:t xml:space="preserve">by </w:t>
      </w:r>
      <w:r w:rsidR="00A42D60" w:rsidRPr="007F229C">
        <w:t>Industry Growth Program Advisers.</w:t>
      </w:r>
      <w:r w:rsidRPr="007F229C">
        <w:t xml:space="preserve"> Therefore, even if your current work is supporting NRF priority areas, program funding can only be used for the specialised advisory services you provide to referred IGP program participants.</w:t>
      </w:r>
    </w:p>
    <w:p w14:paraId="51F12459" w14:textId="087BFB61" w:rsidR="00B45DBE" w:rsidRDefault="008B559C" w:rsidP="00C93296">
      <w:pPr>
        <w:ind w:left="360"/>
      </w:pPr>
      <w:r w:rsidRPr="007F229C">
        <w:t>Please refer to sections 2.1 and 5.1 of the guidelines for further information relating to the above.</w:t>
      </w:r>
    </w:p>
    <w:p w14:paraId="1970D1E8" w14:textId="37BF1F29" w:rsidR="005B5C64" w:rsidRPr="007F1A1E" w:rsidRDefault="008849B5" w:rsidP="005B5C64">
      <w:pPr>
        <w:pStyle w:val="Heading2"/>
      </w:pPr>
      <w:r w:rsidRPr="008849B5">
        <w:lastRenderedPageBreak/>
        <w:t>Does the assessment preference national or regional-specific (</w:t>
      </w:r>
      <w:proofErr w:type="gramStart"/>
      <w:r w:rsidR="002436CD" w:rsidRPr="008849B5">
        <w:t>e.g.</w:t>
      </w:r>
      <w:proofErr w:type="gramEnd"/>
      <w:r w:rsidRPr="008849B5">
        <w:t xml:space="preserve"> Western Australia) respondents, or would it consider them on an equal footing if the responses are otherwise comparable?</w:t>
      </w:r>
      <w:r w:rsidR="005B5C64">
        <w:t xml:space="preserve"> </w:t>
      </w:r>
      <w:r w:rsidRPr="005B5C64">
        <w:t>Would an otherwise comparable sector specific respondent be assessed on equal terms to one addressing all sectors focused under the NRF?</w:t>
      </w:r>
    </w:p>
    <w:p w14:paraId="32C11FE2" w14:textId="7B3086C0" w:rsidR="005B5C64" w:rsidRPr="005B5C64" w:rsidRDefault="005B5C64" w:rsidP="007F1A1E">
      <w:pPr>
        <w:spacing w:before="240" w:after="0"/>
        <w:ind w:left="360"/>
        <w:rPr>
          <w:rFonts w:ascii="Calibri" w:eastAsia="Times New Roman" w:hAnsi="Calibri" w:cs="Calibri"/>
        </w:rPr>
      </w:pPr>
      <w:r w:rsidRPr="005B5C64">
        <w:rPr>
          <w:rFonts w:ascii="Calibri" w:eastAsia="Times New Roman" w:hAnsi="Calibri" w:cs="Calibri"/>
        </w:rPr>
        <w:t xml:space="preserve">If </w:t>
      </w:r>
      <w:r w:rsidR="00994E0A">
        <w:rPr>
          <w:rFonts w:ascii="Calibri" w:eastAsia="Times New Roman" w:hAnsi="Calibri" w:cs="Calibri"/>
        </w:rPr>
        <w:t xml:space="preserve">your application is </w:t>
      </w:r>
      <w:r w:rsidRPr="005B5C64">
        <w:rPr>
          <w:rFonts w:ascii="Calibri" w:eastAsia="Times New Roman" w:hAnsi="Calibri" w:cs="Calibri"/>
        </w:rPr>
        <w:t xml:space="preserve">eligible, </w:t>
      </w:r>
      <w:r w:rsidR="00994E0A">
        <w:rPr>
          <w:rFonts w:ascii="Calibri" w:eastAsia="Times New Roman" w:hAnsi="Calibri" w:cs="Calibri"/>
        </w:rPr>
        <w:t>an internal p</w:t>
      </w:r>
      <w:r w:rsidR="00E35FAA">
        <w:rPr>
          <w:rFonts w:ascii="Calibri" w:eastAsia="Times New Roman" w:hAnsi="Calibri" w:cs="Calibri"/>
        </w:rPr>
        <w:t>anel</w:t>
      </w:r>
      <w:r w:rsidRPr="005B5C64">
        <w:rPr>
          <w:rFonts w:ascii="Calibri" w:eastAsia="Times New Roman" w:hAnsi="Calibri" w:cs="Calibri"/>
        </w:rPr>
        <w:t xml:space="preserve"> </w:t>
      </w:r>
      <w:r w:rsidR="00994E0A">
        <w:rPr>
          <w:rFonts w:ascii="Calibri" w:eastAsia="Times New Roman" w:hAnsi="Calibri" w:cs="Calibri"/>
        </w:rPr>
        <w:t xml:space="preserve">(see section 8.2 of the </w:t>
      </w:r>
      <w:r w:rsidR="00B810AE">
        <w:rPr>
          <w:rFonts w:ascii="Calibri" w:eastAsia="Times New Roman" w:hAnsi="Calibri" w:cs="Calibri"/>
        </w:rPr>
        <w:t>G</w:t>
      </w:r>
      <w:r w:rsidR="00994E0A">
        <w:rPr>
          <w:rFonts w:ascii="Calibri" w:eastAsia="Times New Roman" w:hAnsi="Calibri" w:cs="Calibri"/>
        </w:rPr>
        <w:t xml:space="preserve">rant </w:t>
      </w:r>
      <w:r w:rsidR="00B810AE">
        <w:rPr>
          <w:rFonts w:ascii="Calibri" w:eastAsia="Times New Roman" w:hAnsi="Calibri" w:cs="Calibri"/>
        </w:rPr>
        <w:t>O</w:t>
      </w:r>
      <w:r w:rsidR="00994E0A">
        <w:rPr>
          <w:rFonts w:ascii="Calibri" w:eastAsia="Times New Roman" w:hAnsi="Calibri" w:cs="Calibri"/>
        </w:rPr>
        <w:t xml:space="preserve">pportunity </w:t>
      </w:r>
      <w:r w:rsidR="00B810AE">
        <w:rPr>
          <w:rFonts w:ascii="Calibri" w:eastAsia="Times New Roman" w:hAnsi="Calibri" w:cs="Calibri"/>
        </w:rPr>
        <w:t>G</w:t>
      </w:r>
      <w:r w:rsidR="00994E0A">
        <w:rPr>
          <w:rFonts w:ascii="Calibri" w:eastAsia="Times New Roman" w:hAnsi="Calibri" w:cs="Calibri"/>
        </w:rPr>
        <w:t xml:space="preserve">uidelines) </w:t>
      </w:r>
      <w:r w:rsidRPr="005B5C64">
        <w:rPr>
          <w:rFonts w:ascii="Calibri" w:eastAsia="Times New Roman" w:hAnsi="Calibri" w:cs="Calibri"/>
        </w:rPr>
        <w:t>will</w:t>
      </w:r>
      <w:r w:rsidRPr="005B5C64" w:rsidDel="001A0D37">
        <w:rPr>
          <w:rFonts w:ascii="Calibri" w:eastAsia="Times New Roman" w:hAnsi="Calibri" w:cs="Calibri"/>
        </w:rPr>
        <w:t xml:space="preserve"> </w:t>
      </w:r>
      <w:r w:rsidRPr="005B5C64">
        <w:rPr>
          <w:rFonts w:ascii="Calibri" w:eastAsia="Times New Roman" w:hAnsi="Calibri" w:cs="Calibri"/>
        </w:rPr>
        <w:t xml:space="preserve">assess your application against the </w:t>
      </w:r>
      <w:r w:rsidR="00E35FAA">
        <w:rPr>
          <w:rFonts w:ascii="Calibri" w:eastAsia="Times New Roman" w:hAnsi="Calibri" w:cs="Calibri"/>
        </w:rPr>
        <w:t xml:space="preserve">EOI </w:t>
      </w:r>
      <w:r w:rsidRPr="005B5C64">
        <w:rPr>
          <w:rFonts w:ascii="Calibri" w:eastAsia="Times New Roman" w:hAnsi="Calibri" w:cs="Calibri"/>
        </w:rPr>
        <w:t xml:space="preserve">assessment criteria (see section 6 of the </w:t>
      </w:r>
      <w:r w:rsidR="00B810AE">
        <w:rPr>
          <w:rFonts w:ascii="Calibri" w:eastAsia="Times New Roman" w:hAnsi="Calibri" w:cs="Calibri"/>
        </w:rPr>
        <w:t>G</w:t>
      </w:r>
      <w:r w:rsidRPr="005B5C64">
        <w:rPr>
          <w:rFonts w:ascii="Calibri" w:eastAsia="Times New Roman" w:hAnsi="Calibri" w:cs="Calibri"/>
        </w:rPr>
        <w:t xml:space="preserve">rant </w:t>
      </w:r>
      <w:r w:rsidR="00B810AE">
        <w:rPr>
          <w:rFonts w:ascii="Calibri" w:eastAsia="Times New Roman" w:hAnsi="Calibri" w:cs="Calibri"/>
        </w:rPr>
        <w:t>O</w:t>
      </w:r>
      <w:r w:rsidRPr="005B5C64">
        <w:rPr>
          <w:rFonts w:ascii="Calibri" w:eastAsia="Times New Roman" w:hAnsi="Calibri" w:cs="Calibri"/>
        </w:rPr>
        <w:t xml:space="preserve">pportunity </w:t>
      </w:r>
      <w:r w:rsidR="00B810AE">
        <w:rPr>
          <w:rFonts w:ascii="Calibri" w:eastAsia="Times New Roman" w:hAnsi="Calibri" w:cs="Calibri"/>
        </w:rPr>
        <w:t>G</w:t>
      </w:r>
      <w:r w:rsidRPr="005B5C64">
        <w:rPr>
          <w:rFonts w:ascii="Calibri" w:eastAsia="Times New Roman" w:hAnsi="Calibri" w:cs="Calibri"/>
        </w:rPr>
        <w:t xml:space="preserve">uidelines) and against other </w:t>
      </w:r>
      <w:r w:rsidR="00E35FAA">
        <w:rPr>
          <w:rFonts w:ascii="Calibri" w:eastAsia="Times New Roman" w:hAnsi="Calibri" w:cs="Calibri"/>
        </w:rPr>
        <w:t xml:space="preserve">eligible </w:t>
      </w:r>
      <w:r w:rsidRPr="005B5C64">
        <w:rPr>
          <w:rFonts w:ascii="Calibri" w:eastAsia="Times New Roman" w:hAnsi="Calibri" w:cs="Calibri"/>
        </w:rPr>
        <w:t xml:space="preserve">applications. </w:t>
      </w:r>
      <w:r w:rsidR="00E35FAA">
        <w:rPr>
          <w:rFonts w:ascii="Calibri" w:eastAsia="Times New Roman" w:hAnsi="Calibri" w:cs="Calibri"/>
        </w:rPr>
        <w:t xml:space="preserve">The </w:t>
      </w:r>
      <w:r w:rsidR="00994E0A">
        <w:rPr>
          <w:rFonts w:ascii="Calibri" w:eastAsia="Times New Roman" w:hAnsi="Calibri" w:cs="Calibri"/>
        </w:rPr>
        <w:t>p</w:t>
      </w:r>
      <w:r w:rsidR="00E35FAA">
        <w:rPr>
          <w:rFonts w:ascii="Calibri" w:eastAsia="Times New Roman" w:hAnsi="Calibri" w:cs="Calibri"/>
        </w:rPr>
        <w:t>anel</w:t>
      </w:r>
      <w:r w:rsidRPr="005B5C64">
        <w:rPr>
          <w:rFonts w:ascii="Calibri" w:eastAsia="Times New Roman" w:hAnsi="Calibri" w:cs="Calibri"/>
        </w:rPr>
        <w:t xml:space="preserve"> will consider your application on its merits, based on:</w:t>
      </w:r>
    </w:p>
    <w:p w14:paraId="35F0F433" w14:textId="6F1F8463" w:rsidR="005B5C64" w:rsidRPr="00E35FAA" w:rsidRDefault="005B5C64" w:rsidP="00E35FAA">
      <w:pPr>
        <w:pStyle w:val="ListParagraph"/>
        <w:numPr>
          <w:ilvl w:val="0"/>
          <w:numId w:val="19"/>
        </w:numPr>
        <w:spacing w:after="0"/>
      </w:pPr>
      <w:r w:rsidRPr="00E35FAA">
        <w:t xml:space="preserve">how well it meets the criteria </w:t>
      </w:r>
    </w:p>
    <w:p w14:paraId="77D50CDC" w14:textId="16D5FD68" w:rsidR="005B5C64" w:rsidRPr="00E35FAA" w:rsidRDefault="005B5C64" w:rsidP="00E35FAA">
      <w:pPr>
        <w:pStyle w:val="ListParagraph"/>
        <w:numPr>
          <w:ilvl w:val="0"/>
          <w:numId w:val="19"/>
        </w:numPr>
        <w:spacing w:after="0"/>
      </w:pPr>
      <w:r w:rsidRPr="00E35FAA">
        <w:t>how it compares to other applications</w:t>
      </w:r>
    </w:p>
    <w:p w14:paraId="435B46F0" w14:textId="5680E2CF" w:rsidR="005B5C64" w:rsidRPr="005B5C64" w:rsidRDefault="005B5C64" w:rsidP="00E35FAA">
      <w:pPr>
        <w:pStyle w:val="ListParagraph"/>
        <w:numPr>
          <w:ilvl w:val="0"/>
          <w:numId w:val="19"/>
        </w:numPr>
        <w:spacing w:after="0"/>
        <w:rPr>
          <w:rFonts w:ascii="Calibri" w:eastAsia="Times New Roman" w:hAnsi="Calibri" w:cs="Calibri"/>
        </w:rPr>
      </w:pPr>
      <w:r w:rsidRPr="00E35FAA">
        <w:t>the</w:t>
      </w:r>
      <w:r w:rsidRPr="005B5C64">
        <w:rPr>
          <w:rFonts w:ascii="Calibri" w:eastAsia="Times New Roman" w:hAnsi="Calibri" w:cs="Calibri"/>
        </w:rPr>
        <w:t xml:space="preserve"> distribution of meritorious EOIs across NRF priority areas.</w:t>
      </w:r>
    </w:p>
    <w:p w14:paraId="788389A8" w14:textId="2F4EA127" w:rsidR="001C450C" w:rsidRDefault="00E35FAA" w:rsidP="00E35FAA">
      <w:pPr>
        <w:spacing w:before="240" w:after="0"/>
        <w:ind w:left="360"/>
        <w:rPr>
          <w:rFonts w:ascii="Calibri" w:eastAsia="Times New Roman" w:hAnsi="Calibri" w:cs="Calibri"/>
        </w:rPr>
      </w:pPr>
      <w:r>
        <w:rPr>
          <w:rFonts w:ascii="Calibri" w:eastAsia="Times New Roman" w:hAnsi="Calibri" w:cs="Calibri"/>
        </w:rPr>
        <w:t xml:space="preserve">The </w:t>
      </w:r>
      <w:r w:rsidR="00994E0A">
        <w:rPr>
          <w:rFonts w:ascii="Calibri" w:eastAsia="Times New Roman" w:hAnsi="Calibri" w:cs="Calibri"/>
        </w:rPr>
        <w:t>p</w:t>
      </w:r>
      <w:r>
        <w:rPr>
          <w:rFonts w:ascii="Calibri" w:eastAsia="Times New Roman" w:hAnsi="Calibri" w:cs="Calibri"/>
        </w:rPr>
        <w:t>anel</w:t>
      </w:r>
      <w:r w:rsidR="005B5C64" w:rsidRPr="005B5C64">
        <w:rPr>
          <w:rFonts w:ascii="Calibri" w:eastAsia="Times New Roman" w:hAnsi="Calibri" w:cs="Calibri"/>
        </w:rPr>
        <w:t xml:space="preserve"> recommendation</w:t>
      </w:r>
      <w:r w:rsidR="00FD602C">
        <w:rPr>
          <w:rFonts w:ascii="Calibri" w:eastAsia="Times New Roman" w:hAnsi="Calibri" w:cs="Calibri"/>
        </w:rPr>
        <w:t xml:space="preserve">s will inform </w:t>
      </w:r>
      <w:r w:rsidR="005B5C64" w:rsidRPr="005B5C64">
        <w:rPr>
          <w:rFonts w:ascii="Calibri" w:eastAsia="Times New Roman" w:hAnsi="Calibri" w:cs="Calibri"/>
        </w:rPr>
        <w:t xml:space="preserve">which EOIs will proceed to Stage Two. </w:t>
      </w:r>
    </w:p>
    <w:p w14:paraId="3F8E3183" w14:textId="4620129E" w:rsidR="00FD602C" w:rsidRDefault="00FD602C" w:rsidP="00E74BE2">
      <w:pPr>
        <w:spacing w:before="240" w:after="240"/>
        <w:ind w:left="357"/>
        <w:rPr>
          <w:rFonts w:ascii="Calibri" w:eastAsia="Times New Roman" w:hAnsi="Calibri" w:cs="Calibri"/>
        </w:rPr>
      </w:pPr>
      <w:r>
        <w:t>In Stage Two, under the assessment criterion 2 (capacity, capability, and resources to deliver the project), the panel will consider, amongst other things, your ability to provide access to equipment, resources, services and/or support to diverse businesses located across Australia, including in regional and remote areas (see section 6.2.2 of the Grant Opportunity Guidelines).</w:t>
      </w:r>
    </w:p>
    <w:p w14:paraId="42F6EA58" w14:textId="3E041696" w:rsidR="0068442B" w:rsidRPr="008D79C7" w:rsidRDefault="008D79C7" w:rsidP="00FE4BC3">
      <w:pPr>
        <w:pStyle w:val="Heading2"/>
      </w:pPr>
      <w:r>
        <w:t>Can you confirm when the Stage 1 EOI is due as I downloaded the Sample Application form on the day the grant opportunity opened and on page 3 it says 5pm AEDT on 1 March 2024 however the grant opportunity guidelines say 5pm AEDT on 16 February 2024.</w:t>
      </w:r>
    </w:p>
    <w:p w14:paraId="63CEB153" w14:textId="3F04F14B" w:rsidR="00E74BE2" w:rsidRDefault="008D79C7" w:rsidP="00E74BE2">
      <w:pPr>
        <w:spacing w:before="240" w:after="0"/>
        <w:ind w:left="360"/>
      </w:pPr>
      <w:r>
        <w:rPr>
          <w:rFonts w:ascii="Calibri" w:eastAsia="Times New Roman" w:hAnsi="Calibri" w:cs="Calibri"/>
        </w:rPr>
        <w:t xml:space="preserve">The Stage One EOI closes for applications at 5pm AEDT on Friday, 16 February 2024. </w:t>
      </w:r>
      <w:r>
        <w:t xml:space="preserve">We have edited the wording on the Sample Application form to clarify this. </w:t>
      </w:r>
    </w:p>
    <w:p w14:paraId="4496B769" w14:textId="0BE778A3" w:rsidR="00E74BE2" w:rsidRPr="00E74BE2" w:rsidRDefault="00E74BE2" w:rsidP="00E74BE2">
      <w:pPr>
        <w:pStyle w:val="Heading2"/>
        <w:spacing w:before="240"/>
      </w:pPr>
      <w:r>
        <w:t xml:space="preserve">The grant opportunity guidelines say that you are not eligible to apply for the grant if </w:t>
      </w:r>
      <w:r w:rsidRPr="00232112">
        <w:t>you</w:t>
      </w:r>
      <w:r w:rsidR="00F4497D" w:rsidRPr="00232112">
        <w:t xml:space="preserve"> are</w:t>
      </w:r>
      <w:r w:rsidRPr="00232112">
        <w:t xml:space="preserve"> </w:t>
      </w:r>
      <w:r>
        <w:t>a publicly funded research organisation (PFRO) as defined in section 14 of the guidelines. Does this mean that Universities are not eligible to apply for the grant?</w:t>
      </w:r>
    </w:p>
    <w:p w14:paraId="65071C25" w14:textId="1FF9489C" w:rsidR="00E74BE2" w:rsidRDefault="00E74BE2" w:rsidP="00E74BE2">
      <w:pPr>
        <w:spacing w:before="240" w:after="0"/>
        <w:ind w:left="360"/>
      </w:pPr>
      <w:r w:rsidRPr="00BD26C6">
        <w:t xml:space="preserve">Public Funded Research Organisations </w:t>
      </w:r>
      <w:r>
        <w:t xml:space="preserve">(PFRO) </w:t>
      </w:r>
      <w:r w:rsidRPr="00BD26C6">
        <w:t>are not eligible to apply</w:t>
      </w:r>
      <w:r>
        <w:t xml:space="preserve"> for this grant opportunity.</w:t>
      </w:r>
    </w:p>
    <w:p w14:paraId="4CFD7A85" w14:textId="77777777" w:rsidR="00E74BE2" w:rsidRDefault="00E74BE2" w:rsidP="00E74BE2">
      <w:pPr>
        <w:spacing w:before="240" w:after="240"/>
        <w:ind w:left="357"/>
      </w:pPr>
      <w:r>
        <w:t>Section 14 of the Grant Opportunity Guidelines contains the definition of a PFRO as:</w:t>
      </w:r>
    </w:p>
    <w:p w14:paraId="6C56C6EE" w14:textId="77777777" w:rsidR="00E74BE2" w:rsidRDefault="00E74BE2" w:rsidP="00F4497D">
      <w:pPr>
        <w:spacing w:after="240"/>
        <w:ind w:left="720"/>
      </w:pPr>
      <w:r w:rsidRPr="009E3949">
        <w:rPr>
          <w:szCs w:val="20"/>
        </w:rPr>
        <w:t xml:space="preserve">All higher education providers listed at </w:t>
      </w:r>
      <w:hyperlink r:id="rId12" w:history="1">
        <w:r w:rsidRPr="00FD7124">
          <w:rPr>
            <w:rStyle w:val="Hyperlink"/>
            <w:szCs w:val="20"/>
          </w:rPr>
          <w:t>Table A</w:t>
        </w:r>
      </w:hyperlink>
      <w:r w:rsidRPr="009E3949">
        <w:rPr>
          <w:szCs w:val="20"/>
        </w:rPr>
        <w:t xml:space="preserve"> and </w:t>
      </w:r>
      <w:hyperlink r:id="rId13" w:history="1">
        <w:r w:rsidRPr="00FD7124">
          <w:rPr>
            <w:rStyle w:val="Hyperlink"/>
            <w:szCs w:val="20"/>
          </w:rPr>
          <w:t>Table B</w:t>
        </w:r>
      </w:hyperlink>
      <w:r w:rsidRPr="009E3949">
        <w:rPr>
          <w:szCs w:val="20"/>
        </w:rPr>
        <w:t xml:space="preserve"> of the </w:t>
      </w:r>
      <w:r w:rsidRPr="009E3949">
        <w:rPr>
          <w:i/>
          <w:szCs w:val="20"/>
        </w:rPr>
        <w:t>Higher Education Support Act 2003</w:t>
      </w:r>
      <w:r w:rsidRPr="009E3949">
        <w:rPr>
          <w:szCs w:val="20"/>
        </w:rPr>
        <w:t xml:space="preserve"> </w:t>
      </w:r>
      <w:r>
        <w:rPr>
          <w:szCs w:val="20"/>
        </w:rPr>
        <w:t>(</w:t>
      </w:r>
      <w:proofErr w:type="spellStart"/>
      <w:r>
        <w:rPr>
          <w:szCs w:val="20"/>
        </w:rPr>
        <w:t>Cth</w:t>
      </w:r>
      <w:proofErr w:type="spellEnd"/>
      <w:r>
        <w:rPr>
          <w:szCs w:val="20"/>
        </w:rPr>
        <w:t xml:space="preserve">) and corporate </w:t>
      </w:r>
      <w:r>
        <w:t>Commonwealth entities</w:t>
      </w:r>
      <w:r w:rsidRPr="00980550">
        <w:t xml:space="preserve">, </w:t>
      </w:r>
      <w:r>
        <w:t>and s</w:t>
      </w:r>
      <w:r w:rsidRPr="00980550">
        <w:t xml:space="preserve">tate and </w:t>
      </w:r>
      <w:r>
        <w:t>t</w:t>
      </w:r>
      <w:r w:rsidRPr="00980550">
        <w:t xml:space="preserve">erritory </w:t>
      </w:r>
      <w:r>
        <w:rPr>
          <w:szCs w:val="20"/>
        </w:rPr>
        <w:t xml:space="preserve">business enterprises </w:t>
      </w:r>
      <w:r w:rsidRPr="009E3949">
        <w:rPr>
          <w:szCs w:val="20"/>
        </w:rPr>
        <w:t>which undertake publicly funded research.</w:t>
      </w:r>
      <w:r>
        <w:t xml:space="preserve"> </w:t>
      </w:r>
    </w:p>
    <w:p w14:paraId="0D5047DF" w14:textId="46D76F17" w:rsidR="00E74BE2" w:rsidRDefault="00E74BE2" w:rsidP="00E74BE2">
      <w:pPr>
        <w:spacing w:before="240" w:after="240"/>
        <w:ind w:left="357"/>
      </w:pPr>
      <w:r>
        <w:t xml:space="preserve">If your </w:t>
      </w:r>
      <w:r w:rsidR="00F4497D">
        <w:t>u</w:t>
      </w:r>
      <w:r>
        <w:t xml:space="preserve">niversity is listed in either of these </w:t>
      </w:r>
      <w:proofErr w:type="gramStart"/>
      <w:r>
        <w:t>tables</w:t>
      </w:r>
      <w:proofErr w:type="gramEnd"/>
      <w:r>
        <w:t xml:space="preserve"> they are not eligible to apply</w:t>
      </w:r>
      <w:r w:rsidR="00F4497D" w:rsidRPr="00F4497D">
        <w:rPr>
          <w:color w:val="FF0000"/>
        </w:rPr>
        <w:t>;</w:t>
      </w:r>
      <w:r>
        <w:t xml:space="preserve"> h</w:t>
      </w:r>
      <w:r w:rsidRPr="00BD26C6">
        <w:t xml:space="preserve">owever joint applications (consortia) are acceptable, provided you have a lead </w:t>
      </w:r>
      <w:r>
        <w:t xml:space="preserve">not-for-profit </w:t>
      </w:r>
      <w:r w:rsidRPr="00BD26C6">
        <w:t>organisation</w:t>
      </w:r>
      <w:r>
        <w:t xml:space="preserve"> that is an eligible entity, and</w:t>
      </w:r>
      <w:r w:rsidRPr="00BD26C6">
        <w:t xml:space="preserve"> who is the main driver of the project and is eligible to apply. For further information on joint applications, refer to section 7.2 of the </w:t>
      </w:r>
      <w:r>
        <w:t>G</w:t>
      </w:r>
      <w:r w:rsidRPr="00BD26C6">
        <w:t xml:space="preserve">rant </w:t>
      </w:r>
      <w:r>
        <w:t>O</w:t>
      </w:r>
      <w:r w:rsidRPr="00BD26C6">
        <w:t xml:space="preserve">pportunity </w:t>
      </w:r>
      <w:r>
        <w:t>G</w:t>
      </w:r>
      <w:r w:rsidRPr="00BD26C6">
        <w:t>uidelines.</w:t>
      </w:r>
    </w:p>
    <w:p w14:paraId="5BE1FB9E" w14:textId="77777777" w:rsidR="00E74BE2" w:rsidRPr="008D79C7" w:rsidRDefault="00E74BE2" w:rsidP="00E74BE2">
      <w:pPr>
        <w:pStyle w:val="Heading2"/>
        <w:spacing w:before="240" w:after="240"/>
        <w:ind w:left="357" w:hanging="357"/>
      </w:pPr>
      <w:r>
        <w:t>Are Regional Development Australia and Co-operative Research Centres eligible to apply for the IPO program?</w:t>
      </w:r>
    </w:p>
    <w:p w14:paraId="27694290" w14:textId="561CFA4E" w:rsidR="00E74BE2" w:rsidRPr="005B5C64" w:rsidRDefault="00E74BE2" w:rsidP="00E74BE2">
      <w:pPr>
        <w:spacing w:after="0"/>
        <w:ind w:left="360"/>
        <w:rPr>
          <w:rFonts w:ascii="Calibri" w:eastAsia="Times New Roman" w:hAnsi="Calibri" w:cs="Calibri"/>
        </w:rPr>
      </w:pPr>
      <w:r>
        <w:t xml:space="preserve">As Regional Development Australia and Co-operative Research Centres are not Government Business Enterprises, they are eligible to apply for this grant opportunity. A list of </w:t>
      </w:r>
      <w:hyperlink r:id="rId14" w:history="1">
        <w:r w:rsidRPr="00E74BE2">
          <w:rPr>
            <w:rStyle w:val="Hyperlink"/>
          </w:rPr>
          <w:t>Government Business Enterprises</w:t>
        </w:r>
      </w:hyperlink>
      <w:r>
        <w:t xml:space="preserve"> is available.</w:t>
      </w:r>
    </w:p>
    <w:sectPr w:rsidR="00E74BE2" w:rsidRPr="005B5C64" w:rsidSect="008E3D4E">
      <w:headerReference w:type="default" r:id="rId15"/>
      <w:headerReference w:type="first" r:id="rId16"/>
      <w:pgSz w:w="11906" w:h="16838"/>
      <w:pgMar w:top="1440" w:right="1080" w:bottom="1440" w:left="108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FB6BB" w14:textId="77777777" w:rsidR="00480AA9" w:rsidRDefault="00480AA9" w:rsidP="008E3D4E">
      <w:pPr>
        <w:spacing w:after="0" w:line="240" w:lineRule="auto"/>
      </w:pPr>
      <w:r>
        <w:separator/>
      </w:r>
    </w:p>
  </w:endnote>
  <w:endnote w:type="continuationSeparator" w:id="0">
    <w:p w14:paraId="6429AAF1" w14:textId="77777777" w:rsidR="00480AA9" w:rsidRDefault="00480AA9" w:rsidP="008E3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0D24F" w14:textId="77777777" w:rsidR="00480AA9" w:rsidRDefault="00480AA9" w:rsidP="008E3D4E">
      <w:pPr>
        <w:spacing w:after="0" w:line="240" w:lineRule="auto"/>
      </w:pPr>
      <w:r>
        <w:separator/>
      </w:r>
    </w:p>
  </w:footnote>
  <w:footnote w:type="continuationSeparator" w:id="0">
    <w:p w14:paraId="724B0C50" w14:textId="77777777" w:rsidR="00480AA9" w:rsidRDefault="00480AA9" w:rsidP="008E3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879D" w14:textId="2FFD91E9" w:rsidR="008E3D4E" w:rsidRDefault="008E3D4E">
    <w:pPr>
      <w:pStyle w:val="Header"/>
    </w:pPr>
  </w:p>
  <w:p w14:paraId="340B352C" w14:textId="77777777" w:rsidR="008E3D4E" w:rsidRDefault="008E3D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00E8A" w14:textId="77777777" w:rsidR="008E3D4E" w:rsidRDefault="008E3D4E">
    <w:pPr>
      <w:pStyle w:val="Header"/>
    </w:pPr>
    <w:r>
      <w:rPr>
        <w:b/>
        <w:noProof/>
      </w:rPr>
      <w:drawing>
        <wp:inline distT="0" distB="0" distL="0" distR="0" wp14:anchorId="50FC9645" wp14:editId="053B0AE6">
          <wp:extent cx="2562225" cy="745908"/>
          <wp:effectExtent l="0" t="0" r="0" b="0"/>
          <wp:docPr id="5" name="Picture 5" descr="Australian Government |  Department of Industry, Science and Resour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ustralian Government |  Department of Industry, Science and Resources "/>
                  <pic:cNvPicPr/>
                </pic:nvPicPr>
                <pic:blipFill>
                  <a:blip r:embed="rId1">
                    <a:extLst>
                      <a:ext uri="{28A0092B-C50C-407E-A947-70E740481C1C}">
                        <a14:useLocalDpi xmlns:a14="http://schemas.microsoft.com/office/drawing/2010/main" val="0"/>
                      </a:ext>
                    </a:extLst>
                  </a:blip>
                  <a:stretch>
                    <a:fillRect/>
                  </a:stretch>
                </pic:blipFill>
                <pic:spPr>
                  <a:xfrm>
                    <a:off x="0" y="0"/>
                    <a:ext cx="2603809" cy="758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A4E8C"/>
    <w:multiLevelType w:val="hybridMultilevel"/>
    <w:tmpl w:val="212ACB6A"/>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hint="default"/>
      </w:rPr>
    </w:lvl>
    <w:lvl w:ilvl="3" w:tplc="0C090001">
      <w:start w:val="1"/>
      <w:numFmt w:val="bullet"/>
      <w:lvlText w:val=""/>
      <w:lvlJc w:val="left"/>
      <w:pPr>
        <w:ind w:left="3237" w:hanging="360"/>
      </w:pPr>
      <w:rPr>
        <w:rFonts w:ascii="Symbol" w:hAnsi="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hint="default"/>
      </w:rPr>
    </w:lvl>
    <w:lvl w:ilvl="6" w:tplc="0C090001">
      <w:start w:val="1"/>
      <w:numFmt w:val="bullet"/>
      <w:lvlText w:val=""/>
      <w:lvlJc w:val="left"/>
      <w:pPr>
        <w:ind w:left="5397" w:hanging="360"/>
      </w:pPr>
      <w:rPr>
        <w:rFonts w:ascii="Symbol" w:hAnsi="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hint="default"/>
      </w:rPr>
    </w:lvl>
  </w:abstractNum>
  <w:abstractNum w:abstractNumId="1" w15:restartNumberingAfterBreak="0">
    <w:nsid w:val="0EEB0683"/>
    <w:multiLevelType w:val="hybridMultilevel"/>
    <w:tmpl w:val="22045CE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9BD12E7"/>
    <w:multiLevelType w:val="multilevel"/>
    <w:tmpl w:val="F8B4A36E"/>
    <w:lvl w:ilvl="0">
      <w:start w:val="1"/>
      <w:numFmt w:val="bullet"/>
      <w:pStyle w:val="ListBullet"/>
      <w:lvlText w:val=""/>
      <w:lvlJc w:val="left"/>
      <w:pPr>
        <w:ind w:left="644"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cs="Times New Roman"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5514262"/>
    <w:multiLevelType w:val="hybridMultilevel"/>
    <w:tmpl w:val="C126417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3AFC0C20"/>
    <w:multiLevelType w:val="hybridMultilevel"/>
    <w:tmpl w:val="90860F94"/>
    <w:lvl w:ilvl="0" w:tplc="0C09000F">
      <w:start w:val="1"/>
      <w:numFmt w:val="decimal"/>
      <w:lvlText w:val="%1."/>
      <w:lvlJc w:val="left"/>
      <w:pPr>
        <w:ind w:left="765" w:hanging="360"/>
      </w:pPr>
    </w:lvl>
    <w:lvl w:ilvl="1" w:tplc="0C090019">
      <w:start w:val="1"/>
      <w:numFmt w:val="lowerLetter"/>
      <w:lvlText w:val="%2."/>
      <w:lvlJc w:val="left"/>
      <w:pPr>
        <w:ind w:left="1485" w:hanging="360"/>
      </w:pPr>
    </w:lvl>
    <w:lvl w:ilvl="2" w:tplc="0C09001B">
      <w:start w:val="1"/>
      <w:numFmt w:val="lowerRoman"/>
      <w:lvlText w:val="%3."/>
      <w:lvlJc w:val="right"/>
      <w:pPr>
        <w:ind w:left="2205" w:hanging="180"/>
      </w:pPr>
    </w:lvl>
    <w:lvl w:ilvl="3" w:tplc="0C09000F">
      <w:start w:val="1"/>
      <w:numFmt w:val="decimal"/>
      <w:lvlText w:val="%4."/>
      <w:lvlJc w:val="left"/>
      <w:pPr>
        <w:ind w:left="2925" w:hanging="360"/>
      </w:pPr>
    </w:lvl>
    <w:lvl w:ilvl="4" w:tplc="0C090019">
      <w:start w:val="1"/>
      <w:numFmt w:val="lowerLetter"/>
      <w:lvlText w:val="%5."/>
      <w:lvlJc w:val="left"/>
      <w:pPr>
        <w:ind w:left="3645" w:hanging="360"/>
      </w:pPr>
    </w:lvl>
    <w:lvl w:ilvl="5" w:tplc="0C09001B">
      <w:start w:val="1"/>
      <w:numFmt w:val="lowerRoman"/>
      <w:lvlText w:val="%6."/>
      <w:lvlJc w:val="right"/>
      <w:pPr>
        <w:ind w:left="4365" w:hanging="180"/>
      </w:pPr>
    </w:lvl>
    <w:lvl w:ilvl="6" w:tplc="0C09000F">
      <w:start w:val="1"/>
      <w:numFmt w:val="decimal"/>
      <w:lvlText w:val="%7."/>
      <w:lvlJc w:val="left"/>
      <w:pPr>
        <w:ind w:left="5085" w:hanging="360"/>
      </w:pPr>
    </w:lvl>
    <w:lvl w:ilvl="7" w:tplc="0C090019">
      <w:start w:val="1"/>
      <w:numFmt w:val="lowerLetter"/>
      <w:lvlText w:val="%8."/>
      <w:lvlJc w:val="left"/>
      <w:pPr>
        <w:ind w:left="5805" w:hanging="360"/>
      </w:pPr>
    </w:lvl>
    <w:lvl w:ilvl="8" w:tplc="0C09001B">
      <w:start w:val="1"/>
      <w:numFmt w:val="lowerRoman"/>
      <w:lvlText w:val="%9."/>
      <w:lvlJc w:val="right"/>
      <w:pPr>
        <w:ind w:left="6525" w:hanging="180"/>
      </w:pPr>
    </w:lvl>
  </w:abstractNum>
  <w:abstractNum w:abstractNumId="5" w15:restartNumberingAfterBreak="0">
    <w:nsid w:val="431A74E0"/>
    <w:multiLevelType w:val="multilevel"/>
    <w:tmpl w:val="7736C204"/>
    <w:lvl w:ilvl="0">
      <w:start w:val="1"/>
      <w:numFmt w:val="decimal"/>
      <w:pStyle w:val="Heading2"/>
      <w:lvlText w:val="%1)"/>
      <w:lvlJc w:val="left"/>
      <w:pPr>
        <w:ind w:left="360" w:hanging="360"/>
      </w:pPr>
      <w:rPr>
        <w:b/>
        <w:bCs/>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3687E9E"/>
    <w:multiLevelType w:val="hybridMultilevel"/>
    <w:tmpl w:val="920AF9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649D221C"/>
    <w:multiLevelType w:val="hybridMultilevel"/>
    <w:tmpl w:val="D97E3FBA"/>
    <w:lvl w:ilvl="0" w:tplc="0C090017">
      <w:start w:val="1"/>
      <w:numFmt w:val="lowerLetter"/>
      <w:lvlText w:val="%1)"/>
      <w:lvlJc w:val="left"/>
      <w:pPr>
        <w:ind w:left="360" w:hanging="360"/>
      </w:pPr>
      <w:rPr>
        <w:i w:val="0"/>
        <w:iCs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 w15:restartNumberingAfterBreak="0">
    <w:nsid w:val="6940053E"/>
    <w:multiLevelType w:val="hybridMultilevel"/>
    <w:tmpl w:val="0860A53C"/>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start w:val="1"/>
      <w:numFmt w:val="bullet"/>
      <w:lvlText w:val=""/>
      <w:lvlJc w:val="left"/>
      <w:pPr>
        <w:ind w:left="4320" w:hanging="360"/>
      </w:pPr>
      <w:rPr>
        <w:rFonts w:ascii="Symbol" w:hAnsi="Symbol" w:hint="default"/>
      </w:rPr>
    </w:lvl>
    <w:lvl w:ilvl="4" w:tplc="0C090003">
      <w:start w:val="1"/>
      <w:numFmt w:val="bullet"/>
      <w:lvlText w:val="o"/>
      <w:lvlJc w:val="left"/>
      <w:pPr>
        <w:ind w:left="5040" w:hanging="360"/>
      </w:pPr>
      <w:rPr>
        <w:rFonts w:ascii="Courier New" w:hAnsi="Courier New" w:cs="Courier New" w:hint="default"/>
      </w:rPr>
    </w:lvl>
    <w:lvl w:ilvl="5" w:tplc="0C090005">
      <w:start w:val="1"/>
      <w:numFmt w:val="bullet"/>
      <w:lvlText w:val=""/>
      <w:lvlJc w:val="left"/>
      <w:pPr>
        <w:ind w:left="5760" w:hanging="360"/>
      </w:pPr>
      <w:rPr>
        <w:rFonts w:ascii="Wingdings" w:hAnsi="Wingdings" w:hint="default"/>
      </w:rPr>
    </w:lvl>
    <w:lvl w:ilvl="6" w:tplc="0C090001">
      <w:start w:val="1"/>
      <w:numFmt w:val="bullet"/>
      <w:lvlText w:val=""/>
      <w:lvlJc w:val="left"/>
      <w:pPr>
        <w:ind w:left="6480" w:hanging="360"/>
      </w:pPr>
      <w:rPr>
        <w:rFonts w:ascii="Symbol" w:hAnsi="Symbol" w:hint="default"/>
      </w:rPr>
    </w:lvl>
    <w:lvl w:ilvl="7" w:tplc="0C090003">
      <w:start w:val="1"/>
      <w:numFmt w:val="bullet"/>
      <w:lvlText w:val="o"/>
      <w:lvlJc w:val="left"/>
      <w:pPr>
        <w:ind w:left="7200" w:hanging="360"/>
      </w:pPr>
      <w:rPr>
        <w:rFonts w:ascii="Courier New" w:hAnsi="Courier New" w:cs="Courier New" w:hint="default"/>
      </w:rPr>
    </w:lvl>
    <w:lvl w:ilvl="8" w:tplc="0C090005">
      <w:start w:val="1"/>
      <w:numFmt w:val="bullet"/>
      <w:lvlText w:val=""/>
      <w:lvlJc w:val="left"/>
      <w:pPr>
        <w:ind w:left="7920" w:hanging="360"/>
      </w:pPr>
      <w:rPr>
        <w:rFonts w:ascii="Wingdings" w:hAnsi="Wingdings" w:hint="default"/>
      </w:rPr>
    </w:lvl>
  </w:abstractNum>
  <w:abstractNum w:abstractNumId="9"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FF551C2"/>
    <w:multiLevelType w:val="hybridMultilevel"/>
    <w:tmpl w:val="9AB242C6"/>
    <w:lvl w:ilvl="0" w:tplc="31FE6500">
      <w:start w:val="1"/>
      <w:numFmt w:val="bullet"/>
      <w:pStyle w:val="Heading3"/>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11" w15:restartNumberingAfterBreak="0">
    <w:nsid w:val="70070BCB"/>
    <w:multiLevelType w:val="hybridMultilevel"/>
    <w:tmpl w:val="47FAD0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744303B3"/>
    <w:multiLevelType w:val="hybridMultilevel"/>
    <w:tmpl w:val="5A1EB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8F0510"/>
    <w:multiLevelType w:val="hybridMultilevel"/>
    <w:tmpl w:val="6FC68D1A"/>
    <w:lvl w:ilvl="0" w:tplc="978695DA">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695545728">
    <w:abstractNumId w:val="13"/>
  </w:num>
  <w:num w:numId="2" w16cid:durableId="1691685843">
    <w:abstractNumId w:val="5"/>
  </w:num>
  <w:num w:numId="3" w16cid:durableId="1449617741">
    <w:abstractNumId w:val="10"/>
  </w:num>
  <w:num w:numId="4" w16cid:durableId="603850549">
    <w:abstractNumId w:val="10"/>
  </w:num>
  <w:num w:numId="5" w16cid:durableId="1724913425">
    <w:abstractNumId w:val="1"/>
  </w:num>
  <w:num w:numId="6" w16cid:durableId="635990054">
    <w:abstractNumId w:val="9"/>
  </w:num>
  <w:num w:numId="7" w16cid:durableId="520360985">
    <w:abstractNumId w:val="9"/>
  </w:num>
  <w:num w:numId="8" w16cid:durableId="772556074">
    <w:abstractNumId w:val="2"/>
  </w:num>
  <w:num w:numId="9" w16cid:durableId="555431360">
    <w:abstractNumId w:val="10"/>
  </w:num>
  <w:num w:numId="10" w16cid:durableId="149953813">
    <w:abstractNumId w:val="0"/>
  </w:num>
  <w:num w:numId="11" w16cid:durableId="1886133480">
    <w:abstractNumId w:val="8"/>
  </w:num>
  <w:num w:numId="12" w16cid:durableId="393049602">
    <w:abstractNumId w:val="7"/>
  </w:num>
  <w:num w:numId="13" w16cid:durableId="80837257">
    <w:abstractNumId w:val="7"/>
  </w:num>
  <w:num w:numId="14" w16cid:durableId="770593414">
    <w:abstractNumId w:val="0"/>
  </w:num>
  <w:num w:numId="15" w16cid:durableId="7302762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43119332">
    <w:abstractNumId w:val="6"/>
  </w:num>
  <w:num w:numId="17" w16cid:durableId="427121191">
    <w:abstractNumId w:val="3"/>
  </w:num>
  <w:num w:numId="18" w16cid:durableId="157580312">
    <w:abstractNumId w:val="12"/>
  </w:num>
  <w:num w:numId="19" w16cid:durableId="2044092825">
    <w:abstractNumId w:val="11"/>
  </w:num>
  <w:num w:numId="20" w16cid:durableId="1129326047">
    <w:abstractNumId w:val="5"/>
  </w:num>
  <w:num w:numId="21" w16cid:durableId="991799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62F"/>
    <w:rsid w:val="00012E2B"/>
    <w:rsid w:val="00017320"/>
    <w:rsid w:val="00042C81"/>
    <w:rsid w:val="0004322D"/>
    <w:rsid w:val="00052C29"/>
    <w:rsid w:val="00065C1C"/>
    <w:rsid w:val="000870F1"/>
    <w:rsid w:val="0010301A"/>
    <w:rsid w:val="00134595"/>
    <w:rsid w:val="00152361"/>
    <w:rsid w:val="00162DB7"/>
    <w:rsid w:val="00195030"/>
    <w:rsid w:val="001A0D37"/>
    <w:rsid w:val="001C1996"/>
    <w:rsid w:val="001C450C"/>
    <w:rsid w:val="001C6D3E"/>
    <w:rsid w:val="001E510E"/>
    <w:rsid w:val="0022776A"/>
    <w:rsid w:val="00232112"/>
    <w:rsid w:val="00237DBF"/>
    <w:rsid w:val="002410CC"/>
    <w:rsid w:val="002436CD"/>
    <w:rsid w:val="002567FE"/>
    <w:rsid w:val="002922E1"/>
    <w:rsid w:val="002A76AD"/>
    <w:rsid w:val="002D39A5"/>
    <w:rsid w:val="002F2FCA"/>
    <w:rsid w:val="00313401"/>
    <w:rsid w:val="00315AE8"/>
    <w:rsid w:val="00330958"/>
    <w:rsid w:val="00346266"/>
    <w:rsid w:val="0035601F"/>
    <w:rsid w:val="00363E14"/>
    <w:rsid w:val="003B4FCC"/>
    <w:rsid w:val="00405980"/>
    <w:rsid w:val="00453B29"/>
    <w:rsid w:val="00480AA9"/>
    <w:rsid w:val="00482922"/>
    <w:rsid w:val="0048669C"/>
    <w:rsid w:val="004922B6"/>
    <w:rsid w:val="004A036E"/>
    <w:rsid w:val="004B0F34"/>
    <w:rsid w:val="004B35CE"/>
    <w:rsid w:val="004B75DC"/>
    <w:rsid w:val="004D1FD4"/>
    <w:rsid w:val="004D22D1"/>
    <w:rsid w:val="00520D7A"/>
    <w:rsid w:val="00542D4A"/>
    <w:rsid w:val="00564CAF"/>
    <w:rsid w:val="00577875"/>
    <w:rsid w:val="005B5C64"/>
    <w:rsid w:val="005E209C"/>
    <w:rsid w:val="005E6992"/>
    <w:rsid w:val="005F6C5D"/>
    <w:rsid w:val="00605ACA"/>
    <w:rsid w:val="00607E03"/>
    <w:rsid w:val="00613037"/>
    <w:rsid w:val="00615BF9"/>
    <w:rsid w:val="00621745"/>
    <w:rsid w:val="00627861"/>
    <w:rsid w:val="0068442B"/>
    <w:rsid w:val="006A5E14"/>
    <w:rsid w:val="006E3C26"/>
    <w:rsid w:val="006F6AC3"/>
    <w:rsid w:val="00710A92"/>
    <w:rsid w:val="00720B33"/>
    <w:rsid w:val="00760CA1"/>
    <w:rsid w:val="007B052E"/>
    <w:rsid w:val="007B5DF6"/>
    <w:rsid w:val="007F1A1E"/>
    <w:rsid w:val="007F229C"/>
    <w:rsid w:val="007F7CF4"/>
    <w:rsid w:val="00803B55"/>
    <w:rsid w:val="00805BAF"/>
    <w:rsid w:val="00810D5B"/>
    <w:rsid w:val="00817416"/>
    <w:rsid w:val="00841FED"/>
    <w:rsid w:val="008849B5"/>
    <w:rsid w:val="008A3915"/>
    <w:rsid w:val="008A7B2E"/>
    <w:rsid w:val="008B559C"/>
    <w:rsid w:val="008D79C7"/>
    <w:rsid w:val="008E3D4E"/>
    <w:rsid w:val="00907EB4"/>
    <w:rsid w:val="0091209E"/>
    <w:rsid w:val="00962BBA"/>
    <w:rsid w:val="0098354A"/>
    <w:rsid w:val="00994E0A"/>
    <w:rsid w:val="009C75EE"/>
    <w:rsid w:val="009D1A77"/>
    <w:rsid w:val="009F1444"/>
    <w:rsid w:val="00A1598C"/>
    <w:rsid w:val="00A21E3F"/>
    <w:rsid w:val="00A270EA"/>
    <w:rsid w:val="00A37725"/>
    <w:rsid w:val="00A4205E"/>
    <w:rsid w:val="00A4237A"/>
    <w:rsid w:val="00A42D60"/>
    <w:rsid w:val="00A5046C"/>
    <w:rsid w:val="00A73AE4"/>
    <w:rsid w:val="00A8227B"/>
    <w:rsid w:val="00AA3DBD"/>
    <w:rsid w:val="00AB6D68"/>
    <w:rsid w:val="00B12AC8"/>
    <w:rsid w:val="00B13DE9"/>
    <w:rsid w:val="00B23922"/>
    <w:rsid w:val="00B45DBE"/>
    <w:rsid w:val="00B679E4"/>
    <w:rsid w:val="00B810AE"/>
    <w:rsid w:val="00B8379D"/>
    <w:rsid w:val="00B97484"/>
    <w:rsid w:val="00BA384B"/>
    <w:rsid w:val="00BD26C6"/>
    <w:rsid w:val="00BD421D"/>
    <w:rsid w:val="00BE4283"/>
    <w:rsid w:val="00BE48E7"/>
    <w:rsid w:val="00C15D98"/>
    <w:rsid w:val="00C40786"/>
    <w:rsid w:val="00C420D8"/>
    <w:rsid w:val="00C510D2"/>
    <w:rsid w:val="00C93296"/>
    <w:rsid w:val="00CA292D"/>
    <w:rsid w:val="00CB662F"/>
    <w:rsid w:val="00CC28F2"/>
    <w:rsid w:val="00D07562"/>
    <w:rsid w:val="00D13705"/>
    <w:rsid w:val="00D25065"/>
    <w:rsid w:val="00DC2089"/>
    <w:rsid w:val="00DF7EBE"/>
    <w:rsid w:val="00E01C33"/>
    <w:rsid w:val="00E07F53"/>
    <w:rsid w:val="00E33E88"/>
    <w:rsid w:val="00E35FAA"/>
    <w:rsid w:val="00E37F5B"/>
    <w:rsid w:val="00E400F4"/>
    <w:rsid w:val="00E56590"/>
    <w:rsid w:val="00E60F13"/>
    <w:rsid w:val="00E7046E"/>
    <w:rsid w:val="00E74BE2"/>
    <w:rsid w:val="00EB7663"/>
    <w:rsid w:val="00EC0E95"/>
    <w:rsid w:val="00EC2D83"/>
    <w:rsid w:val="00ED10B0"/>
    <w:rsid w:val="00F12F6A"/>
    <w:rsid w:val="00F13E5E"/>
    <w:rsid w:val="00F170EB"/>
    <w:rsid w:val="00F320EC"/>
    <w:rsid w:val="00F34108"/>
    <w:rsid w:val="00F4497D"/>
    <w:rsid w:val="00F54F44"/>
    <w:rsid w:val="00F91E4B"/>
    <w:rsid w:val="00F95E1C"/>
    <w:rsid w:val="00FC0E38"/>
    <w:rsid w:val="00FD602C"/>
    <w:rsid w:val="00FE4B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41665"/>
  <w15:chartTrackingRefBased/>
  <w15:docId w15:val="{61E0620C-BD98-4F91-A406-A0C20BC3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A1E"/>
    <w:pPr>
      <w:spacing w:after="360"/>
    </w:pPr>
  </w:style>
  <w:style w:type="paragraph" w:styleId="Heading1">
    <w:name w:val="heading 1"/>
    <w:basedOn w:val="Normal"/>
    <w:next w:val="Normal"/>
    <w:link w:val="Heading1Char"/>
    <w:uiPriority w:val="9"/>
    <w:qFormat/>
    <w:rsid w:val="00FE4BC3"/>
    <w:pPr>
      <w:outlineLvl w:val="0"/>
    </w:pPr>
    <w:rPr>
      <w:rFonts w:ascii="Segoe UI" w:hAnsi="Segoe UI" w:cs="Segoe UI"/>
      <w:b/>
      <w:bCs/>
      <w:sz w:val="32"/>
      <w:szCs w:val="32"/>
    </w:rPr>
  </w:style>
  <w:style w:type="paragraph" w:styleId="Heading2">
    <w:name w:val="heading 2"/>
    <w:basedOn w:val="ListParagraph"/>
    <w:next w:val="Normal"/>
    <w:link w:val="Heading2Char"/>
    <w:uiPriority w:val="9"/>
    <w:unhideWhenUsed/>
    <w:qFormat/>
    <w:rsid w:val="00FE4BC3"/>
    <w:pPr>
      <w:numPr>
        <w:numId w:val="2"/>
      </w:numPr>
      <w:spacing w:after="0"/>
      <w:outlineLvl w:val="1"/>
    </w:pPr>
    <w:rPr>
      <w:b/>
      <w:bCs/>
    </w:rPr>
  </w:style>
  <w:style w:type="paragraph" w:styleId="Heading3">
    <w:name w:val="heading 3"/>
    <w:basedOn w:val="ListParagraph"/>
    <w:next w:val="Normal"/>
    <w:link w:val="Heading3Char"/>
    <w:uiPriority w:val="9"/>
    <w:unhideWhenUsed/>
    <w:qFormat/>
    <w:rsid w:val="008E3D4E"/>
    <w:pPr>
      <w:numPr>
        <w:numId w:val="3"/>
      </w:numPr>
      <w:spacing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62F"/>
    <w:pPr>
      <w:ind w:left="720"/>
      <w:contextualSpacing/>
    </w:pPr>
  </w:style>
  <w:style w:type="character" w:styleId="Hyperlink">
    <w:name w:val="Hyperlink"/>
    <w:basedOn w:val="DefaultParagraphFont"/>
    <w:uiPriority w:val="99"/>
    <w:unhideWhenUsed/>
    <w:rsid w:val="00330958"/>
    <w:rPr>
      <w:color w:val="0563C1" w:themeColor="hyperlink"/>
      <w:u w:val="single"/>
    </w:rPr>
  </w:style>
  <w:style w:type="character" w:styleId="UnresolvedMention">
    <w:name w:val="Unresolved Mention"/>
    <w:basedOn w:val="DefaultParagraphFont"/>
    <w:uiPriority w:val="99"/>
    <w:semiHidden/>
    <w:unhideWhenUsed/>
    <w:rsid w:val="00330958"/>
    <w:rPr>
      <w:color w:val="605E5C"/>
      <w:shd w:val="clear" w:color="auto" w:fill="E1DFDD"/>
    </w:rPr>
  </w:style>
  <w:style w:type="paragraph" w:styleId="ListNumber">
    <w:name w:val="List Number"/>
    <w:basedOn w:val="Normal"/>
    <w:qFormat/>
    <w:rsid w:val="008A3915"/>
    <w:pPr>
      <w:numPr>
        <w:numId w:val="6"/>
      </w:numPr>
      <w:spacing w:before="40" w:after="120" w:line="280" w:lineRule="atLeast"/>
    </w:pPr>
    <w:rPr>
      <w:rFonts w:ascii="Arial" w:eastAsia="Times New Roman" w:hAnsi="Arial" w:cs="Times New Roman"/>
      <w:iCs/>
      <w:sz w:val="20"/>
      <w:szCs w:val="24"/>
    </w:rPr>
  </w:style>
  <w:style w:type="paragraph" w:styleId="ListBullet">
    <w:name w:val="List Bullet"/>
    <w:basedOn w:val="Normal"/>
    <w:uiPriority w:val="99"/>
    <w:semiHidden/>
    <w:unhideWhenUsed/>
    <w:qFormat/>
    <w:rsid w:val="002D39A5"/>
    <w:pPr>
      <w:numPr>
        <w:numId w:val="8"/>
      </w:numPr>
      <w:spacing w:before="40" w:after="80" w:line="280" w:lineRule="atLeast"/>
    </w:pPr>
    <w:rPr>
      <w:rFonts w:ascii="Arial" w:hAnsi="Arial" w:cs="Arial"/>
      <w:sz w:val="20"/>
      <w:szCs w:val="20"/>
    </w:rPr>
  </w:style>
  <w:style w:type="paragraph" w:styleId="Revision">
    <w:name w:val="Revision"/>
    <w:hidden/>
    <w:uiPriority w:val="99"/>
    <w:semiHidden/>
    <w:rsid w:val="00605ACA"/>
    <w:pPr>
      <w:spacing w:after="0" w:line="240" w:lineRule="auto"/>
    </w:pPr>
  </w:style>
  <w:style w:type="character" w:styleId="CommentReference">
    <w:name w:val="annotation reference"/>
    <w:basedOn w:val="DefaultParagraphFont"/>
    <w:uiPriority w:val="99"/>
    <w:semiHidden/>
    <w:unhideWhenUsed/>
    <w:rsid w:val="00D25065"/>
    <w:rPr>
      <w:sz w:val="16"/>
      <w:szCs w:val="16"/>
    </w:rPr>
  </w:style>
  <w:style w:type="paragraph" w:styleId="CommentText">
    <w:name w:val="annotation text"/>
    <w:basedOn w:val="Normal"/>
    <w:link w:val="CommentTextChar"/>
    <w:uiPriority w:val="99"/>
    <w:unhideWhenUsed/>
    <w:rsid w:val="00D25065"/>
    <w:pPr>
      <w:spacing w:line="240" w:lineRule="auto"/>
    </w:pPr>
    <w:rPr>
      <w:sz w:val="20"/>
      <w:szCs w:val="20"/>
    </w:rPr>
  </w:style>
  <w:style w:type="character" w:customStyle="1" w:styleId="CommentTextChar">
    <w:name w:val="Comment Text Char"/>
    <w:basedOn w:val="DefaultParagraphFont"/>
    <w:link w:val="CommentText"/>
    <w:uiPriority w:val="99"/>
    <w:rsid w:val="00D25065"/>
    <w:rPr>
      <w:sz w:val="20"/>
      <w:szCs w:val="20"/>
    </w:rPr>
  </w:style>
  <w:style w:type="paragraph" w:styleId="CommentSubject">
    <w:name w:val="annotation subject"/>
    <w:basedOn w:val="CommentText"/>
    <w:next w:val="CommentText"/>
    <w:link w:val="CommentSubjectChar"/>
    <w:uiPriority w:val="99"/>
    <w:semiHidden/>
    <w:unhideWhenUsed/>
    <w:rsid w:val="00D25065"/>
    <w:rPr>
      <w:b/>
      <w:bCs/>
    </w:rPr>
  </w:style>
  <w:style w:type="character" w:customStyle="1" w:styleId="CommentSubjectChar">
    <w:name w:val="Comment Subject Char"/>
    <w:basedOn w:val="CommentTextChar"/>
    <w:link w:val="CommentSubject"/>
    <w:uiPriority w:val="99"/>
    <w:semiHidden/>
    <w:rsid w:val="00D25065"/>
    <w:rPr>
      <w:b/>
      <w:bCs/>
      <w:sz w:val="20"/>
      <w:szCs w:val="20"/>
    </w:rPr>
  </w:style>
  <w:style w:type="character" w:customStyle="1" w:styleId="Heading1Char">
    <w:name w:val="Heading 1 Char"/>
    <w:basedOn w:val="DefaultParagraphFont"/>
    <w:link w:val="Heading1"/>
    <w:uiPriority w:val="9"/>
    <w:rsid w:val="00FE4BC3"/>
    <w:rPr>
      <w:rFonts w:ascii="Segoe UI" w:hAnsi="Segoe UI" w:cs="Segoe UI"/>
      <w:b/>
      <w:bCs/>
      <w:sz w:val="32"/>
      <w:szCs w:val="32"/>
    </w:rPr>
  </w:style>
  <w:style w:type="character" w:customStyle="1" w:styleId="Heading2Char">
    <w:name w:val="Heading 2 Char"/>
    <w:basedOn w:val="DefaultParagraphFont"/>
    <w:link w:val="Heading2"/>
    <w:uiPriority w:val="9"/>
    <w:rsid w:val="00FE4BC3"/>
    <w:rPr>
      <w:b/>
      <w:bCs/>
    </w:rPr>
  </w:style>
  <w:style w:type="character" w:customStyle="1" w:styleId="Heading3Char">
    <w:name w:val="Heading 3 Char"/>
    <w:basedOn w:val="DefaultParagraphFont"/>
    <w:link w:val="Heading3"/>
    <w:uiPriority w:val="9"/>
    <w:rsid w:val="008E3D4E"/>
    <w:rPr>
      <w:b/>
      <w:bCs/>
    </w:rPr>
  </w:style>
  <w:style w:type="paragraph" w:styleId="Header">
    <w:name w:val="header"/>
    <w:basedOn w:val="Normal"/>
    <w:link w:val="HeaderChar"/>
    <w:uiPriority w:val="99"/>
    <w:unhideWhenUsed/>
    <w:rsid w:val="008E3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D4E"/>
  </w:style>
  <w:style w:type="paragraph" w:styleId="Footer">
    <w:name w:val="footer"/>
    <w:basedOn w:val="Normal"/>
    <w:link w:val="FooterChar"/>
    <w:uiPriority w:val="99"/>
    <w:unhideWhenUsed/>
    <w:rsid w:val="008E3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D4E"/>
  </w:style>
  <w:style w:type="character" w:styleId="FollowedHyperlink">
    <w:name w:val="FollowedHyperlink"/>
    <w:basedOn w:val="DefaultParagraphFont"/>
    <w:uiPriority w:val="99"/>
    <w:semiHidden/>
    <w:unhideWhenUsed/>
    <w:rsid w:val="00F449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59526">
      <w:bodyDiv w:val="1"/>
      <w:marLeft w:val="0"/>
      <w:marRight w:val="0"/>
      <w:marTop w:val="0"/>
      <w:marBottom w:val="0"/>
      <w:divBdr>
        <w:top w:val="none" w:sz="0" w:space="0" w:color="auto"/>
        <w:left w:val="none" w:sz="0" w:space="0" w:color="auto"/>
        <w:bottom w:val="none" w:sz="0" w:space="0" w:color="auto"/>
        <w:right w:val="none" w:sz="0" w:space="0" w:color="auto"/>
      </w:divBdr>
    </w:div>
    <w:div w:id="303849216">
      <w:bodyDiv w:val="1"/>
      <w:marLeft w:val="0"/>
      <w:marRight w:val="0"/>
      <w:marTop w:val="0"/>
      <w:marBottom w:val="0"/>
      <w:divBdr>
        <w:top w:val="none" w:sz="0" w:space="0" w:color="auto"/>
        <w:left w:val="none" w:sz="0" w:space="0" w:color="auto"/>
        <w:bottom w:val="none" w:sz="0" w:space="0" w:color="auto"/>
        <w:right w:val="none" w:sz="0" w:space="0" w:color="auto"/>
      </w:divBdr>
    </w:div>
    <w:div w:id="311522357">
      <w:bodyDiv w:val="1"/>
      <w:marLeft w:val="0"/>
      <w:marRight w:val="0"/>
      <w:marTop w:val="0"/>
      <w:marBottom w:val="0"/>
      <w:divBdr>
        <w:top w:val="none" w:sz="0" w:space="0" w:color="auto"/>
        <w:left w:val="none" w:sz="0" w:space="0" w:color="auto"/>
        <w:bottom w:val="none" w:sz="0" w:space="0" w:color="auto"/>
        <w:right w:val="none" w:sz="0" w:space="0" w:color="auto"/>
      </w:divBdr>
    </w:div>
    <w:div w:id="429470443">
      <w:bodyDiv w:val="1"/>
      <w:marLeft w:val="0"/>
      <w:marRight w:val="0"/>
      <w:marTop w:val="0"/>
      <w:marBottom w:val="0"/>
      <w:divBdr>
        <w:top w:val="none" w:sz="0" w:space="0" w:color="auto"/>
        <w:left w:val="none" w:sz="0" w:space="0" w:color="auto"/>
        <w:bottom w:val="none" w:sz="0" w:space="0" w:color="auto"/>
        <w:right w:val="none" w:sz="0" w:space="0" w:color="auto"/>
      </w:divBdr>
    </w:div>
    <w:div w:id="597491842">
      <w:bodyDiv w:val="1"/>
      <w:marLeft w:val="0"/>
      <w:marRight w:val="0"/>
      <w:marTop w:val="0"/>
      <w:marBottom w:val="0"/>
      <w:divBdr>
        <w:top w:val="none" w:sz="0" w:space="0" w:color="auto"/>
        <w:left w:val="none" w:sz="0" w:space="0" w:color="auto"/>
        <w:bottom w:val="none" w:sz="0" w:space="0" w:color="auto"/>
        <w:right w:val="none" w:sz="0" w:space="0" w:color="auto"/>
      </w:divBdr>
    </w:div>
    <w:div w:id="659816505">
      <w:bodyDiv w:val="1"/>
      <w:marLeft w:val="0"/>
      <w:marRight w:val="0"/>
      <w:marTop w:val="0"/>
      <w:marBottom w:val="0"/>
      <w:divBdr>
        <w:top w:val="none" w:sz="0" w:space="0" w:color="auto"/>
        <w:left w:val="none" w:sz="0" w:space="0" w:color="auto"/>
        <w:bottom w:val="none" w:sz="0" w:space="0" w:color="auto"/>
        <w:right w:val="none" w:sz="0" w:space="0" w:color="auto"/>
      </w:divBdr>
    </w:div>
    <w:div w:id="693920878">
      <w:bodyDiv w:val="1"/>
      <w:marLeft w:val="0"/>
      <w:marRight w:val="0"/>
      <w:marTop w:val="0"/>
      <w:marBottom w:val="0"/>
      <w:divBdr>
        <w:top w:val="none" w:sz="0" w:space="0" w:color="auto"/>
        <w:left w:val="none" w:sz="0" w:space="0" w:color="auto"/>
        <w:bottom w:val="none" w:sz="0" w:space="0" w:color="auto"/>
        <w:right w:val="none" w:sz="0" w:space="0" w:color="auto"/>
      </w:divBdr>
    </w:div>
    <w:div w:id="761029200">
      <w:bodyDiv w:val="1"/>
      <w:marLeft w:val="0"/>
      <w:marRight w:val="0"/>
      <w:marTop w:val="0"/>
      <w:marBottom w:val="0"/>
      <w:divBdr>
        <w:top w:val="none" w:sz="0" w:space="0" w:color="auto"/>
        <w:left w:val="none" w:sz="0" w:space="0" w:color="auto"/>
        <w:bottom w:val="none" w:sz="0" w:space="0" w:color="auto"/>
        <w:right w:val="none" w:sz="0" w:space="0" w:color="auto"/>
      </w:divBdr>
    </w:div>
    <w:div w:id="786507899">
      <w:bodyDiv w:val="1"/>
      <w:marLeft w:val="0"/>
      <w:marRight w:val="0"/>
      <w:marTop w:val="0"/>
      <w:marBottom w:val="0"/>
      <w:divBdr>
        <w:top w:val="none" w:sz="0" w:space="0" w:color="auto"/>
        <w:left w:val="none" w:sz="0" w:space="0" w:color="auto"/>
        <w:bottom w:val="none" w:sz="0" w:space="0" w:color="auto"/>
        <w:right w:val="none" w:sz="0" w:space="0" w:color="auto"/>
      </w:divBdr>
    </w:div>
    <w:div w:id="833841507">
      <w:bodyDiv w:val="1"/>
      <w:marLeft w:val="0"/>
      <w:marRight w:val="0"/>
      <w:marTop w:val="0"/>
      <w:marBottom w:val="0"/>
      <w:divBdr>
        <w:top w:val="none" w:sz="0" w:space="0" w:color="auto"/>
        <w:left w:val="none" w:sz="0" w:space="0" w:color="auto"/>
        <w:bottom w:val="none" w:sz="0" w:space="0" w:color="auto"/>
        <w:right w:val="none" w:sz="0" w:space="0" w:color="auto"/>
      </w:divBdr>
    </w:div>
    <w:div w:id="1570308217">
      <w:bodyDiv w:val="1"/>
      <w:marLeft w:val="0"/>
      <w:marRight w:val="0"/>
      <w:marTop w:val="0"/>
      <w:marBottom w:val="0"/>
      <w:divBdr>
        <w:top w:val="none" w:sz="0" w:space="0" w:color="auto"/>
        <w:left w:val="none" w:sz="0" w:space="0" w:color="auto"/>
        <w:bottom w:val="none" w:sz="0" w:space="0" w:color="auto"/>
        <w:right w:val="none" w:sz="0" w:space="0" w:color="auto"/>
      </w:divBdr>
    </w:div>
    <w:div w:id="1801873806">
      <w:bodyDiv w:val="1"/>
      <w:marLeft w:val="0"/>
      <w:marRight w:val="0"/>
      <w:marTop w:val="0"/>
      <w:marBottom w:val="0"/>
      <w:divBdr>
        <w:top w:val="none" w:sz="0" w:space="0" w:color="auto"/>
        <w:left w:val="none" w:sz="0" w:space="0" w:color="auto"/>
        <w:bottom w:val="none" w:sz="0" w:space="0" w:color="auto"/>
        <w:right w:val="none" w:sz="0" w:space="0" w:color="auto"/>
      </w:divBdr>
    </w:div>
    <w:div w:id="1851873124">
      <w:bodyDiv w:val="1"/>
      <w:marLeft w:val="0"/>
      <w:marRight w:val="0"/>
      <w:marTop w:val="0"/>
      <w:marBottom w:val="0"/>
      <w:divBdr>
        <w:top w:val="none" w:sz="0" w:space="0" w:color="auto"/>
        <w:left w:val="none" w:sz="0" w:space="0" w:color="auto"/>
        <w:bottom w:val="none" w:sz="0" w:space="0" w:color="auto"/>
        <w:right w:val="none" w:sz="0" w:space="0" w:color="auto"/>
      </w:divBdr>
    </w:div>
    <w:div w:id="1873299260">
      <w:bodyDiv w:val="1"/>
      <w:marLeft w:val="0"/>
      <w:marRight w:val="0"/>
      <w:marTop w:val="0"/>
      <w:marBottom w:val="0"/>
      <w:divBdr>
        <w:top w:val="none" w:sz="0" w:space="0" w:color="auto"/>
        <w:left w:val="none" w:sz="0" w:space="0" w:color="auto"/>
        <w:bottom w:val="none" w:sz="0" w:space="0" w:color="auto"/>
        <w:right w:val="none" w:sz="0" w:space="0" w:color="auto"/>
      </w:divBdr>
    </w:div>
    <w:div w:id="189793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ustlii.edu.au/cgi-bin/viewdoc/au/legis/cth/consol_act/hesa2003271/s16.20.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8.austlii.edu.au/cgi-bin/viewdoc/au/legis/cth/consol_act/hesa2003271/s16.15.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inance.gov.au/government/government-business-enterpris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Enquiry</TermName>
          <TermId xmlns="http://schemas.microsoft.com/office/infopath/2007/PartnerControls">24498437-159b-478e-b05c-e6f60a548c16</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Industry Growth - Industry Partner Support Program</TermName>
          <TermId xmlns="http://schemas.microsoft.com/office/infopath/2007/PartnerControls">63432787-1df4-40e2-9422-39c26622e0f3</TermId>
        </TermInfo>
      </Terms>
    </adb9bed2e36e4a93af574aeb444da63e>
    <o1116530bc244d4bbd793e6e47aad9f9 xmlns="2a251b7e-61e4-4816-a71f-b295a9ad20fb">
      <Terms xmlns="http://schemas.microsoft.com/office/infopath/2007/PartnerControls"/>
    </o1116530bc244d4bbd793e6e47aad9f9>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2023-24</TermName>
          <TermId xmlns="http://schemas.microsoft.com/office/infopath/2007/PartnerControls">2bbb4e10-dcf7-4095-8d75-647dc1a233b1</TermId>
        </TermInfo>
      </Terms>
    </n99e4c9942c6404eb103464a00e6097b>
    <TaxCatchAll xmlns="2a251b7e-61e4-4816-a71f-b295a9ad20fb">
      <Value>608</Value>
      <Value>49206</Value>
      <Value>3</Value>
      <Value>610</Value>
      <Value>45</Value>
    </TaxCatchAll>
    <DocHub_ProjectGrantBenefitNo xmlns="2a251b7e-61e4-4816-a71f-b295a9ad20fb" xsi:nil="true"/>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Applications</TermName>
          <TermId xmlns="http://schemas.microsoft.com/office/infopath/2007/PartnerControls">5ecf4bde-e578-40db-8d0b-1c50c4991d57</TermId>
        </TermInfo>
      </Terms>
    </g7bcb40ba23249a78edca7d43a67c1c9>
    <Comment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DBDD2C290D20814E9D2599A3B02167FC" ma:contentTypeVersion="17" ma:contentTypeDescription="Create a new document." ma:contentTypeScope="" ma:versionID="cac0b8d4f50ec5b67ea95ec0782a14f6">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850a6ded1ac8805dc2eb3c1fa777cb5"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2:o1116530bc244d4bbd793e6e47aad9f9" minOccurs="0"/>
                <xsd:element ref="ns2:DocHub_ProjectGrantBenefitNo"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5"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3"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4" nillable="true" ma:displayName="Project (Grant/Benefit) No" ma:internalName="DocHub_ProjectGrantBenefitNo">
      <xsd:simpleType>
        <xsd:restriction base="dms:Text">
          <xsd:maxLength value="255"/>
        </xsd:restrictio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37B873-F6C8-4FF7-A8D2-D1F2CD2D0D12}">
  <ds:schemaRefs>
    <ds:schemaRef ds:uri="http://schemas.microsoft.com/sharepoint/events"/>
  </ds:schemaRefs>
</ds:datastoreItem>
</file>

<file path=customXml/itemProps2.xml><?xml version="1.0" encoding="utf-8"?>
<ds:datastoreItem xmlns:ds="http://schemas.openxmlformats.org/officeDocument/2006/customXml" ds:itemID="{E1C4E96D-5258-486B-AC33-B6242FEFCAEF}">
  <ds:schemaRefs>
    <ds:schemaRef ds:uri="http://schemas.microsoft.com/sharepoint/v3/contenttype/forms"/>
  </ds:schemaRefs>
</ds:datastoreItem>
</file>

<file path=customXml/itemProps3.xml><?xml version="1.0" encoding="utf-8"?>
<ds:datastoreItem xmlns:ds="http://schemas.openxmlformats.org/officeDocument/2006/customXml" ds:itemID="{227637B0-D29E-429D-8277-EA8CD410DF9C}">
  <ds:schemaRefs>
    <ds:schemaRef ds:uri="http://schemas.microsoft.com/office/2006/metadata/properties"/>
    <ds:schemaRef ds:uri="http://schemas.microsoft.com/office/infopath/2007/PartnerControls"/>
    <ds:schemaRef ds:uri="2a251b7e-61e4-4816-a71f-b295a9ad20fb"/>
    <ds:schemaRef ds:uri="http://schemas.microsoft.com/sharepoint/v4"/>
    <ds:schemaRef ds:uri="http://schemas.microsoft.com/sharepoint/v3"/>
  </ds:schemaRefs>
</ds:datastoreItem>
</file>

<file path=customXml/itemProps4.xml><?xml version="1.0" encoding="utf-8"?>
<ds:datastoreItem xmlns:ds="http://schemas.openxmlformats.org/officeDocument/2006/customXml" ds:itemID="{C5D31C40-320B-4F92-9DE1-B2A24E833ABB}">
  <ds:schemaRefs>
    <ds:schemaRef ds:uri="http://schemas.openxmlformats.org/officeDocument/2006/bibliography"/>
  </ds:schemaRefs>
</ds:datastoreItem>
</file>

<file path=customXml/itemProps5.xml><?xml version="1.0" encoding="utf-8"?>
<ds:datastoreItem xmlns:ds="http://schemas.openxmlformats.org/officeDocument/2006/customXml" ds:itemID="{DB2ACC2B-F792-4535-B704-7F189BF6A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Frequently asked questions</vt:lpstr>
    </vt:vector>
  </TitlesOfParts>
  <Company>Department of Industry, Innovation and Science</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and Answers (Q&amp;As)</dc:title>
  <dc:subject/>
  <cp:keywords/>
  <dc:description/>
  <cp:lastModifiedBy>King, Susan</cp:lastModifiedBy>
  <cp:revision>12</cp:revision>
  <cp:lastPrinted>2024-02-12T23:36:00Z</cp:lastPrinted>
  <dcterms:created xsi:type="dcterms:W3CDTF">2024-02-14T04:42:00Z</dcterms:created>
  <dcterms:modified xsi:type="dcterms:W3CDTF">2024-02-14T07:00:00Z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0x010100DBDD2C290D20814E9D2599A3B02167FC</vt:lpwstr>
  </property>
  <property fmtid="{D5CDD505-2E9C-101B-9397-08002B2CF9AE}" pid="3" name="DocHub_Year">
    <vt:lpwstr>610;#2023-24|2bbb4e10-dcf7-4095-8d75-647dc1a233b1</vt:lpwstr>
  </property>
  <property fmtid="{D5CDD505-2E9C-101B-9397-08002B2CF9AE}" pid="4" name="DocHub_DocumentType">
    <vt:lpwstr>608;#Enquiry|24498437-159b-478e-b05c-e6f60a548c16</vt:lpwstr>
  </property>
  <property fmtid="{D5CDD505-2E9C-101B-9397-08002B2CF9AE}" pid="5" name="DocHub_SecurityClassification">
    <vt:lpwstr>3;#OFFICIAL|6106d03b-a1a0-4e30-9d91-d5e9fb4314f9</vt:lpwstr>
  </property>
  <property fmtid="{D5CDD505-2E9C-101B-9397-08002B2CF9AE}" pid="6" name="DocHub_Keywords">
    <vt:lpwstr>49206;#Industry Growth - Industry Partner Support Program|63432787-1df4-40e2-9422-39c26622e0f3</vt:lpwstr>
  </property>
  <property fmtid="{D5CDD505-2E9C-101B-9397-08002B2CF9AE}" pid="7" name="DocHub_WorkActivity">
    <vt:lpwstr>45;#Applications|5ecf4bde-e578-40db-8d0b-1c50c4991d57</vt:lpwstr>
  </property>
  <property fmtid="{D5CDD505-2E9C-101B-9397-08002B2CF9AE}" pid="8" name="DocHub_EntityCustomer">
    <vt:lpwstr/>
  </property>
</Properties>
</file>