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B6583" w14:textId="74070085" w:rsidR="006709E4" w:rsidRPr="00F02684" w:rsidRDefault="00D94113" w:rsidP="00F02684">
      <w:pPr>
        <w:pStyle w:val="Heading1"/>
      </w:pPr>
      <w:r>
        <w:t xml:space="preserve">EXPORT CONTROL ACT </w:t>
      </w:r>
      <w:r w:rsidR="009319C0">
        <w:t>2020</w:t>
      </w:r>
    </w:p>
    <w:p w14:paraId="59821DAB" w14:textId="77777777" w:rsidR="006709E4" w:rsidRPr="00F02684" w:rsidRDefault="006709E4" w:rsidP="00F02684">
      <w:pPr>
        <w:pStyle w:val="Heading1"/>
        <w:rPr>
          <w:rStyle w:val="SubtleEmphasis"/>
          <w:caps/>
        </w:rPr>
        <w:sectPr w:rsidR="006709E4" w:rsidRPr="00F02684" w:rsidSect="006709E4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276" w:right="851" w:bottom="851" w:left="851" w:header="567" w:footer="708" w:gutter="0"/>
          <w:cols w:space="708"/>
          <w:titlePg/>
          <w:docGrid w:linePitch="360"/>
        </w:sectPr>
      </w:pPr>
    </w:p>
    <w:p w14:paraId="6FB9031B" w14:textId="43F6321D" w:rsidR="006709E4" w:rsidRPr="00616F0A" w:rsidRDefault="00A159F4" w:rsidP="00D94113">
      <w:pPr>
        <w:pStyle w:val="Custom3"/>
        <w:spacing w:after="240"/>
        <w:ind w:left="0"/>
        <w:rPr>
          <w:i/>
          <w:color w:val="808080"/>
        </w:rPr>
        <w:sectPr w:rsidR="006709E4" w:rsidRPr="00616F0A" w:rsidSect="006709E4">
          <w:type w:val="continuous"/>
          <w:pgSz w:w="11906" w:h="16838"/>
          <w:pgMar w:top="1276" w:right="851" w:bottom="851" w:left="851" w:header="567" w:footer="708" w:gutter="0"/>
          <w:cols w:space="708"/>
          <w:titlePg/>
          <w:docGrid w:linePitch="360"/>
        </w:sectPr>
      </w:pPr>
      <w:r w:rsidRPr="00616F0A">
        <w:rPr>
          <w:i/>
          <w:color w:val="808080"/>
        </w:rPr>
        <w:t xml:space="preserve">If your project </w:t>
      </w:r>
      <w:r w:rsidR="002834AE" w:rsidRPr="00616F0A">
        <w:rPr>
          <w:i/>
          <w:color w:val="808080"/>
        </w:rPr>
        <w:t>involves exporting live animals</w:t>
      </w:r>
      <w:r w:rsidR="006710B9" w:rsidRPr="00616F0A">
        <w:rPr>
          <w:i/>
          <w:color w:val="808080"/>
        </w:rPr>
        <w:t xml:space="preserve"> or plants</w:t>
      </w:r>
      <w:r w:rsidR="002834AE" w:rsidRPr="00616F0A">
        <w:rPr>
          <w:i/>
          <w:color w:val="808080"/>
        </w:rPr>
        <w:t xml:space="preserve">, </w:t>
      </w:r>
      <w:r w:rsidR="00A11A95" w:rsidRPr="00616F0A">
        <w:rPr>
          <w:i/>
          <w:color w:val="808080"/>
        </w:rPr>
        <w:t xml:space="preserve">animal </w:t>
      </w:r>
      <w:r w:rsidR="002834AE" w:rsidRPr="00616F0A">
        <w:rPr>
          <w:i/>
          <w:color w:val="808080"/>
        </w:rPr>
        <w:t>or</w:t>
      </w:r>
      <w:r w:rsidR="00A11A95" w:rsidRPr="00616F0A">
        <w:rPr>
          <w:i/>
          <w:color w:val="808080"/>
        </w:rPr>
        <w:t xml:space="preserve"> plant </w:t>
      </w:r>
      <w:r w:rsidRPr="00616F0A">
        <w:rPr>
          <w:i/>
          <w:color w:val="808080"/>
        </w:rPr>
        <w:t xml:space="preserve">products, </w:t>
      </w:r>
      <w:r w:rsidR="00783B86" w:rsidRPr="00616F0A">
        <w:rPr>
          <w:i/>
          <w:color w:val="808080"/>
        </w:rPr>
        <w:t xml:space="preserve">or food, </w:t>
      </w:r>
      <w:r w:rsidRPr="00616F0A">
        <w:rPr>
          <w:i/>
          <w:color w:val="808080"/>
        </w:rPr>
        <w:t>you must comply with this Act</w:t>
      </w:r>
      <w:r w:rsidR="003E48A2" w:rsidRPr="00616F0A">
        <w:rPr>
          <w:i/>
          <w:color w:val="808080"/>
        </w:rPr>
        <w:t>.</w:t>
      </w:r>
    </w:p>
    <w:p w14:paraId="27B928C8" w14:textId="77777777" w:rsidR="00AC12AA" w:rsidRPr="00271E3A" w:rsidRDefault="00B82084" w:rsidP="00AF3537">
      <w:pPr>
        <w:pStyle w:val="Heading2"/>
        <w:spacing w:before="0" w:after="120"/>
      </w:pPr>
      <w:r w:rsidRPr="00A9141C">
        <w:rPr>
          <w:rStyle w:val="IntenseEmphasis"/>
          <w:b/>
          <w:bCs/>
          <w:i w:val="0"/>
          <w:iCs w:val="0"/>
        </w:rPr>
        <w:t>1</w:t>
      </w:r>
      <w:r w:rsidRPr="00271E3A">
        <w:t>.</w:t>
      </w:r>
      <w:r w:rsidRPr="00271E3A">
        <w:tab/>
      </w:r>
      <w:r w:rsidR="00D94113" w:rsidRPr="00271E3A">
        <w:t xml:space="preserve">What approvals </w:t>
      </w:r>
      <w:r w:rsidR="007F26E2" w:rsidRPr="00271E3A">
        <w:t>do I need?</w:t>
      </w:r>
    </w:p>
    <w:p w14:paraId="48E0A068" w14:textId="150A8BD1" w:rsidR="00CF3468" w:rsidRDefault="00CF3468" w:rsidP="00AF3537">
      <w:pPr>
        <w:spacing w:after="0"/>
      </w:pPr>
      <w:r>
        <w:t>Permits and export certificates are required for the export of most goods including:</w:t>
      </w:r>
    </w:p>
    <w:p w14:paraId="6C769922" w14:textId="58F9DB66" w:rsidR="00CF3468" w:rsidRDefault="00CF3468" w:rsidP="00AF3537">
      <w:pPr>
        <w:pStyle w:val="ListParagraph"/>
        <w:numPr>
          <w:ilvl w:val="0"/>
          <w:numId w:val="18"/>
        </w:numPr>
        <w:spacing w:after="0"/>
        <w:contextualSpacing w:val="0"/>
      </w:pPr>
      <w:r>
        <w:t>Live animals, including companion animals</w:t>
      </w:r>
      <w:r w:rsidR="00E869A6">
        <w:t xml:space="preserve"> and animal reproductive material</w:t>
      </w:r>
    </w:p>
    <w:p w14:paraId="7E833BE6" w14:textId="29689271" w:rsidR="00CF3468" w:rsidRDefault="00CF3468" w:rsidP="00AF3537">
      <w:pPr>
        <w:pStyle w:val="ListParagraph"/>
        <w:numPr>
          <w:ilvl w:val="0"/>
          <w:numId w:val="18"/>
        </w:numPr>
        <w:spacing w:after="0"/>
        <w:contextualSpacing w:val="0"/>
      </w:pPr>
      <w:r>
        <w:t>Egg and egg products</w:t>
      </w:r>
    </w:p>
    <w:p w14:paraId="0B9DEB55" w14:textId="77777777" w:rsidR="00CF3468" w:rsidRDefault="00CF3468" w:rsidP="00AF3537">
      <w:pPr>
        <w:pStyle w:val="ListParagraph"/>
        <w:numPr>
          <w:ilvl w:val="0"/>
          <w:numId w:val="18"/>
        </w:numPr>
        <w:spacing w:after="0"/>
        <w:contextualSpacing w:val="0"/>
      </w:pPr>
      <w:r>
        <w:t>Fish and fish products</w:t>
      </w:r>
    </w:p>
    <w:p w14:paraId="4459CA42" w14:textId="77777777" w:rsidR="00CF3468" w:rsidRDefault="00CF3468" w:rsidP="00AF3537">
      <w:pPr>
        <w:pStyle w:val="ListParagraph"/>
        <w:numPr>
          <w:ilvl w:val="0"/>
          <w:numId w:val="18"/>
        </w:numPr>
        <w:spacing w:after="0"/>
        <w:contextualSpacing w:val="0"/>
      </w:pPr>
      <w:r>
        <w:t>Dairy products</w:t>
      </w:r>
    </w:p>
    <w:p w14:paraId="43B13086" w14:textId="77777777" w:rsidR="00CF3468" w:rsidRDefault="00CF3468" w:rsidP="00AF3537">
      <w:pPr>
        <w:pStyle w:val="ListParagraph"/>
        <w:numPr>
          <w:ilvl w:val="0"/>
          <w:numId w:val="18"/>
        </w:numPr>
        <w:spacing w:after="0"/>
        <w:contextualSpacing w:val="0"/>
      </w:pPr>
      <w:r>
        <w:t>Meat and meat products</w:t>
      </w:r>
    </w:p>
    <w:p w14:paraId="7F9F69C1" w14:textId="2BC6B7EB" w:rsidR="00CF3468" w:rsidRDefault="00CF3468" w:rsidP="00AF3537">
      <w:pPr>
        <w:pStyle w:val="ListParagraph"/>
        <w:numPr>
          <w:ilvl w:val="0"/>
          <w:numId w:val="18"/>
        </w:numPr>
        <w:spacing w:after="0"/>
        <w:contextualSpacing w:val="0"/>
      </w:pPr>
      <w:r>
        <w:t xml:space="preserve">Organic and biodynamic </w:t>
      </w:r>
      <w:r w:rsidR="00E869A6">
        <w:t xml:space="preserve">goods </w:t>
      </w:r>
    </w:p>
    <w:p w14:paraId="21A91297" w14:textId="018A7510" w:rsidR="00CF3468" w:rsidRDefault="00CF3468" w:rsidP="00AF3537">
      <w:pPr>
        <w:pStyle w:val="ListParagraph"/>
        <w:numPr>
          <w:ilvl w:val="0"/>
          <w:numId w:val="18"/>
        </w:numPr>
        <w:spacing w:after="0"/>
        <w:contextualSpacing w:val="0"/>
      </w:pPr>
      <w:r>
        <w:t>Plants and plant products</w:t>
      </w:r>
    </w:p>
    <w:p w14:paraId="6116119C" w14:textId="43A38BCE" w:rsidR="00E3153B" w:rsidRDefault="005770DC" w:rsidP="00AF3537">
      <w:pPr>
        <w:pStyle w:val="ListParagraph"/>
        <w:numPr>
          <w:ilvl w:val="0"/>
          <w:numId w:val="18"/>
        </w:numPr>
        <w:spacing w:after="0"/>
        <w:contextualSpacing w:val="0"/>
      </w:pPr>
      <w:r>
        <w:t>Poultry meat</w:t>
      </w:r>
      <w:r w:rsidR="00E3153B">
        <w:t xml:space="preserve"> and products</w:t>
      </w:r>
    </w:p>
    <w:p w14:paraId="278E0283" w14:textId="55BF4A1F" w:rsidR="00E3153B" w:rsidRDefault="00E3153B" w:rsidP="00AF3537">
      <w:pPr>
        <w:pStyle w:val="ListParagraph"/>
        <w:numPr>
          <w:ilvl w:val="0"/>
          <w:numId w:val="18"/>
        </w:numPr>
        <w:spacing w:after="0"/>
        <w:contextualSpacing w:val="0"/>
      </w:pPr>
      <w:bookmarkStart w:id="0" w:name="_GoBack"/>
      <w:r>
        <w:t>Rabbit and ratite meat and products</w:t>
      </w:r>
    </w:p>
    <w:bookmarkEnd w:id="0"/>
    <w:p w14:paraId="54AE81B6" w14:textId="4FAB0AFE" w:rsidR="00E3153B" w:rsidRDefault="00E3153B" w:rsidP="00AF3537">
      <w:pPr>
        <w:pStyle w:val="ListParagraph"/>
        <w:numPr>
          <w:ilvl w:val="0"/>
          <w:numId w:val="18"/>
        </w:numPr>
        <w:spacing w:after="0"/>
        <w:contextualSpacing w:val="0"/>
      </w:pPr>
      <w:r>
        <w:t>Wild game meat and products</w:t>
      </w:r>
    </w:p>
    <w:p w14:paraId="1DCFBF66" w14:textId="2DD5F42C" w:rsidR="00E3153B" w:rsidRDefault="00E3153B" w:rsidP="00AF3537">
      <w:pPr>
        <w:pStyle w:val="ListParagraph"/>
        <w:numPr>
          <w:ilvl w:val="0"/>
          <w:numId w:val="18"/>
        </w:numPr>
        <w:contextualSpacing w:val="0"/>
      </w:pPr>
      <w:r>
        <w:t>Wood and woodchips</w:t>
      </w:r>
      <w:r w:rsidR="005770DC">
        <w:t>.</w:t>
      </w:r>
      <w:r>
        <w:t xml:space="preserve"> </w:t>
      </w:r>
    </w:p>
    <w:p w14:paraId="055E51CF" w14:textId="1E05017C" w:rsidR="00061B7D" w:rsidRDefault="003805FE" w:rsidP="00AF3537">
      <w:pPr>
        <w:spacing w:after="0"/>
      </w:pPr>
      <w:r>
        <w:t>P</w:t>
      </w:r>
      <w:r w:rsidR="00061B7D">
        <w:t xml:space="preserve">remises </w:t>
      </w:r>
      <w:r w:rsidR="00EC42EA">
        <w:t xml:space="preserve">where </w:t>
      </w:r>
      <w:r w:rsidR="005559FB">
        <w:t xml:space="preserve">most </w:t>
      </w:r>
      <w:r w:rsidR="00EC42EA">
        <w:t>goods are prepared for export</w:t>
      </w:r>
      <w:r w:rsidR="00AE05D0">
        <w:t xml:space="preserve"> must be registered</w:t>
      </w:r>
      <w:r w:rsidR="00262481">
        <w:t xml:space="preserve"> or accredited</w:t>
      </w:r>
      <w:r w:rsidR="00AE05D0">
        <w:t>, including</w:t>
      </w:r>
      <w:r w:rsidR="00EC42EA">
        <w:t>:</w:t>
      </w:r>
    </w:p>
    <w:p w14:paraId="0E751AD0" w14:textId="1AAF2D00" w:rsidR="00EC42EA" w:rsidRDefault="00AE05D0" w:rsidP="00AF3537">
      <w:pPr>
        <w:pStyle w:val="ListParagraph"/>
        <w:numPr>
          <w:ilvl w:val="0"/>
          <w:numId w:val="19"/>
        </w:numPr>
        <w:spacing w:after="0"/>
        <w:contextualSpacing w:val="0"/>
      </w:pPr>
      <w:r>
        <w:t>Abattoirs</w:t>
      </w:r>
    </w:p>
    <w:p w14:paraId="3D926246" w14:textId="50A29B67" w:rsidR="00EC42EA" w:rsidRDefault="00AE05D0" w:rsidP="00AF3537">
      <w:pPr>
        <w:pStyle w:val="ListParagraph"/>
        <w:numPr>
          <w:ilvl w:val="0"/>
          <w:numId w:val="19"/>
        </w:numPr>
        <w:spacing w:after="0"/>
        <w:contextualSpacing w:val="0"/>
      </w:pPr>
      <w:r>
        <w:t xml:space="preserve">EU </w:t>
      </w:r>
      <w:r w:rsidR="0058768A">
        <w:t xml:space="preserve">cattle </w:t>
      </w:r>
      <w:r>
        <w:t>accredited and horticulture accredited properties</w:t>
      </w:r>
    </w:p>
    <w:p w14:paraId="614AF52F" w14:textId="2E384881" w:rsidR="00AE05D0" w:rsidRDefault="003805FE" w:rsidP="00AF3537">
      <w:pPr>
        <w:pStyle w:val="ListParagraph"/>
        <w:numPr>
          <w:ilvl w:val="0"/>
          <w:numId w:val="19"/>
        </w:numPr>
        <w:spacing w:after="0"/>
        <w:contextualSpacing w:val="0"/>
      </w:pPr>
      <w:r>
        <w:t>P</w:t>
      </w:r>
      <w:r w:rsidR="00EC42EA">
        <w:t xml:space="preserve">re-export quarantine, treatment and testing of </w:t>
      </w:r>
      <w:r w:rsidR="00F803F4">
        <w:t xml:space="preserve">live plants and </w:t>
      </w:r>
      <w:r w:rsidR="00AF3537">
        <w:t>livestock</w:t>
      </w:r>
    </w:p>
    <w:p w14:paraId="5EA624F3" w14:textId="36806ADF" w:rsidR="003805FE" w:rsidRDefault="003805FE" w:rsidP="00AF3537">
      <w:pPr>
        <w:pStyle w:val="ListParagraph"/>
        <w:numPr>
          <w:ilvl w:val="0"/>
          <w:numId w:val="19"/>
        </w:numPr>
        <w:spacing w:after="0"/>
        <w:contextualSpacing w:val="0"/>
      </w:pPr>
      <w:r>
        <w:t>Treatment, processing, packing or storage facilities</w:t>
      </w:r>
    </w:p>
    <w:p w14:paraId="47D856AD" w14:textId="0A7B12B5" w:rsidR="00CF3468" w:rsidRDefault="003805FE" w:rsidP="00AF3537">
      <w:pPr>
        <w:pStyle w:val="ListParagraph"/>
        <w:numPr>
          <w:ilvl w:val="0"/>
          <w:numId w:val="19"/>
        </w:numPr>
        <w:contextualSpacing w:val="0"/>
      </w:pPr>
      <w:r>
        <w:t>Fishing vessels where product is prepared for export.</w:t>
      </w:r>
    </w:p>
    <w:p w14:paraId="68350EDC" w14:textId="3E507F51" w:rsidR="00CF3468" w:rsidRDefault="00AE05D0" w:rsidP="00AF3537">
      <w:r>
        <w:t>E</w:t>
      </w:r>
      <w:r w:rsidR="00F803F4">
        <w:t xml:space="preserve">xporters </w:t>
      </w:r>
      <w:r w:rsidR="00333F10">
        <w:t>of beef, sheep</w:t>
      </w:r>
      <w:r w:rsidR="00D76A07">
        <w:t xml:space="preserve"> and</w:t>
      </w:r>
      <w:r>
        <w:t xml:space="preserve"> </w:t>
      </w:r>
      <w:r w:rsidR="00D76A07">
        <w:t xml:space="preserve">goat meat, </w:t>
      </w:r>
      <w:r w:rsidR="00256D8F">
        <w:t>and</w:t>
      </w:r>
      <w:r w:rsidR="00333F10">
        <w:t xml:space="preserve"> </w:t>
      </w:r>
      <w:r>
        <w:t xml:space="preserve">livestock </w:t>
      </w:r>
      <w:r w:rsidR="00333F10">
        <w:t xml:space="preserve">are </w:t>
      </w:r>
      <w:r w:rsidR="00F803F4">
        <w:t>require</w:t>
      </w:r>
      <w:r w:rsidR="00333F10">
        <w:t>d</w:t>
      </w:r>
      <w:r w:rsidR="00F803F4">
        <w:t xml:space="preserve"> to be licensed</w:t>
      </w:r>
    </w:p>
    <w:p w14:paraId="3685C53C" w14:textId="38D16577" w:rsidR="008B09AE" w:rsidRPr="008B09AE" w:rsidRDefault="006710B9" w:rsidP="00AF3537">
      <w:r>
        <w:t>More information</w:t>
      </w:r>
      <w:r w:rsidR="00F803F4">
        <w:t xml:space="preserve"> on the goods controlled by </w:t>
      </w:r>
      <w:r>
        <w:t xml:space="preserve">the </w:t>
      </w:r>
      <w:r w:rsidR="00F803F4">
        <w:t xml:space="preserve">Department of </w:t>
      </w:r>
      <w:r>
        <w:t>Agriculture</w:t>
      </w:r>
      <w:r w:rsidR="008B09AE">
        <w:t>, Water and the Environment</w:t>
      </w:r>
      <w:r w:rsidR="00F803F4">
        <w:t xml:space="preserve"> is available </w:t>
      </w:r>
      <w:hyperlink r:id="rId17" w:history="1">
        <w:r w:rsidR="00F803F4">
          <w:rPr>
            <w:rStyle w:val="Hyperlink"/>
          </w:rPr>
          <w:t>here</w:t>
        </w:r>
      </w:hyperlink>
      <w:r>
        <w:t>.</w:t>
      </w:r>
    </w:p>
    <w:p w14:paraId="53AB3402" w14:textId="77777777" w:rsidR="00C67C5A" w:rsidRPr="00A9141C" w:rsidRDefault="00C67C5A" w:rsidP="00AF3537">
      <w:pPr>
        <w:pStyle w:val="Heading2"/>
        <w:spacing w:before="0" w:after="120"/>
        <w:rPr>
          <w:rStyle w:val="IntenseEmphasis"/>
          <w:b/>
          <w:i w:val="0"/>
        </w:rPr>
      </w:pPr>
      <w:r w:rsidRPr="00A9141C">
        <w:rPr>
          <w:rStyle w:val="IntenseEmphasis"/>
          <w:b/>
          <w:i w:val="0"/>
        </w:rPr>
        <w:t>2.</w:t>
      </w:r>
      <w:r w:rsidRPr="00A9141C">
        <w:rPr>
          <w:rStyle w:val="IntenseEmphasis"/>
          <w:b/>
          <w:i w:val="0"/>
        </w:rPr>
        <w:tab/>
      </w:r>
      <w:r w:rsidRPr="00A9141C">
        <w:rPr>
          <w:rStyle w:val="Heading2Char"/>
          <w:b/>
        </w:rPr>
        <w:t>Who provides approvals?</w:t>
      </w:r>
    </w:p>
    <w:p w14:paraId="459C6B81" w14:textId="10F1F22E" w:rsidR="00C67C5A" w:rsidRPr="006E5CCE" w:rsidRDefault="00C67C5A" w:rsidP="00AF3537">
      <w:pPr>
        <w:rPr>
          <w:rStyle w:val="IntenseEmphasis"/>
          <w:rFonts w:ascii="Arial" w:eastAsiaTheme="majorEastAsia" w:hAnsi="Arial" w:cstheme="majorBidi"/>
          <w:b w:val="0"/>
          <w:bCs w:val="0"/>
          <w:i w:val="0"/>
          <w:iCs w:val="0"/>
          <w:color w:val="auto"/>
          <w:szCs w:val="26"/>
        </w:rPr>
      </w:pPr>
      <w:r>
        <w:t>The Department of Agriculture</w:t>
      </w:r>
      <w:r w:rsidR="008147DD">
        <w:t>, Water and the Environment</w:t>
      </w:r>
      <w:r>
        <w:t xml:space="preserve"> regulates the export of goods under the</w:t>
      </w:r>
      <w:r w:rsidRPr="00D308BC">
        <w:t xml:space="preserve"> </w:t>
      </w:r>
      <w:r w:rsidRPr="00B04B31">
        <w:rPr>
          <w:i/>
        </w:rPr>
        <w:t xml:space="preserve">Export Control Act </w:t>
      </w:r>
      <w:r w:rsidR="00687E73">
        <w:rPr>
          <w:i/>
        </w:rPr>
        <w:t>2020</w:t>
      </w:r>
      <w:r w:rsidR="008B09AE">
        <w:rPr>
          <w:i/>
        </w:rPr>
        <w:t>.</w:t>
      </w:r>
    </w:p>
    <w:p w14:paraId="1CD4FF52" w14:textId="728275C1" w:rsidR="00D94113" w:rsidRPr="00E1666B" w:rsidRDefault="00B82084" w:rsidP="00AF3537">
      <w:pPr>
        <w:pStyle w:val="Heading2"/>
        <w:spacing w:before="0" w:after="120"/>
        <w:rPr>
          <w:rFonts w:asciiTheme="minorHAnsi" w:eastAsiaTheme="minorHAnsi" w:hAnsiTheme="minorHAnsi" w:cstheme="minorBidi"/>
          <w:color w:val="auto"/>
          <w:szCs w:val="20"/>
        </w:rPr>
      </w:pPr>
      <w:r w:rsidRPr="00A9141C">
        <w:rPr>
          <w:rStyle w:val="IntenseEmphasis"/>
          <w:b/>
          <w:i w:val="0"/>
        </w:rPr>
        <w:t>3.</w:t>
      </w:r>
      <w:r w:rsidRPr="00A9141C">
        <w:rPr>
          <w:rStyle w:val="IntenseEmphasis"/>
          <w:b/>
          <w:i w:val="0"/>
        </w:rPr>
        <w:tab/>
      </w:r>
      <w:r w:rsidR="00061B7D" w:rsidRPr="00A9141C">
        <w:rPr>
          <w:rStyle w:val="Heading2Char"/>
          <w:b/>
        </w:rPr>
        <w:t xml:space="preserve">How </w:t>
      </w:r>
      <w:r w:rsidR="00333F10" w:rsidRPr="00A9141C">
        <w:rPr>
          <w:rStyle w:val="Heading2Char"/>
          <w:b/>
        </w:rPr>
        <w:t>d</w:t>
      </w:r>
      <w:r w:rsidR="00061B7D" w:rsidRPr="00A9141C">
        <w:rPr>
          <w:rStyle w:val="Heading2Char"/>
          <w:b/>
        </w:rPr>
        <w:t>o I</w:t>
      </w:r>
      <w:r w:rsidRPr="00A9141C">
        <w:rPr>
          <w:rStyle w:val="Heading2Char"/>
          <w:b/>
        </w:rPr>
        <w:t xml:space="preserve"> </w:t>
      </w:r>
      <w:r w:rsidR="00B44479" w:rsidRPr="00A9141C">
        <w:rPr>
          <w:rStyle w:val="Heading2Char"/>
          <w:b/>
        </w:rPr>
        <w:t>get</w:t>
      </w:r>
      <w:r w:rsidRPr="00A9141C">
        <w:rPr>
          <w:rStyle w:val="Heading2Char"/>
          <w:b/>
        </w:rPr>
        <w:t xml:space="preserve"> </w:t>
      </w:r>
      <w:r w:rsidR="006710B9" w:rsidRPr="00A9141C">
        <w:rPr>
          <w:rStyle w:val="Heading2Char"/>
          <w:b/>
        </w:rPr>
        <w:t>Australian Government</w:t>
      </w:r>
      <w:r w:rsidRPr="00A9141C">
        <w:rPr>
          <w:rStyle w:val="Heading2Char"/>
          <w:b/>
        </w:rPr>
        <w:t xml:space="preserve"> approval?</w:t>
      </w:r>
    </w:p>
    <w:p w14:paraId="32539CE5" w14:textId="6833270E" w:rsidR="00F803F4" w:rsidRDefault="00EC42EA" w:rsidP="00AF3537">
      <w:pPr>
        <w:pStyle w:val="ListParagraph"/>
        <w:spacing w:after="0"/>
        <w:ind w:left="0" w:firstLine="0"/>
        <w:contextualSpacing w:val="0"/>
        <w:rPr>
          <w:rStyle w:val="IntenseEmphasis"/>
          <w:rFonts w:ascii="Arial" w:eastAsiaTheme="majorEastAsia" w:hAnsi="Arial" w:cstheme="majorBidi"/>
          <w:b w:val="0"/>
          <w:bCs w:val="0"/>
          <w:i w:val="0"/>
          <w:color w:val="auto"/>
          <w:szCs w:val="26"/>
        </w:rPr>
      </w:pPr>
      <w:r w:rsidRPr="00E1666B">
        <w:t>Guidelines and application forms are</w:t>
      </w:r>
      <w:r w:rsidR="00AC12AA" w:rsidRPr="00E1666B">
        <w:t xml:space="preserve"> available on the </w:t>
      </w:r>
      <w:r w:rsidR="006710B9" w:rsidRPr="00E1666B">
        <w:t>D</w:t>
      </w:r>
      <w:r w:rsidR="006710B9">
        <w:rPr>
          <w:rStyle w:val="IntenseEmphasis"/>
          <w:b w:val="0"/>
          <w:i w:val="0"/>
          <w:color w:val="auto"/>
        </w:rPr>
        <w:t xml:space="preserve">epartment of </w:t>
      </w:r>
      <w:r w:rsidR="00AC12AA">
        <w:rPr>
          <w:rStyle w:val="IntenseEmphasis"/>
          <w:b w:val="0"/>
          <w:i w:val="0"/>
          <w:color w:val="auto"/>
        </w:rPr>
        <w:t>Agriculture</w:t>
      </w:r>
      <w:r w:rsidR="008B09AE">
        <w:rPr>
          <w:rStyle w:val="IntenseEmphasis"/>
          <w:b w:val="0"/>
          <w:i w:val="0"/>
          <w:color w:val="auto"/>
        </w:rPr>
        <w:t>, Water and the Environment</w:t>
      </w:r>
      <w:r w:rsidR="00AC12AA">
        <w:rPr>
          <w:rStyle w:val="IntenseEmphasis"/>
          <w:b w:val="0"/>
          <w:i w:val="0"/>
          <w:color w:val="auto"/>
        </w:rPr>
        <w:t xml:space="preserve"> </w:t>
      </w:r>
      <w:r w:rsidR="00F803F4">
        <w:rPr>
          <w:rStyle w:val="IntenseEmphasis"/>
          <w:b w:val="0"/>
          <w:i w:val="0"/>
          <w:color w:val="auto"/>
        </w:rPr>
        <w:t>website, including:</w:t>
      </w:r>
    </w:p>
    <w:p w14:paraId="4CB6C832" w14:textId="77777777" w:rsidR="00F803F4" w:rsidRDefault="00F803F4" w:rsidP="00AF3537">
      <w:pPr>
        <w:pStyle w:val="ListParagraph"/>
        <w:numPr>
          <w:ilvl w:val="0"/>
          <w:numId w:val="20"/>
        </w:numPr>
        <w:spacing w:after="0"/>
        <w:contextualSpacing w:val="0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r</w:t>
      </w:r>
      <w:r w:rsidR="006710B9">
        <w:rPr>
          <w:rStyle w:val="IntenseEmphasis"/>
          <w:b w:val="0"/>
          <w:i w:val="0"/>
          <w:color w:val="auto"/>
        </w:rPr>
        <w:t xml:space="preserve">egistration of an establishment </w:t>
      </w:r>
      <w:hyperlink r:id="rId18" w:history="1">
        <w:r w:rsidR="006710B9" w:rsidRPr="006710B9">
          <w:rPr>
            <w:rStyle w:val="Hyperlink"/>
          </w:rPr>
          <w:t>here</w:t>
        </w:r>
      </w:hyperlink>
    </w:p>
    <w:p w14:paraId="1B2AF930" w14:textId="76D61155" w:rsidR="00150EAC" w:rsidRDefault="00150EAC" w:rsidP="00AF3537">
      <w:pPr>
        <w:pStyle w:val="ListParagraph"/>
        <w:numPr>
          <w:ilvl w:val="0"/>
          <w:numId w:val="20"/>
        </w:numPr>
        <w:spacing w:after="0"/>
        <w:contextualSpacing w:val="0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 xml:space="preserve">registration of an establishment for livestock exports </w:t>
      </w:r>
      <w:hyperlink r:id="rId19" w:history="1">
        <w:r w:rsidR="006E5CCE" w:rsidRPr="006E5CCE">
          <w:rPr>
            <w:rStyle w:val="Hyperlink"/>
          </w:rPr>
          <w:t>here</w:t>
        </w:r>
      </w:hyperlink>
    </w:p>
    <w:p w14:paraId="5AA663CD" w14:textId="487DD93D" w:rsidR="00F803F4" w:rsidRPr="00150EAC" w:rsidRDefault="00F803F4" w:rsidP="00AF3537">
      <w:pPr>
        <w:pStyle w:val="ListParagraph"/>
        <w:numPr>
          <w:ilvl w:val="0"/>
          <w:numId w:val="20"/>
        </w:numPr>
        <w:spacing w:after="0"/>
        <w:contextualSpacing w:val="0"/>
        <w:rPr>
          <w:rStyle w:val="Hyperlink"/>
          <w:bCs/>
          <w:iCs/>
          <w:color w:val="auto"/>
          <w:u w:val="none"/>
        </w:rPr>
      </w:pPr>
      <w:r>
        <w:rPr>
          <w:rStyle w:val="IntenseEmphasis"/>
          <w:b w:val="0"/>
          <w:i w:val="0"/>
          <w:color w:val="auto"/>
        </w:rPr>
        <w:t xml:space="preserve">meat export </w:t>
      </w:r>
      <w:r w:rsidR="0037687B">
        <w:rPr>
          <w:rStyle w:val="IntenseEmphasis"/>
          <w:b w:val="0"/>
          <w:i w:val="0"/>
          <w:color w:val="auto"/>
        </w:rPr>
        <w:t xml:space="preserve">licence </w:t>
      </w:r>
      <w:hyperlink r:id="rId20" w:history="1">
        <w:r w:rsidRPr="00F803F4">
          <w:rPr>
            <w:rStyle w:val="Hyperlink"/>
          </w:rPr>
          <w:t>here</w:t>
        </w:r>
      </w:hyperlink>
    </w:p>
    <w:p w14:paraId="3C4FA69C" w14:textId="24E6A2B0" w:rsidR="00150EAC" w:rsidRDefault="006E5CCE" w:rsidP="00AF3537">
      <w:pPr>
        <w:pStyle w:val="ListParagraph"/>
        <w:numPr>
          <w:ilvl w:val="0"/>
          <w:numId w:val="20"/>
        </w:numPr>
        <w:spacing w:after="0"/>
        <w:contextualSpacing w:val="0"/>
        <w:rPr>
          <w:rStyle w:val="IntenseEmphasis"/>
          <w:b w:val="0"/>
          <w:i w:val="0"/>
          <w:color w:val="auto"/>
        </w:rPr>
      </w:pPr>
      <w:r>
        <w:rPr>
          <w:rStyle w:val="Hyperlink"/>
          <w:color w:val="auto"/>
          <w:u w:val="none"/>
        </w:rPr>
        <w:t xml:space="preserve">livestock export licence </w:t>
      </w:r>
      <w:hyperlink r:id="rId21" w:history="1">
        <w:r w:rsidRPr="006E5CCE">
          <w:rPr>
            <w:rStyle w:val="Hyperlink"/>
          </w:rPr>
          <w:t>here</w:t>
        </w:r>
      </w:hyperlink>
    </w:p>
    <w:p w14:paraId="31E54E0D" w14:textId="2BC2358B" w:rsidR="00CF3468" w:rsidRPr="00AF3537" w:rsidRDefault="00F803F4" w:rsidP="00AF3537">
      <w:pPr>
        <w:pStyle w:val="ListParagraph"/>
        <w:numPr>
          <w:ilvl w:val="0"/>
          <w:numId w:val="20"/>
        </w:numPr>
        <w:contextualSpacing w:val="0"/>
        <w:rPr>
          <w:rStyle w:val="IntenseEmphasis"/>
          <w:b w:val="0"/>
          <w:i w:val="0"/>
          <w:color w:val="auto"/>
        </w:rPr>
      </w:pPr>
      <w:proofErr w:type="gramStart"/>
      <w:r>
        <w:rPr>
          <w:rStyle w:val="IntenseEmphasis"/>
          <w:b w:val="0"/>
          <w:i w:val="0"/>
          <w:color w:val="auto"/>
        </w:rPr>
        <w:t>permits</w:t>
      </w:r>
      <w:proofErr w:type="gramEnd"/>
      <w:r>
        <w:rPr>
          <w:rStyle w:val="IntenseEmphasis"/>
          <w:b w:val="0"/>
          <w:i w:val="0"/>
          <w:color w:val="auto"/>
        </w:rPr>
        <w:t xml:space="preserve"> and export certificates</w:t>
      </w:r>
      <w:r w:rsidR="00222CEA">
        <w:rPr>
          <w:rStyle w:val="IntenseEmphasis"/>
          <w:b w:val="0"/>
          <w:i w:val="0"/>
          <w:color w:val="auto"/>
        </w:rPr>
        <w:t xml:space="preserve"> for non-livestock commodities</w:t>
      </w:r>
      <w:r>
        <w:rPr>
          <w:rStyle w:val="IntenseEmphasis"/>
          <w:b w:val="0"/>
          <w:i w:val="0"/>
          <w:color w:val="auto"/>
        </w:rPr>
        <w:t xml:space="preserve"> </w:t>
      </w:r>
      <w:hyperlink r:id="rId22" w:history="1">
        <w:r w:rsidRPr="00F803F4">
          <w:rPr>
            <w:rStyle w:val="Hyperlink"/>
          </w:rPr>
          <w:t>here</w:t>
        </w:r>
      </w:hyperlink>
      <w:r w:rsidR="00EC42EA" w:rsidRPr="00EC42EA">
        <w:rPr>
          <w:rStyle w:val="IntenseEmphasis"/>
          <w:b w:val="0"/>
          <w:i w:val="0"/>
          <w:color w:val="auto"/>
        </w:rPr>
        <w:t>.</w:t>
      </w:r>
    </w:p>
    <w:p w14:paraId="5465047C" w14:textId="4947D4CF" w:rsidR="00C67C5A" w:rsidRPr="00A9141C" w:rsidRDefault="00305AA0" w:rsidP="00AF3537">
      <w:pPr>
        <w:pStyle w:val="Heading2"/>
        <w:spacing w:before="0" w:after="120"/>
        <w:rPr>
          <w:b w:val="0"/>
          <w:iCs/>
        </w:rPr>
      </w:pPr>
      <w:r w:rsidRPr="00A9141C">
        <w:rPr>
          <w:rStyle w:val="IntenseEmphasis"/>
          <w:b/>
          <w:i w:val="0"/>
        </w:rPr>
        <w:t>4</w:t>
      </w:r>
      <w:r w:rsidR="00752716" w:rsidRPr="00A9141C">
        <w:rPr>
          <w:rStyle w:val="IntenseEmphasis"/>
          <w:b/>
          <w:i w:val="0"/>
        </w:rPr>
        <w:t>.</w:t>
      </w:r>
      <w:r w:rsidR="00752716" w:rsidRPr="00A9141C">
        <w:rPr>
          <w:rStyle w:val="IntenseEmphasis"/>
          <w:b/>
          <w:i w:val="0"/>
        </w:rPr>
        <w:tab/>
      </w:r>
      <w:r w:rsidR="007F26E2" w:rsidRPr="00A9141C">
        <w:rPr>
          <w:rStyle w:val="Heading2Char"/>
          <w:b/>
        </w:rPr>
        <w:t>More information</w:t>
      </w:r>
    </w:p>
    <w:p w14:paraId="4FB26E82" w14:textId="77777777" w:rsidR="00CF3468" w:rsidRDefault="00CF3468" w:rsidP="00AF3537">
      <w:pPr>
        <w:pStyle w:val="Heading3"/>
        <w:spacing w:before="0" w:after="120"/>
      </w:pPr>
      <w:r>
        <w:t>Commonwealth</w:t>
      </w:r>
    </w:p>
    <w:p w14:paraId="6DEEB00A" w14:textId="548CF1F5" w:rsidR="00CF3468" w:rsidRPr="00CF3468" w:rsidRDefault="00CF3468" w:rsidP="00AF3537">
      <w:pPr>
        <w:rPr>
          <w:rFonts w:cstheme="minorHAnsi"/>
        </w:rPr>
      </w:pPr>
      <w:r w:rsidRPr="00CF3468">
        <w:rPr>
          <w:rFonts w:cstheme="minorHAnsi"/>
        </w:rPr>
        <w:t>More information on exporting from Australia is available on the Department of Agriculture</w:t>
      </w:r>
      <w:r w:rsidR="007B1F0B">
        <w:rPr>
          <w:rFonts w:cstheme="minorHAnsi"/>
        </w:rPr>
        <w:t>, Water and Environment</w:t>
      </w:r>
      <w:r w:rsidRPr="00CF3468">
        <w:rPr>
          <w:rFonts w:cstheme="minorHAnsi"/>
        </w:rPr>
        <w:t xml:space="preserve"> </w:t>
      </w:r>
      <w:hyperlink r:id="rId23" w:history="1">
        <w:r w:rsidRPr="00CF3468">
          <w:rPr>
            <w:rStyle w:val="Hyperlink"/>
            <w:rFonts w:cstheme="minorHAnsi"/>
          </w:rPr>
          <w:t>website</w:t>
        </w:r>
      </w:hyperlink>
      <w:r w:rsidRPr="00CF3468">
        <w:rPr>
          <w:rFonts w:cstheme="minorHAnsi"/>
        </w:rPr>
        <w:t>.</w:t>
      </w:r>
    </w:p>
    <w:p w14:paraId="600DFDF2" w14:textId="0B466119" w:rsidR="00CF3468" w:rsidRPr="00BF3D9C" w:rsidRDefault="00CF3468" w:rsidP="00AF3537">
      <w:pPr>
        <w:pStyle w:val="Heading3"/>
        <w:spacing w:before="0" w:after="120"/>
      </w:pPr>
      <w:r w:rsidRPr="00BF3D9C">
        <w:t>Major Projects Facilitation Agency</w:t>
      </w:r>
    </w:p>
    <w:p w14:paraId="3E2B2363" w14:textId="77777777" w:rsidR="00AF3537" w:rsidRDefault="00CF3468" w:rsidP="00AF3537">
      <w:r>
        <w:rPr>
          <w:rFonts w:cstheme="minorHAnsi"/>
        </w:rPr>
        <w:t xml:space="preserve">If you would like assistance to identify the regulatory obligations for your project, please visit our </w:t>
      </w:r>
      <w:hyperlink r:id="rId24" w:history="1">
        <w:r w:rsidRPr="00D57FC2">
          <w:rPr>
            <w:rStyle w:val="Hyperlink"/>
            <w:rFonts w:cstheme="minorHAnsi"/>
          </w:rPr>
          <w:t>Online Tool</w:t>
        </w:r>
      </w:hyperlink>
      <w:r>
        <w:rPr>
          <w:rFonts w:cstheme="minorHAnsi"/>
        </w:rPr>
        <w:t xml:space="preserve"> or contact us:</w:t>
      </w:r>
      <w:r w:rsidR="008B09AE">
        <w:t xml:space="preserve"> </w:t>
      </w:r>
    </w:p>
    <w:p w14:paraId="2F8C3DCB" w14:textId="0EC834E3" w:rsidR="00B82084" w:rsidRPr="00F90221" w:rsidRDefault="00AF3537" w:rsidP="00AF3537">
      <w:pPr>
        <w:rPr>
          <w:rStyle w:val="IntenseEmphasis"/>
          <w:b w:val="0"/>
          <w:bCs w:val="0"/>
          <w:i w:val="0"/>
          <w:iCs w:val="0"/>
          <w:color w:val="005677" w:themeColor="hyperlink"/>
          <w:u w:val="single"/>
        </w:rPr>
      </w:pPr>
      <w:r>
        <w:t>Email:</w:t>
      </w:r>
      <w:r>
        <w:tab/>
      </w:r>
      <w:r w:rsidR="004D5E5B" w:rsidRPr="004D5E5B">
        <w:rPr>
          <w:rStyle w:val="Hyperlink"/>
        </w:rPr>
        <w:t>mpfa@industry.gov.au</w:t>
      </w:r>
    </w:p>
    <w:sectPr w:rsidR="00B82084" w:rsidRPr="00F90221" w:rsidSect="006709E4">
      <w:type w:val="continuous"/>
      <w:pgSz w:w="11906" w:h="16838"/>
      <w:pgMar w:top="1276" w:right="851" w:bottom="851" w:left="851" w:header="567" w:footer="708" w:gutter="0"/>
      <w:cols w:num="2"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C1978" w16cex:dateUtc="2021-04-22T05:49:00Z"/>
  <w16cex:commentExtensible w16cex:durableId="242C1A52" w16cex:dateUtc="2021-04-22T05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309EBB" w16cid:durableId="242C1978"/>
  <w16cid:commentId w16cid:paraId="6C77773F" w16cid:durableId="242C1A52"/>
  <w16cid:commentId w16cid:paraId="2A5013B1" w16cid:durableId="242C16A8"/>
  <w16cid:commentId w16cid:paraId="6E00943A" w16cid:durableId="242C16A9"/>
  <w16cid:commentId w16cid:paraId="3FE421D5" w16cid:durableId="242C16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A1C7D" w14:textId="77777777" w:rsidR="00326C58" w:rsidRDefault="00326C58" w:rsidP="00B526AB">
      <w:pPr>
        <w:spacing w:after="0"/>
      </w:pPr>
      <w:r>
        <w:separator/>
      </w:r>
    </w:p>
  </w:endnote>
  <w:endnote w:type="continuationSeparator" w:id="0">
    <w:p w14:paraId="337A0CB4" w14:textId="77777777" w:rsidR="00326C58" w:rsidRDefault="00326C58" w:rsidP="00B52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9AF81" w14:textId="77777777" w:rsidR="006709E4" w:rsidRDefault="006709E4" w:rsidP="006B007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DCECFDD" w14:textId="77777777" w:rsidR="006709E4" w:rsidRDefault="006709E4" w:rsidP="006B007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4B489" w14:textId="77777777" w:rsidR="006709E4" w:rsidRDefault="006709E4" w:rsidP="007B2AA7">
    <w:pPr>
      <w:pStyle w:val="Footer"/>
      <w:ind w:left="284"/>
    </w:pPr>
    <w:r w:rsidRPr="0057207B">
      <w:t>This fact sheet provides general information and does not constitute legal advice. You should seek independent legal advice tailored to your individual circumstances.</w:t>
    </w:r>
    <w:r w:rsidR="005F0145">
      <w:t xml:space="preserve"> The Major Project Approval Agency (MPAA) assists Major Project Proponents to navigate the approvals process, however the MPAA it does not grant approvals, nor administer this Act or Regulations. </w:t>
    </w:r>
  </w:p>
  <w:p w14:paraId="493EDA97" w14:textId="3710DD6E" w:rsidR="006709E4" w:rsidRDefault="006709E4" w:rsidP="007B2AA7">
    <w:pPr>
      <w:pStyle w:val="Footer"/>
      <w:tabs>
        <w:tab w:val="clear" w:pos="3969"/>
        <w:tab w:val="clear" w:pos="6804"/>
      </w:tabs>
      <w:ind w:left="284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hyperlink r:id="rId1" w:history="1">
      <w:r w:rsidRPr="008E1EE6">
        <w:rPr>
          <w:rStyle w:val="Hyperlink"/>
        </w:rPr>
        <w:t>contact@mpaa.gov.au</w:t>
      </w:r>
    </w:hyperlink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BC2337">
      <w:t>07</w:t>
    </w:r>
    <w:r w:rsidR="00BC2337" w:rsidRPr="0057207B">
      <w:t xml:space="preserve"> </w:t>
    </w:r>
    <w:r w:rsidR="00BC2337">
      <w:t>January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0F661" w14:textId="77777777" w:rsidR="006709E4" w:rsidRPr="0057207B" w:rsidRDefault="006709E4" w:rsidP="0057207B">
    <w:pPr>
      <w:pStyle w:val="Footer"/>
      <w:framePr w:wrap="around" w:vAnchor="text" w:hAnchor="margin" w:y="1"/>
      <w:rPr>
        <w:rStyle w:val="PageNumber"/>
        <w:b/>
        <w:bCs/>
        <w:szCs w:val="16"/>
      </w:rPr>
    </w:pPr>
  </w:p>
  <w:p w14:paraId="6178A43A" w14:textId="0E79CC23" w:rsidR="006709E4" w:rsidRDefault="006709E4" w:rsidP="0057207B">
    <w:pPr>
      <w:pStyle w:val="Footer"/>
      <w:ind w:left="284"/>
    </w:pPr>
    <w:r w:rsidRPr="0057207B">
      <w:t>This fact sheet provides general information and does not constitute legal advice. You should seek independent legal advice tailored to your individual circumstances.</w:t>
    </w:r>
    <w:r w:rsidR="00FA4D69">
      <w:t xml:space="preserve"> The Major Project</w:t>
    </w:r>
    <w:r w:rsidR="003E48A2">
      <w:t>s</w:t>
    </w:r>
    <w:r w:rsidR="00FA4D69">
      <w:t xml:space="preserve"> </w:t>
    </w:r>
    <w:r w:rsidR="00D12F1A">
      <w:t>Facilitation Agency (MPF</w:t>
    </w:r>
    <w:r w:rsidR="00FA4D69">
      <w:t>A) assists Major Project Proponents to</w:t>
    </w:r>
    <w:r w:rsidR="003E48A2">
      <w:t xml:space="preserve"> navigate the approvals process.</w:t>
    </w:r>
    <w:r w:rsidR="00FA4D69">
      <w:t xml:space="preserve"> </w:t>
    </w:r>
    <w:r w:rsidR="00D12F1A">
      <w:t>The MPF</w:t>
    </w:r>
    <w:r w:rsidR="003E48A2">
      <w:t xml:space="preserve">A </w:t>
    </w:r>
    <w:r w:rsidR="00FA4D69">
      <w:t>does not grant approvals, nor administer this Act or Regulations.</w:t>
    </w:r>
  </w:p>
  <w:p w14:paraId="6C413FBA" w14:textId="42285C3F" w:rsidR="006709E4" w:rsidRDefault="00452F4C" w:rsidP="007B2AA7">
    <w:pPr>
      <w:pStyle w:val="Footer"/>
      <w:tabs>
        <w:tab w:val="clear" w:pos="3969"/>
        <w:tab w:val="clear" w:pos="6804"/>
      </w:tabs>
      <w:ind w:left="284"/>
    </w:pPr>
    <w:hyperlink r:id="rId1" w:tooltip="www.business.gov.au/mpfa " w:history="1">
      <w:r w:rsidR="00F90221" w:rsidRPr="00EA057C">
        <w:rPr>
          <w:rStyle w:val="Hyperlink"/>
        </w:rPr>
        <w:t>www.business.gov.au/mpfa</w:t>
      </w:r>
    </w:hyperlink>
    <w:r w:rsidR="00F90221">
      <w:t xml:space="preserve"> </w:t>
    </w:r>
    <w:r w:rsidR="00F90221">
      <w:tab/>
    </w:r>
    <w:r w:rsidR="00F90221">
      <w:tab/>
    </w:r>
    <w:r w:rsidR="00F90221">
      <w:tab/>
    </w:r>
    <w:r w:rsidR="00F90221">
      <w:tab/>
    </w:r>
    <w:r w:rsidR="00F90221">
      <w:tab/>
    </w:r>
    <w:r w:rsidR="00F90221">
      <w:tab/>
    </w:r>
    <w:r w:rsidR="00F90221">
      <w:tab/>
    </w:r>
    <w:r w:rsidR="00F90221">
      <w:tab/>
    </w:r>
    <w:r w:rsidR="00F90221">
      <w:tab/>
    </w:r>
    <w:r w:rsidR="00F90221">
      <w:tab/>
    </w:r>
    <w:r w:rsidRPr="00452F4C">
      <w:rPr>
        <w:rStyle w:val="Hyperlink"/>
      </w:rPr>
      <w:t>mpfa@industry.gov.au</w:t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616F0A">
      <w:t xml:space="preserve">June </w:t>
    </w:r>
    <w:r w:rsidR="0062200D">
      <w:t>202</w:t>
    </w:r>
    <w:r w:rsidR="00920DC5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7C3ED" w14:textId="77777777" w:rsidR="00326C58" w:rsidRDefault="00326C58" w:rsidP="00B526AB">
      <w:pPr>
        <w:spacing w:after="0"/>
      </w:pPr>
      <w:r>
        <w:separator/>
      </w:r>
    </w:p>
  </w:footnote>
  <w:footnote w:type="continuationSeparator" w:id="0">
    <w:p w14:paraId="25C304DC" w14:textId="77777777" w:rsidR="00326C58" w:rsidRDefault="00326C58" w:rsidP="00B526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B1963" w14:textId="280D3FF3" w:rsidR="00D94113" w:rsidRDefault="00D94113">
    <w:pPr>
      <w:pStyle w:val="Header"/>
    </w:pPr>
  </w:p>
  <w:p w14:paraId="1999E0FB" w14:textId="58C7560D" w:rsidR="00D94113" w:rsidRPr="00F02684" w:rsidRDefault="00D94113" w:rsidP="00D94113">
    <w:pPr>
      <w:pStyle w:val="Heading1"/>
    </w:pPr>
    <w:r>
      <w:t xml:space="preserve">EXPORT CONTROL ACT </w:t>
    </w:r>
    <w:r w:rsidR="008B09AE">
      <w:t>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9B1BE" w14:textId="137F36EA" w:rsidR="006709E4" w:rsidRDefault="00D12F1A">
    <w:pPr>
      <w:pStyle w:val="Header"/>
    </w:pPr>
    <w:r w:rsidRPr="00D12F1A">
      <w:rPr>
        <w:rFonts w:ascii="Calibri" w:eastAsia="Calibri" w:hAnsi="Calibri" w:cs="Times New Roman"/>
        <w:noProof/>
        <w:spacing w:val="0"/>
        <w:sz w:val="22"/>
        <w:szCs w:val="22"/>
        <w:lang w:eastAsia="en-AU"/>
      </w:rPr>
      <w:drawing>
        <wp:inline distT="0" distB="0" distL="0" distR="0" wp14:anchorId="126A77D7" wp14:editId="248CF4F2">
          <wp:extent cx="6443345" cy="3242945"/>
          <wp:effectExtent l="0" t="0" r="0" b="0"/>
          <wp:docPr id="2" name="Picture 2" descr="Australian Government Facilitation Agency - Commonwelath fact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345" cy="324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BFE657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abstractNum w:abstractNumId="10" w15:restartNumberingAfterBreak="0">
    <w:nsid w:val="0586153F"/>
    <w:multiLevelType w:val="hybridMultilevel"/>
    <w:tmpl w:val="6E6816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EC42DA"/>
    <w:multiLevelType w:val="hybridMultilevel"/>
    <w:tmpl w:val="B314BE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2845B0"/>
    <w:multiLevelType w:val="hybridMultilevel"/>
    <w:tmpl w:val="82C2DD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E0077B"/>
    <w:multiLevelType w:val="hybridMultilevel"/>
    <w:tmpl w:val="492465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7757F1"/>
    <w:multiLevelType w:val="hybridMultilevel"/>
    <w:tmpl w:val="748C99BE"/>
    <w:lvl w:ilvl="0" w:tplc="7D64C49C">
      <w:start w:val="1"/>
      <w:numFmt w:val="decimal"/>
      <w:pStyle w:val="Custom1"/>
      <w:lvlText w:val="%1."/>
      <w:lvlJc w:val="left"/>
      <w:pPr>
        <w:ind w:left="363" w:hanging="360"/>
      </w:pPr>
    </w:lvl>
    <w:lvl w:ilvl="1" w:tplc="0C090019" w:tentative="1">
      <w:start w:val="1"/>
      <w:numFmt w:val="lowerLetter"/>
      <w:lvlText w:val="%2."/>
      <w:lvlJc w:val="left"/>
      <w:pPr>
        <w:ind w:left="1083" w:hanging="360"/>
      </w:pPr>
    </w:lvl>
    <w:lvl w:ilvl="2" w:tplc="0C09001B" w:tentative="1">
      <w:start w:val="1"/>
      <w:numFmt w:val="lowerRoman"/>
      <w:lvlText w:val="%3."/>
      <w:lvlJc w:val="right"/>
      <w:pPr>
        <w:ind w:left="1803" w:hanging="180"/>
      </w:pPr>
    </w:lvl>
    <w:lvl w:ilvl="3" w:tplc="0C09000F" w:tentative="1">
      <w:start w:val="1"/>
      <w:numFmt w:val="decimal"/>
      <w:lvlText w:val="%4."/>
      <w:lvlJc w:val="left"/>
      <w:pPr>
        <w:ind w:left="2523" w:hanging="360"/>
      </w:pPr>
    </w:lvl>
    <w:lvl w:ilvl="4" w:tplc="0C090019" w:tentative="1">
      <w:start w:val="1"/>
      <w:numFmt w:val="lowerLetter"/>
      <w:lvlText w:val="%5."/>
      <w:lvlJc w:val="left"/>
      <w:pPr>
        <w:ind w:left="3243" w:hanging="360"/>
      </w:pPr>
    </w:lvl>
    <w:lvl w:ilvl="5" w:tplc="0C09001B" w:tentative="1">
      <w:start w:val="1"/>
      <w:numFmt w:val="lowerRoman"/>
      <w:lvlText w:val="%6."/>
      <w:lvlJc w:val="right"/>
      <w:pPr>
        <w:ind w:left="3963" w:hanging="180"/>
      </w:pPr>
    </w:lvl>
    <w:lvl w:ilvl="6" w:tplc="0C09000F" w:tentative="1">
      <w:start w:val="1"/>
      <w:numFmt w:val="decimal"/>
      <w:lvlText w:val="%7."/>
      <w:lvlJc w:val="left"/>
      <w:pPr>
        <w:ind w:left="4683" w:hanging="360"/>
      </w:pPr>
    </w:lvl>
    <w:lvl w:ilvl="7" w:tplc="0C090019" w:tentative="1">
      <w:start w:val="1"/>
      <w:numFmt w:val="lowerLetter"/>
      <w:lvlText w:val="%8."/>
      <w:lvlJc w:val="left"/>
      <w:pPr>
        <w:ind w:left="5403" w:hanging="360"/>
      </w:pPr>
    </w:lvl>
    <w:lvl w:ilvl="8" w:tplc="0C0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1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60"/>
    <w:rsid w:val="000028FD"/>
    <w:rsid w:val="0000299C"/>
    <w:rsid w:val="0002460C"/>
    <w:rsid w:val="000249DF"/>
    <w:rsid w:val="00061B7D"/>
    <w:rsid w:val="00073425"/>
    <w:rsid w:val="000C33E9"/>
    <w:rsid w:val="001264DD"/>
    <w:rsid w:val="00150EAC"/>
    <w:rsid w:val="00163B54"/>
    <w:rsid w:val="00173BEB"/>
    <w:rsid w:val="001A25AE"/>
    <w:rsid w:val="001A2DC6"/>
    <w:rsid w:val="001B1463"/>
    <w:rsid w:val="001D2D28"/>
    <w:rsid w:val="001F76D7"/>
    <w:rsid w:val="00222CEA"/>
    <w:rsid w:val="002300AC"/>
    <w:rsid w:val="00237A8F"/>
    <w:rsid w:val="00244596"/>
    <w:rsid w:val="00256D8F"/>
    <w:rsid w:val="00260015"/>
    <w:rsid w:val="00262481"/>
    <w:rsid w:val="00263E00"/>
    <w:rsid w:val="0027105F"/>
    <w:rsid w:val="00271E3A"/>
    <w:rsid w:val="002834AE"/>
    <w:rsid w:val="002B57BF"/>
    <w:rsid w:val="002D3954"/>
    <w:rsid w:val="002E14EA"/>
    <w:rsid w:val="002E201E"/>
    <w:rsid w:val="002E7093"/>
    <w:rsid w:val="002F65AF"/>
    <w:rsid w:val="00304F04"/>
    <w:rsid w:val="00305AA0"/>
    <w:rsid w:val="00324CE4"/>
    <w:rsid w:val="00326C58"/>
    <w:rsid w:val="00333F10"/>
    <w:rsid w:val="0037687B"/>
    <w:rsid w:val="003805FE"/>
    <w:rsid w:val="0038442D"/>
    <w:rsid w:val="003D5C1F"/>
    <w:rsid w:val="003E2ED3"/>
    <w:rsid w:val="003E48A2"/>
    <w:rsid w:val="00402E42"/>
    <w:rsid w:val="00407ECA"/>
    <w:rsid w:val="004111E9"/>
    <w:rsid w:val="00436B60"/>
    <w:rsid w:val="00452BA6"/>
    <w:rsid w:val="00452F4C"/>
    <w:rsid w:val="0046008E"/>
    <w:rsid w:val="00497ABA"/>
    <w:rsid w:val="004C748D"/>
    <w:rsid w:val="004D5E5B"/>
    <w:rsid w:val="0050026C"/>
    <w:rsid w:val="005017BF"/>
    <w:rsid w:val="00523023"/>
    <w:rsid w:val="005559FB"/>
    <w:rsid w:val="005642F2"/>
    <w:rsid w:val="0057207B"/>
    <w:rsid w:val="005770DC"/>
    <w:rsid w:val="00585806"/>
    <w:rsid w:val="0058768A"/>
    <w:rsid w:val="005D0228"/>
    <w:rsid w:val="005F0145"/>
    <w:rsid w:val="005F1934"/>
    <w:rsid w:val="00602C92"/>
    <w:rsid w:val="00612A48"/>
    <w:rsid w:val="00616F0A"/>
    <w:rsid w:val="0062200D"/>
    <w:rsid w:val="006709E4"/>
    <w:rsid w:val="006710B9"/>
    <w:rsid w:val="00687E73"/>
    <w:rsid w:val="006A2D6D"/>
    <w:rsid w:val="006B0076"/>
    <w:rsid w:val="006C2852"/>
    <w:rsid w:val="006C2F68"/>
    <w:rsid w:val="006C7F6D"/>
    <w:rsid w:val="006D4B5A"/>
    <w:rsid w:val="006E1767"/>
    <w:rsid w:val="006E5CCE"/>
    <w:rsid w:val="0072092F"/>
    <w:rsid w:val="00723B30"/>
    <w:rsid w:val="0072738A"/>
    <w:rsid w:val="007407E2"/>
    <w:rsid w:val="007466EF"/>
    <w:rsid w:val="00752716"/>
    <w:rsid w:val="00783B86"/>
    <w:rsid w:val="007B1F0B"/>
    <w:rsid w:val="007B2AA7"/>
    <w:rsid w:val="007C04FA"/>
    <w:rsid w:val="007D7AC4"/>
    <w:rsid w:val="007F26E2"/>
    <w:rsid w:val="007F6EE0"/>
    <w:rsid w:val="00810E97"/>
    <w:rsid w:val="008147DD"/>
    <w:rsid w:val="00822068"/>
    <w:rsid w:val="00850038"/>
    <w:rsid w:val="00862296"/>
    <w:rsid w:val="008801F1"/>
    <w:rsid w:val="0088639D"/>
    <w:rsid w:val="00887DC9"/>
    <w:rsid w:val="008B09AE"/>
    <w:rsid w:val="008C7A8F"/>
    <w:rsid w:val="00915BC8"/>
    <w:rsid w:val="00920DC5"/>
    <w:rsid w:val="0092552F"/>
    <w:rsid w:val="009319C0"/>
    <w:rsid w:val="00956813"/>
    <w:rsid w:val="0095712D"/>
    <w:rsid w:val="00960D9F"/>
    <w:rsid w:val="00975726"/>
    <w:rsid w:val="00991FDD"/>
    <w:rsid w:val="00992931"/>
    <w:rsid w:val="009A0EF0"/>
    <w:rsid w:val="009A4C2D"/>
    <w:rsid w:val="009C1745"/>
    <w:rsid w:val="009D7BB6"/>
    <w:rsid w:val="009E60D8"/>
    <w:rsid w:val="00A11A95"/>
    <w:rsid w:val="00A159F4"/>
    <w:rsid w:val="00A261D0"/>
    <w:rsid w:val="00A51E16"/>
    <w:rsid w:val="00A85BA1"/>
    <w:rsid w:val="00A9141C"/>
    <w:rsid w:val="00AC12AA"/>
    <w:rsid w:val="00AE05D0"/>
    <w:rsid w:val="00AE5300"/>
    <w:rsid w:val="00AF3537"/>
    <w:rsid w:val="00B04B31"/>
    <w:rsid w:val="00B44479"/>
    <w:rsid w:val="00B526AB"/>
    <w:rsid w:val="00B82084"/>
    <w:rsid w:val="00B86074"/>
    <w:rsid w:val="00BC2337"/>
    <w:rsid w:val="00BE3715"/>
    <w:rsid w:val="00C10466"/>
    <w:rsid w:val="00C67C5A"/>
    <w:rsid w:val="00CB2680"/>
    <w:rsid w:val="00CC7875"/>
    <w:rsid w:val="00CF3468"/>
    <w:rsid w:val="00D12F1A"/>
    <w:rsid w:val="00D308BC"/>
    <w:rsid w:val="00D4338D"/>
    <w:rsid w:val="00D76A07"/>
    <w:rsid w:val="00D859E3"/>
    <w:rsid w:val="00D87BC8"/>
    <w:rsid w:val="00D94113"/>
    <w:rsid w:val="00E0545E"/>
    <w:rsid w:val="00E1666B"/>
    <w:rsid w:val="00E201B2"/>
    <w:rsid w:val="00E3153B"/>
    <w:rsid w:val="00E72774"/>
    <w:rsid w:val="00E869A6"/>
    <w:rsid w:val="00EA057C"/>
    <w:rsid w:val="00EC42EA"/>
    <w:rsid w:val="00ED17D8"/>
    <w:rsid w:val="00ED3A83"/>
    <w:rsid w:val="00ED4A86"/>
    <w:rsid w:val="00F02684"/>
    <w:rsid w:val="00F0352F"/>
    <w:rsid w:val="00F11C75"/>
    <w:rsid w:val="00F25F29"/>
    <w:rsid w:val="00F427D6"/>
    <w:rsid w:val="00F47D53"/>
    <w:rsid w:val="00F53305"/>
    <w:rsid w:val="00F803F4"/>
    <w:rsid w:val="00F90221"/>
    <w:rsid w:val="00FA4D69"/>
    <w:rsid w:val="00FC70DE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  <w14:docId w14:val="1A08D85B"/>
  <w15:docId w15:val="{9D862E6D-C270-46C2-A043-8F46F50A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7B"/>
    <w:pPr>
      <w:spacing w:after="120" w:line="240" w:lineRule="auto"/>
    </w:pPr>
    <w:rPr>
      <w:spacing w:val="-2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1E3A"/>
    <w:pPr>
      <w:keepNext/>
      <w:keepLines/>
      <w:spacing w:before="360" w:after="240"/>
      <w:outlineLvl w:val="0"/>
    </w:pPr>
    <w:rPr>
      <w:rFonts w:ascii="Arial" w:eastAsiaTheme="majorEastAsia" w:hAnsi="Arial" w:cstheme="majorBidi"/>
      <w:b/>
      <w:bCs/>
      <w:color w:val="00405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141C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5677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141C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20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2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2A3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7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71E3A"/>
    <w:rPr>
      <w:rFonts w:ascii="Arial" w:eastAsiaTheme="majorEastAsia" w:hAnsi="Arial" w:cstheme="majorBidi"/>
      <w:b/>
      <w:bCs/>
      <w:color w:val="004059"/>
      <w:spacing w:val="-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141C"/>
    <w:rPr>
      <w:rFonts w:ascii="Arial" w:eastAsiaTheme="majorEastAsia" w:hAnsi="Arial" w:cstheme="majorBidi"/>
      <w:b/>
      <w:bCs/>
      <w:color w:val="005677" w:themeColor="accent1"/>
      <w:spacing w:val="-2"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C70DE"/>
    <w:pPr>
      <w:spacing w:before="4480" w:after="480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70DE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9141C"/>
    <w:rPr>
      <w:rFonts w:ascii="Arial" w:eastAsiaTheme="majorEastAsia" w:hAnsi="Arial" w:cstheme="majorBidi"/>
      <w:b/>
      <w:bCs/>
      <w:color w:val="000000" w:themeColor="text1"/>
      <w:spacing w:val="-2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22068"/>
    <w:rPr>
      <w:rFonts w:asciiTheme="majorHAnsi" w:eastAsiaTheme="majorEastAsia" w:hAnsiTheme="majorHAnsi" w:cstheme="majorBidi"/>
      <w:b/>
      <w:bCs/>
      <w:i/>
      <w:iCs/>
      <w:color w:val="005677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22068"/>
    <w:rPr>
      <w:rFonts w:asciiTheme="majorHAnsi" w:eastAsiaTheme="majorEastAsia" w:hAnsiTheme="majorHAnsi" w:cstheme="majorBidi"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82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D7BB6"/>
    <w:pPr>
      <w:pBdr>
        <w:top w:val="single" w:sz="4" w:space="1" w:color="1B9590" w:themeColor="accent3"/>
        <w:bottom w:val="single" w:sz="4" w:space="1" w:color="1B9590" w:themeColor="accent3"/>
      </w:pBdr>
      <w:spacing w:before="240" w:after="240"/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D7BB6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8C7A8F"/>
    <w:rPr>
      <w:rFonts w:ascii="Georgia" w:hAnsi="Georgia"/>
      <w:b w:val="0"/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before="240"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237A8F"/>
    <w:pPr>
      <w:tabs>
        <w:tab w:val="center" w:pos="4320"/>
        <w:tab w:val="right" w:pos="8640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37A8F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7B2AA7"/>
    <w:pPr>
      <w:tabs>
        <w:tab w:val="left" w:pos="3969"/>
        <w:tab w:val="left" w:pos="6804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B2AA7"/>
    <w:rPr>
      <w:spacing w:val="-2"/>
      <w:sz w:val="1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C2F68"/>
  </w:style>
  <w:style w:type="paragraph" w:styleId="ListParagraph">
    <w:name w:val="List Paragraph"/>
    <w:basedOn w:val="Normal"/>
    <w:uiPriority w:val="34"/>
    <w:qFormat/>
    <w:rsid w:val="009E60D8"/>
    <w:pPr>
      <w:ind w:left="284" w:hanging="284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B2AA7"/>
    <w:rPr>
      <w:color w:val="C973AF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7B2AA7"/>
    <w:pPr>
      <w:spacing w:after="0" w:line="240" w:lineRule="auto"/>
    </w:pPr>
    <w:rPr>
      <w:rFonts w:eastAsiaTheme="minorEastAsia"/>
      <w:color w:val="004059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005677" w:themeColor="accent1"/>
        <w:bottom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677" w:themeColor="accent1"/>
          <w:left w:val="nil"/>
          <w:bottom w:val="single" w:sz="8" w:space="0" w:color="0056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677" w:themeColor="accent1"/>
          <w:left w:val="nil"/>
          <w:bottom w:val="single" w:sz="8" w:space="0" w:color="0056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E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E4FF" w:themeFill="accent1" w:themeFillTint="3F"/>
      </w:tcPr>
    </w:tblStylePr>
  </w:style>
  <w:style w:type="paragraph" w:customStyle="1" w:styleId="Custom3">
    <w:name w:val="Custom 3"/>
    <w:basedOn w:val="Normal"/>
    <w:link w:val="Custom3Char"/>
    <w:qFormat/>
    <w:rsid w:val="00D94113"/>
    <w:pPr>
      <w:ind w:left="-142"/>
    </w:pPr>
    <w:rPr>
      <w:rFonts w:ascii="Georgia" w:eastAsiaTheme="minorEastAsia" w:hAnsi="Georgia"/>
      <w:color w:val="333366"/>
      <w:spacing w:val="0"/>
      <w:sz w:val="24"/>
      <w:szCs w:val="24"/>
    </w:rPr>
  </w:style>
  <w:style w:type="character" w:customStyle="1" w:styleId="Custom3Char">
    <w:name w:val="Custom 3 Char"/>
    <w:basedOn w:val="DefaultParagraphFont"/>
    <w:link w:val="Custom3"/>
    <w:rsid w:val="00D94113"/>
    <w:rPr>
      <w:rFonts w:ascii="Georgia" w:eastAsiaTheme="minorEastAsia" w:hAnsi="Georgia"/>
      <w:color w:val="333366"/>
      <w:sz w:val="24"/>
      <w:szCs w:val="24"/>
    </w:rPr>
  </w:style>
  <w:style w:type="paragraph" w:customStyle="1" w:styleId="Custom1">
    <w:name w:val="Custom 1"/>
    <w:basedOn w:val="ListNumber"/>
    <w:link w:val="Custom1Char"/>
    <w:qFormat/>
    <w:rsid w:val="00D94113"/>
    <w:pPr>
      <w:numPr>
        <w:numId w:val="11"/>
      </w:numPr>
      <w:spacing w:after="60" w:line="280" w:lineRule="atLeast"/>
      <w:contextualSpacing w:val="0"/>
    </w:pPr>
    <w:rPr>
      <w:rFonts w:ascii="Arial" w:eastAsiaTheme="majorEastAsia" w:hAnsi="Arial" w:cstheme="majorBidi"/>
      <w:bCs/>
      <w:i/>
      <w:iCs/>
      <w:color w:val="333366"/>
      <w:spacing w:val="0"/>
      <w:sz w:val="24"/>
      <w:szCs w:val="22"/>
    </w:rPr>
  </w:style>
  <w:style w:type="character" w:customStyle="1" w:styleId="Custom1Char">
    <w:name w:val="Custom 1 Char"/>
    <w:basedOn w:val="DefaultParagraphFont"/>
    <w:link w:val="Custom1"/>
    <w:rsid w:val="00D94113"/>
    <w:rPr>
      <w:rFonts w:ascii="Arial" w:eastAsiaTheme="majorEastAsia" w:hAnsi="Arial" w:cstheme="majorBidi"/>
      <w:bCs/>
      <w:i/>
      <w:iCs/>
      <w:color w:val="333366"/>
      <w:sz w:val="24"/>
    </w:rPr>
  </w:style>
  <w:style w:type="paragraph" w:styleId="ListNumber">
    <w:name w:val="List Number"/>
    <w:basedOn w:val="Normal"/>
    <w:uiPriority w:val="99"/>
    <w:semiHidden/>
    <w:unhideWhenUsed/>
    <w:rsid w:val="00D94113"/>
    <w:pPr>
      <w:numPr>
        <w:numId w:val="6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1A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A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A95"/>
    <w:rPr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A95"/>
    <w:rPr>
      <w:b/>
      <w:bCs/>
      <w:spacing w:val="-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://www.agriculture.gov.au/export/from-australia/ex26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agriculture.gov.au/export/controlled-goods/live-animals/livestock/information-exporters-industry/licence-renewal-variation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www.agriculture.gov.au/market-access-trade/improved-export-legislation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www.agriculture.gov.au/export/controlled-goods/meat/elmer-3/meat-export-licence" TargetMode="Externa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majorprojectshelp.business.gov.au/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http://www.agriculture.gov.au/export/from-australia" TargetMode="External"/><Relationship Id="rId28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hyperlink" Target="http://www.agriculture.gov.au/export/controlled-goods/live-animals/livestock/information-exporters-industry/approved-arrangement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hyperlink" Target="http://www.agriculture.gov.au/export/from-australia/documentation-registration-licensing/export-certification-fact-shee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mpaa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siness.gov.au/mpf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D55852D93604AA440876A3B15BB43" ma:contentTypeVersion="13" ma:contentTypeDescription="Create a new document." ma:contentTypeScope="" ma:versionID="a0dd2c024117f1c72f84498cdb49f4fc">
  <xsd:schema xmlns:xsd="http://www.w3.org/2001/XMLSchema" xmlns:xs="http://www.w3.org/2001/XMLSchema" xmlns:p="http://schemas.microsoft.com/office/2006/metadata/properties" xmlns:ns1="http://schemas.microsoft.com/sharepoint/v3" xmlns:ns2="a36bd50b-1532-4c22-b385-5c082c960938" xmlns:ns3="e950eb60-a35e-4b14-88a9-41f408f74491" targetNamespace="http://schemas.microsoft.com/office/2006/metadata/properties" ma:root="true" ma:fieldsID="a2b708221e224d29fbe8c5eaf269731a" ns1:_="" ns2:_="" ns3:_="">
    <xsd:import namespace="http://schemas.microsoft.com/sharepoint/v3"/>
    <xsd:import namespace="a36bd50b-1532-4c22-b385-5c082c960938"/>
    <xsd:import namespace="e950eb60-a35e-4b14-88a9-41f408f744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bd50b-1532-4c22-b385-5c082c9609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2dff2eb7-e297-4992-b865-1a47fdf64e6a}" ma:internalName="TaxCatchAll" ma:showField="CatchAllData" ma:web="e950eb60-a35e-4b14-88a9-41f408f74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bacf7d73-44f1-4bad-9de4-dfdec5c74e0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0eb60-a35e-4b14-88a9-41f408f7449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>Mar-Apr 2017 Update Round - feedback received</Comments>
    <pe2555c81638466f9eb614edb9ecde52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 Sheet</TermName>
          <TermId xmlns="http://schemas.microsoft.com/office/infopath/2007/PartnerControls">38af007d-6d80-4dd0-9833-ef17489d7c7e</TermId>
        </TermInfo>
      </Terms>
    </pe2555c81638466f9eb614edb9ecde52>
    <TaxCatchAll xmlns="a36bd50b-1532-4c22-b385-5c082c960938">
      <Value>52</Value>
      <Value>387</Value>
      <Value>3</Value>
      <Value>471</Value>
      <Value>7</Value>
    </TaxCatchAll>
    <g7bcb40ba23249a78edca7d43a67c1c9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cd41d649-1e1a-44f5-b99b-946d42ce56d6</TermId>
        </TermInfo>
      </Terms>
    </g7bcb40ba23249a78edca7d43a67c1c9>
    <n99e4c9942c6404eb103464a00e6097b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5f6de30b-6e1e-4c09-9e51-982258231536</TermId>
        </TermInfo>
      </Terms>
    </n99e4c9942c6404eb103464a00e6097b>
    <adb9bed2e36e4a93af574aeb444da63e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MPAA</TermName>
          <TermId xmlns="http://schemas.microsoft.com/office/infopath/2007/PartnerControls">e3e67d11-9afd-49bc-8113-feea8f08469b</TermId>
        </TermInfo>
      </Terms>
    </adb9bed2e36e4a93af574aeb444da63e>
    <aa25a1a23adf4c92a153145de6afe324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_dlc_DocId xmlns="a36bd50b-1532-4c22-b385-5c082c960938">A3PSR54DD4M5-1894031199-72</_dlc_DocId>
    <_dlc_DocIdUrl xmlns="a36bd50b-1532-4c22-b385-5c082c960938">
      <Url>https://dochub/div/officeofnorthernaustralia/businessfunctions/majorprojects/programmemgmnt/_layouts/15/DocIdRedir.aspx?ID=A3PSR54DD4M5-1894031199-72</Url>
      <Description>A3PSR54DD4M5-1894031199-72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5106B-B36B-4B80-BBED-5435F416B3D5}"/>
</file>

<file path=customXml/itemProps2.xml><?xml version="1.0" encoding="utf-8"?>
<ds:datastoreItem xmlns:ds="http://schemas.openxmlformats.org/officeDocument/2006/customXml" ds:itemID="{4464725C-7173-4DF1-995D-09BA443E0FAD}">
  <ds:schemaRefs>
    <ds:schemaRef ds:uri="a36bd50b-1532-4c22-b385-5c082c960938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950eb60-a35e-4b14-88a9-41f408f7449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76D728-6696-4B7E-94D3-8AA2F200151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83C1A3D-E35E-4329-969D-ECEF7AC4F1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9752EF1-3A65-46B2-9183-EC6F0F29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CONTROL ACT 1982</vt:lpstr>
    </vt:vector>
  </TitlesOfParts>
  <Company>DIISRTE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CONTROL ACT 1982</dc:title>
  <dc:creator>Gunning, Paul</dc:creator>
  <cp:lastModifiedBy>Pusceddu, Anna</cp:lastModifiedBy>
  <cp:revision>6</cp:revision>
  <cp:lastPrinted>2019-07-18T05:30:00Z</cp:lastPrinted>
  <dcterms:created xsi:type="dcterms:W3CDTF">2021-04-26T23:46:00Z</dcterms:created>
  <dcterms:modified xsi:type="dcterms:W3CDTF">2021-09-06T05:43:00Z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0x010100896D55852D93604AA440876A3B15BB43</vt:lpwstr>
  </property>
  <property fmtid="{D5CDD505-2E9C-101B-9397-08002B2CF9AE}" pid="7" name="_dlc_DocIdItemGuid">
    <vt:lpwstr>420a0459-9353-4fc1-8810-bfdac22757e3</vt:lpwstr>
  </property>
  <property fmtid="{D5CDD505-2E9C-101B-9397-08002B2CF9AE}" pid="8" name="DocHub_Year">
    <vt:lpwstr>387;#2017|5f6de30b-6e1e-4c09-9e51-982258231536</vt:lpwstr>
  </property>
  <property fmtid="{D5CDD505-2E9C-101B-9397-08002B2CF9AE}" pid="9" name="DocHub_DocumentType">
    <vt:lpwstr>52;#Fact Sheet|38af007d-6d80-4dd0-9833-ef17489d7c7e</vt:lpwstr>
  </property>
  <property fmtid="{D5CDD505-2E9C-101B-9397-08002B2CF9AE}" pid="10" name="DocHub_SecurityClassification">
    <vt:lpwstr>3;#UNCLASSIFIED|6106d03b-a1a0-4e30-9d91-d5e9fb4314f9</vt:lpwstr>
  </property>
  <property fmtid="{D5CDD505-2E9C-101B-9397-08002B2CF9AE}" pid="11" name="DocHub_Keywords">
    <vt:lpwstr>471;#MPAA|e3e67d11-9afd-49bc-8113-feea8f08469b</vt:lpwstr>
  </property>
  <property fmtid="{D5CDD505-2E9C-101B-9397-08002B2CF9AE}" pid="12" name="DocHub_WorkActivity">
    <vt:lpwstr>7;#Communication|cd41d649-1e1a-44f5-b99b-946d42ce56d6</vt:lpwstr>
  </property>
  <property fmtid="{D5CDD505-2E9C-101B-9397-08002B2CF9AE}" pid="13" name="DocHub_PDMSNumber">
    <vt:lpwstr/>
  </property>
  <property fmtid="{D5CDD505-2E9C-101B-9397-08002B2CF9AE}" pid="14" name="IconOverlay">
    <vt:lpwstr/>
  </property>
</Properties>
</file>