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21DFB" w14:textId="681B6898" w:rsidR="006709E4" w:rsidRPr="00F02684" w:rsidRDefault="00573175" w:rsidP="00BA4E4A">
      <w:pPr>
        <w:pStyle w:val="Heading1"/>
      </w:pPr>
      <w:r>
        <w:t>IMPORTED FOOD CONTROL ACT 1992</w:t>
      </w:r>
    </w:p>
    <w:p w14:paraId="6394AE9C" w14:textId="77777777" w:rsidR="006709E4" w:rsidRPr="00F02684" w:rsidRDefault="006709E4" w:rsidP="00BA4E4A">
      <w:pPr>
        <w:pStyle w:val="Heading1"/>
        <w:rPr>
          <w:rStyle w:val="SubtleEmphasis"/>
          <w:caps/>
        </w:rPr>
        <w:sectPr w:rsidR="006709E4" w:rsidRPr="00F02684" w:rsidSect="006709E4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</w:p>
    <w:p w14:paraId="1E79DEDE" w14:textId="54F1C7E6" w:rsidR="006709E4" w:rsidRPr="00A351AA" w:rsidRDefault="006B5704" w:rsidP="00A351AA">
      <w:pPr>
        <w:pStyle w:val="Custom3"/>
        <w:spacing w:before="120" w:after="60"/>
        <w:ind w:left="0"/>
        <w:rPr>
          <w:i/>
          <w:color w:val="808080" w:themeColor="background1" w:themeShade="80"/>
          <w:sz w:val="28"/>
          <w:szCs w:val="28"/>
        </w:rPr>
        <w:sectPr w:rsidR="006709E4" w:rsidRPr="00A351AA" w:rsidSect="006709E4">
          <w:type w:val="continuous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  <w:r>
        <w:rPr>
          <w:i/>
          <w:color w:val="808080" w:themeColor="background1" w:themeShade="80"/>
          <w:sz w:val="28"/>
          <w:szCs w:val="28"/>
        </w:rPr>
        <w:t>If your project involves importing food into Australia, you</w:t>
      </w:r>
      <w:r w:rsidR="003F5CBE">
        <w:rPr>
          <w:i/>
          <w:color w:val="808080" w:themeColor="background1" w:themeShade="80"/>
          <w:sz w:val="28"/>
          <w:szCs w:val="28"/>
        </w:rPr>
        <w:t xml:space="preserve"> must </w:t>
      </w:r>
      <w:r w:rsidR="00E33D1B">
        <w:rPr>
          <w:i/>
          <w:color w:val="808080" w:themeColor="background1" w:themeShade="80"/>
          <w:sz w:val="28"/>
          <w:szCs w:val="28"/>
        </w:rPr>
        <w:t xml:space="preserve">satisfy </w:t>
      </w:r>
      <w:r w:rsidR="00DC22DB">
        <w:rPr>
          <w:i/>
          <w:color w:val="808080" w:themeColor="background1" w:themeShade="80"/>
          <w:sz w:val="28"/>
          <w:szCs w:val="28"/>
        </w:rPr>
        <w:t xml:space="preserve">both </w:t>
      </w:r>
      <w:r w:rsidR="00E33D1B">
        <w:rPr>
          <w:i/>
          <w:color w:val="808080" w:themeColor="background1" w:themeShade="80"/>
          <w:sz w:val="28"/>
          <w:szCs w:val="28"/>
        </w:rPr>
        <w:t>biosecurity</w:t>
      </w:r>
      <w:r w:rsidR="00A610E6">
        <w:rPr>
          <w:i/>
          <w:color w:val="808080" w:themeColor="background1" w:themeShade="80"/>
          <w:sz w:val="28"/>
          <w:szCs w:val="28"/>
        </w:rPr>
        <w:t xml:space="preserve"> and imported food </w:t>
      </w:r>
      <w:r w:rsidR="00E33D1B">
        <w:rPr>
          <w:i/>
          <w:color w:val="808080" w:themeColor="background1" w:themeShade="80"/>
          <w:sz w:val="28"/>
          <w:szCs w:val="28"/>
        </w:rPr>
        <w:t>requirements</w:t>
      </w:r>
      <w:r w:rsidR="00A610E6">
        <w:rPr>
          <w:i/>
          <w:color w:val="808080" w:themeColor="background1" w:themeShade="80"/>
          <w:sz w:val="28"/>
          <w:szCs w:val="28"/>
        </w:rPr>
        <w:t>,</w:t>
      </w:r>
      <w:r w:rsidR="00E33D1B">
        <w:rPr>
          <w:i/>
          <w:color w:val="808080" w:themeColor="background1" w:themeShade="80"/>
          <w:sz w:val="28"/>
          <w:szCs w:val="28"/>
        </w:rPr>
        <w:t xml:space="preserve"> and </w:t>
      </w:r>
      <w:r w:rsidR="00915871">
        <w:rPr>
          <w:i/>
          <w:color w:val="808080" w:themeColor="background1" w:themeShade="80"/>
          <w:sz w:val="28"/>
          <w:szCs w:val="28"/>
        </w:rPr>
        <w:t>comply with</w:t>
      </w:r>
      <w:r w:rsidR="003F5CBE">
        <w:rPr>
          <w:i/>
          <w:color w:val="808080" w:themeColor="background1" w:themeShade="80"/>
          <w:sz w:val="28"/>
          <w:szCs w:val="28"/>
        </w:rPr>
        <w:t xml:space="preserve"> </w:t>
      </w:r>
      <w:r w:rsidR="00A610E6">
        <w:rPr>
          <w:i/>
          <w:color w:val="808080" w:themeColor="background1" w:themeShade="80"/>
          <w:sz w:val="28"/>
          <w:szCs w:val="28"/>
        </w:rPr>
        <w:t xml:space="preserve">state </w:t>
      </w:r>
      <w:r w:rsidR="00FD1AA6">
        <w:rPr>
          <w:i/>
          <w:color w:val="808080" w:themeColor="background1" w:themeShade="80"/>
          <w:sz w:val="28"/>
          <w:szCs w:val="28"/>
        </w:rPr>
        <w:t xml:space="preserve">and </w:t>
      </w:r>
      <w:r w:rsidR="00A610E6">
        <w:rPr>
          <w:i/>
          <w:color w:val="808080" w:themeColor="background1" w:themeShade="80"/>
          <w:sz w:val="28"/>
          <w:szCs w:val="28"/>
        </w:rPr>
        <w:t xml:space="preserve">territory </w:t>
      </w:r>
      <w:r w:rsidR="00915871">
        <w:rPr>
          <w:i/>
          <w:color w:val="808080" w:themeColor="background1" w:themeShade="80"/>
          <w:sz w:val="28"/>
          <w:szCs w:val="28"/>
        </w:rPr>
        <w:t xml:space="preserve">food </w:t>
      </w:r>
      <w:r w:rsidR="00E33D1B">
        <w:rPr>
          <w:i/>
          <w:color w:val="808080" w:themeColor="background1" w:themeShade="80"/>
          <w:sz w:val="28"/>
          <w:szCs w:val="28"/>
        </w:rPr>
        <w:t xml:space="preserve">safety </w:t>
      </w:r>
      <w:r w:rsidR="00915871">
        <w:rPr>
          <w:i/>
          <w:color w:val="808080" w:themeColor="background1" w:themeShade="80"/>
          <w:sz w:val="28"/>
          <w:szCs w:val="28"/>
        </w:rPr>
        <w:t>legislation</w:t>
      </w:r>
      <w:r w:rsidR="00360795">
        <w:rPr>
          <w:i/>
          <w:color w:val="808080" w:themeColor="background1" w:themeShade="80"/>
          <w:sz w:val="28"/>
          <w:szCs w:val="28"/>
        </w:rPr>
        <w:t xml:space="preserve">. </w:t>
      </w:r>
      <w:r w:rsidR="00915871">
        <w:rPr>
          <w:i/>
          <w:color w:val="808080" w:themeColor="background1" w:themeShade="80"/>
          <w:sz w:val="28"/>
          <w:szCs w:val="28"/>
        </w:rPr>
        <w:t xml:space="preserve">Imported food is monitored </w:t>
      </w:r>
      <w:r w:rsidR="007C196E">
        <w:rPr>
          <w:i/>
          <w:color w:val="808080" w:themeColor="background1" w:themeShade="80"/>
          <w:sz w:val="28"/>
          <w:szCs w:val="28"/>
        </w:rPr>
        <w:t xml:space="preserve">for </w:t>
      </w:r>
      <w:r w:rsidR="001957F7">
        <w:rPr>
          <w:i/>
          <w:color w:val="808080" w:themeColor="background1" w:themeShade="80"/>
          <w:sz w:val="28"/>
          <w:szCs w:val="28"/>
        </w:rPr>
        <w:t xml:space="preserve">safety as well as </w:t>
      </w:r>
      <w:r w:rsidR="007C196E">
        <w:rPr>
          <w:i/>
          <w:color w:val="808080" w:themeColor="background1" w:themeShade="80"/>
          <w:sz w:val="28"/>
          <w:szCs w:val="28"/>
        </w:rPr>
        <w:t xml:space="preserve">compliance </w:t>
      </w:r>
      <w:r w:rsidR="00A610E6">
        <w:rPr>
          <w:i/>
          <w:color w:val="808080" w:themeColor="background1" w:themeShade="80"/>
          <w:sz w:val="28"/>
          <w:szCs w:val="28"/>
        </w:rPr>
        <w:t xml:space="preserve">with </w:t>
      </w:r>
      <w:r w:rsidR="007C196E">
        <w:rPr>
          <w:i/>
          <w:color w:val="808080" w:themeColor="background1" w:themeShade="80"/>
          <w:sz w:val="28"/>
          <w:szCs w:val="28"/>
        </w:rPr>
        <w:t xml:space="preserve">the Australia New Zealand </w:t>
      </w:r>
      <w:r w:rsidR="00915871">
        <w:rPr>
          <w:i/>
          <w:color w:val="808080" w:themeColor="background1" w:themeShade="80"/>
          <w:sz w:val="28"/>
          <w:szCs w:val="28"/>
        </w:rPr>
        <w:t xml:space="preserve">Food Standards </w:t>
      </w:r>
      <w:r w:rsidR="007C196E">
        <w:rPr>
          <w:i/>
          <w:color w:val="808080" w:themeColor="background1" w:themeShade="80"/>
          <w:sz w:val="28"/>
          <w:szCs w:val="28"/>
        </w:rPr>
        <w:t>Code</w:t>
      </w:r>
      <w:r w:rsidR="00915871">
        <w:rPr>
          <w:i/>
          <w:color w:val="808080" w:themeColor="background1" w:themeShade="80"/>
          <w:sz w:val="28"/>
          <w:szCs w:val="28"/>
        </w:rPr>
        <w:t>.</w:t>
      </w:r>
    </w:p>
    <w:p w14:paraId="2B3139D7" w14:textId="77777777" w:rsidR="0088636D" w:rsidRDefault="0088636D" w:rsidP="00A351AA">
      <w:pPr>
        <w:rPr>
          <w:rStyle w:val="IntenseEmphasis"/>
        </w:rPr>
        <w:sectPr w:rsidR="0088636D" w:rsidSect="006709E4">
          <w:type w:val="continuous"/>
          <w:pgSz w:w="11906" w:h="16838"/>
          <w:pgMar w:top="1276" w:right="851" w:bottom="851" w:left="851" w:header="567" w:footer="708" w:gutter="0"/>
          <w:cols w:num="2" w:space="708"/>
          <w:titlePg/>
          <w:docGrid w:linePitch="360"/>
        </w:sectPr>
      </w:pPr>
    </w:p>
    <w:p w14:paraId="05444E1A" w14:textId="2BC477B6" w:rsidR="00B82084" w:rsidRPr="00EA3C1D" w:rsidRDefault="00B82084" w:rsidP="00EE18D5">
      <w:pPr>
        <w:pStyle w:val="Heading2"/>
        <w:spacing w:before="0" w:after="120"/>
      </w:pPr>
      <w:r w:rsidRPr="00EA3C1D">
        <w:t>1.</w:t>
      </w:r>
      <w:r w:rsidRPr="00EA3C1D">
        <w:tab/>
      </w:r>
      <w:r w:rsidR="00573175" w:rsidRPr="00EA3C1D">
        <w:t xml:space="preserve">What approvals </w:t>
      </w:r>
      <w:r w:rsidR="00216DDE" w:rsidRPr="00EA3C1D">
        <w:t>do I need?</w:t>
      </w:r>
    </w:p>
    <w:p w14:paraId="579915AA" w14:textId="7697604C" w:rsidR="00FD1AA6" w:rsidRDefault="00115CD2" w:rsidP="00EE18D5">
      <w:pPr>
        <w:rPr>
          <w:rFonts w:eastAsiaTheme="minorEastAsia" w:cstheme="minorHAnsi"/>
          <w:spacing w:val="0"/>
        </w:rPr>
      </w:pPr>
      <w:r>
        <w:rPr>
          <w:rFonts w:eastAsiaTheme="minorEastAsia" w:cstheme="minorHAnsi"/>
          <w:spacing w:val="0"/>
        </w:rPr>
        <w:t xml:space="preserve">A specific approval </w:t>
      </w:r>
      <w:r w:rsidR="006601DA">
        <w:rPr>
          <w:rFonts w:eastAsiaTheme="minorEastAsia" w:cstheme="minorHAnsi"/>
          <w:spacing w:val="0"/>
        </w:rPr>
        <w:t xml:space="preserve">may be </w:t>
      </w:r>
      <w:r>
        <w:rPr>
          <w:rFonts w:eastAsiaTheme="minorEastAsia" w:cstheme="minorHAnsi"/>
          <w:spacing w:val="0"/>
        </w:rPr>
        <w:t>required to import food into Australia</w:t>
      </w:r>
      <w:r w:rsidR="006601DA">
        <w:rPr>
          <w:rFonts w:eastAsiaTheme="minorEastAsia" w:cstheme="minorHAnsi"/>
          <w:spacing w:val="0"/>
        </w:rPr>
        <w:t xml:space="preserve"> to meet biosecurity requirements</w:t>
      </w:r>
      <w:r w:rsidR="00216DDE" w:rsidRPr="00A351AA">
        <w:rPr>
          <w:rFonts w:eastAsiaTheme="minorEastAsia" w:cstheme="minorHAnsi"/>
          <w:spacing w:val="0"/>
        </w:rPr>
        <w:t xml:space="preserve">. </w:t>
      </w:r>
      <w:r w:rsidR="00A351AA" w:rsidRPr="00A351AA">
        <w:rPr>
          <w:rFonts w:eastAsiaTheme="minorEastAsia" w:cstheme="minorHAnsi"/>
          <w:spacing w:val="0"/>
        </w:rPr>
        <w:t>For more information</w:t>
      </w:r>
      <w:r w:rsidR="002C12E3">
        <w:rPr>
          <w:rFonts w:eastAsiaTheme="minorEastAsia" w:cstheme="minorHAnsi"/>
          <w:spacing w:val="0"/>
        </w:rPr>
        <w:t xml:space="preserve"> on Australia’s biosecurity requirements</w:t>
      </w:r>
      <w:r w:rsidR="00A351AA" w:rsidRPr="00A351AA">
        <w:rPr>
          <w:rFonts w:eastAsiaTheme="minorEastAsia" w:cstheme="minorHAnsi"/>
          <w:spacing w:val="0"/>
        </w:rPr>
        <w:t xml:space="preserve">, see </w:t>
      </w:r>
      <w:r w:rsidR="00F01D45">
        <w:rPr>
          <w:rFonts w:eastAsiaTheme="minorEastAsia" w:cstheme="minorHAnsi"/>
          <w:spacing w:val="0"/>
        </w:rPr>
        <w:t xml:space="preserve">the </w:t>
      </w:r>
      <w:hyperlink r:id="rId16" w:history="1">
        <w:r w:rsidR="00216DDE" w:rsidRPr="00F01D45">
          <w:rPr>
            <w:rStyle w:val="Hyperlink"/>
            <w:rFonts w:eastAsiaTheme="minorEastAsia" w:cstheme="minorHAnsi"/>
            <w:i/>
            <w:spacing w:val="0"/>
          </w:rPr>
          <w:t>Biosecurity</w:t>
        </w:r>
        <w:r w:rsidR="00F01D45">
          <w:rPr>
            <w:rStyle w:val="Hyperlink"/>
            <w:rFonts w:eastAsiaTheme="minorEastAsia" w:cstheme="minorHAnsi"/>
            <w:i/>
            <w:spacing w:val="0"/>
          </w:rPr>
          <w:t xml:space="preserve"> Act</w:t>
        </w:r>
        <w:r w:rsidR="00216DDE" w:rsidRPr="00F01D45">
          <w:rPr>
            <w:rStyle w:val="Hyperlink"/>
            <w:rFonts w:eastAsiaTheme="minorEastAsia" w:cstheme="minorHAnsi"/>
            <w:i/>
            <w:spacing w:val="0"/>
          </w:rPr>
          <w:t xml:space="preserve"> Factsheet</w:t>
        </w:r>
      </w:hyperlink>
      <w:r w:rsidR="00216DDE" w:rsidRPr="00A351AA">
        <w:rPr>
          <w:rFonts w:eastAsiaTheme="minorEastAsia" w:cstheme="minorHAnsi"/>
          <w:i/>
          <w:spacing w:val="0"/>
        </w:rPr>
        <w:t>.</w:t>
      </w:r>
    </w:p>
    <w:p w14:paraId="3D71A11F" w14:textId="3194543B" w:rsidR="006246F1" w:rsidRDefault="006E5C90" w:rsidP="00EE18D5">
      <w:pPr>
        <w:rPr>
          <w:spacing w:val="0"/>
        </w:rPr>
      </w:pPr>
      <w:r>
        <w:rPr>
          <w:spacing w:val="0"/>
        </w:rPr>
        <w:t xml:space="preserve">Importers of food must </w:t>
      </w:r>
      <w:r w:rsidR="006601DA">
        <w:rPr>
          <w:spacing w:val="0"/>
        </w:rPr>
        <w:t xml:space="preserve">also </w:t>
      </w:r>
      <w:r>
        <w:rPr>
          <w:spacing w:val="0"/>
        </w:rPr>
        <w:t xml:space="preserve">ensure </w:t>
      </w:r>
      <w:r w:rsidR="006601DA">
        <w:rPr>
          <w:spacing w:val="0"/>
        </w:rPr>
        <w:t>the food does not pose a risk to human health and complies with the Australia New Zealand Food Standar</w:t>
      </w:r>
      <w:bookmarkStart w:id="0" w:name="_GoBack"/>
      <w:bookmarkEnd w:id="0"/>
      <w:r w:rsidR="006601DA">
        <w:rPr>
          <w:spacing w:val="0"/>
        </w:rPr>
        <w:t>ds Code.</w:t>
      </w:r>
      <w:r w:rsidR="001957F7">
        <w:rPr>
          <w:spacing w:val="0"/>
        </w:rPr>
        <w:t xml:space="preserve"> Some foods</w:t>
      </w:r>
      <w:r w:rsidR="00714F92">
        <w:rPr>
          <w:spacing w:val="0"/>
        </w:rPr>
        <w:t xml:space="preserve"> also</w:t>
      </w:r>
      <w:r w:rsidR="001957F7">
        <w:rPr>
          <w:spacing w:val="0"/>
        </w:rPr>
        <w:t xml:space="preserve"> require certification to be imported</w:t>
      </w:r>
      <w:r w:rsidR="001E0554">
        <w:rPr>
          <w:spacing w:val="0"/>
        </w:rPr>
        <w:t>,</w:t>
      </w:r>
    </w:p>
    <w:p w14:paraId="5A804D42" w14:textId="7827888A" w:rsidR="0027237F" w:rsidRDefault="00EA3C1D" w:rsidP="00EE18D5">
      <w:pPr>
        <w:pStyle w:val="Heading2"/>
        <w:spacing w:before="0" w:after="120"/>
      </w:pPr>
      <w:r w:rsidRPr="00EA3C1D">
        <w:t>2.</w:t>
      </w:r>
      <w:r w:rsidRPr="00EA3C1D">
        <w:tab/>
        <w:t>Who provides approvals?</w:t>
      </w:r>
    </w:p>
    <w:p w14:paraId="45585591" w14:textId="03FBE75E" w:rsidR="006246F1" w:rsidRDefault="00216DDE" w:rsidP="00EE18D5">
      <w:pPr>
        <w:rPr>
          <w:spacing w:val="0"/>
        </w:rPr>
      </w:pPr>
      <w:r w:rsidRPr="00A351AA">
        <w:rPr>
          <w:spacing w:val="0"/>
        </w:rPr>
        <w:t>The Department of Agriculture and Water Resources regulates</w:t>
      </w:r>
      <w:r w:rsidR="00A351AA" w:rsidRPr="00A351AA">
        <w:rPr>
          <w:spacing w:val="0"/>
        </w:rPr>
        <w:t xml:space="preserve"> imported food under the </w:t>
      </w:r>
      <w:hyperlink r:id="rId17" w:history="1">
        <w:r w:rsidR="00A351AA" w:rsidRPr="00A351AA">
          <w:rPr>
            <w:i/>
            <w:spacing w:val="0"/>
          </w:rPr>
          <w:t>Imported Food Control Act 1992</w:t>
        </w:r>
      </w:hyperlink>
      <w:r w:rsidR="00A351AA" w:rsidRPr="00A351AA">
        <w:rPr>
          <w:spacing w:val="0"/>
        </w:rPr>
        <w:t xml:space="preserve"> through the </w:t>
      </w:r>
      <w:bookmarkStart w:id="1" w:name="_Hlk70503456"/>
      <w:r w:rsidR="00714F92">
        <w:fldChar w:fldCharType="begin"/>
      </w:r>
      <w:r w:rsidR="00714F92">
        <w:instrText xml:space="preserve"> HYPERLINK "http://www.agriculture.gov.au/import/goods/food/inspection-compliance/inspection-scheme" </w:instrText>
      </w:r>
      <w:r w:rsidR="00714F92">
        <w:fldChar w:fldCharType="separate"/>
      </w:r>
      <w:r w:rsidR="0027237F" w:rsidRPr="0027237F">
        <w:rPr>
          <w:rStyle w:val="Hyperlink"/>
          <w:spacing w:val="0"/>
          <w:lang w:val="en"/>
        </w:rPr>
        <w:t>Imported Food Inspection Scheme (IFIS)</w:t>
      </w:r>
      <w:r w:rsidR="00714F92">
        <w:rPr>
          <w:rStyle w:val="Hyperlink"/>
          <w:spacing w:val="0"/>
          <w:lang w:val="en"/>
        </w:rPr>
        <w:fldChar w:fldCharType="end"/>
      </w:r>
      <w:bookmarkEnd w:id="1"/>
      <w:r w:rsidR="00A351AA" w:rsidRPr="00A351AA">
        <w:rPr>
          <w:spacing w:val="0"/>
        </w:rPr>
        <w:t xml:space="preserve">. </w:t>
      </w:r>
    </w:p>
    <w:p w14:paraId="2E5AAE9E" w14:textId="6E9105A0" w:rsidR="00216DDE" w:rsidRPr="00A351AA" w:rsidRDefault="006601DA" w:rsidP="00EE18D5">
      <w:pPr>
        <w:rPr>
          <w:spacing w:val="0"/>
        </w:rPr>
      </w:pPr>
      <w:r>
        <w:rPr>
          <w:spacing w:val="0"/>
        </w:rPr>
        <w:t>Under this scheme</w:t>
      </w:r>
      <w:r w:rsidR="003B2EDF">
        <w:rPr>
          <w:spacing w:val="0"/>
        </w:rPr>
        <w:t>,</w:t>
      </w:r>
      <w:r>
        <w:rPr>
          <w:spacing w:val="0"/>
        </w:rPr>
        <w:t xml:space="preserve"> imported food</w:t>
      </w:r>
      <w:r w:rsidR="00AF168E">
        <w:rPr>
          <w:spacing w:val="0"/>
        </w:rPr>
        <w:t>s</w:t>
      </w:r>
      <w:r>
        <w:rPr>
          <w:spacing w:val="0"/>
        </w:rPr>
        <w:t xml:space="preserve"> </w:t>
      </w:r>
      <w:r w:rsidR="00AF168E">
        <w:rPr>
          <w:spacing w:val="0"/>
        </w:rPr>
        <w:t>are</w:t>
      </w:r>
      <w:r>
        <w:rPr>
          <w:spacing w:val="0"/>
        </w:rPr>
        <w:t xml:space="preserve"> inspected and analysed </w:t>
      </w:r>
      <w:r w:rsidR="00615BC9">
        <w:rPr>
          <w:spacing w:val="0"/>
        </w:rPr>
        <w:t xml:space="preserve">at the border </w:t>
      </w:r>
      <w:r w:rsidR="00AF168E">
        <w:rPr>
          <w:spacing w:val="0"/>
        </w:rPr>
        <w:t>on the basis of t</w:t>
      </w:r>
      <w:r w:rsidRPr="00A351AA">
        <w:rPr>
          <w:spacing w:val="0"/>
        </w:rPr>
        <w:t xml:space="preserve">he </w:t>
      </w:r>
      <w:r w:rsidR="00AF168E">
        <w:rPr>
          <w:spacing w:val="0"/>
        </w:rPr>
        <w:t xml:space="preserve">risk </w:t>
      </w:r>
      <w:r w:rsidR="003B2EDF">
        <w:rPr>
          <w:spacing w:val="0"/>
        </w:rPr>
        <w:t xml:space="preserve">they may pose </w:t>
      </w:r>
      <w:r w:rsidR="00AF168E">
        <w:rPr>
          <w:spacing w:val="0"/>
        </w:rPr>
        <w:t xml:space="preserve">to </w:t>
      </w:r>
      <w:r w:rsidRPr="00A351AA">
        <w:rPr>
          <w:spacing w:val="0"/>
        </w:rPr>
        <w:t>public health</w:t>
      </w:r>
      <w:r w:rsidR="00AF168E">
        <w:rPr>
          <w:spacing w:val="0"/>
        </w:rPr>
        <w:t xml:space="preserve">. </w:t>
      </w:r>
      <w:r w:rsidR="00615BC9">
        <w:rPr>
          <w:spacing w:val="0"/>
        </w:rPr>
        <w:t>Food Standards Australia New Zealand provides advice to the department on imported foods that pose a medium to high risk to public health. These foods are classified as ‘risk food’ and are initially inspected and tested at a rate of 100 percent. All other foods are classified as ‘surveillance foods’</w:t>
      </w:r>
      <w:r w:rsidR="002D3040">
        <w:rPr>
          <w:spacing w:val="0"/>
        </w:rPr>
        <w:t xml:space="preserve"> and have a 5 percent chanc</w:t>
      </w:r>
      <w:r w:rsidR="00615BC9">
        <w:rPr>
          <w:spacing w:val="0"/>
        </w:rPr>
        <w:t xml:space="preserve">e of being referred for inspection. </w:t>
      </w:r>
    </w:p>
    <w:p w14:paraId="7E1E130F" w14:textId="2270210B" w:rsidR="006246F1" w:rsidRDefault="001957F7" w:rsidP="00EE18D5">
      <w:pPr>
        <w:rPr>
          <w:spacing w:val="0"/>
        </w:rPr>
      </w:pPr>
      <w:r>
        <w:rPr>
          <w:spacing w:val="0"/>
        </w:rPr>
        <w:t>Post border s</w:t>
      </w:r>
      <w:r w:rsidR="007C196E" w:rsidRPr="00A351AA">
        <w:rPr>
          <w:spacing w:val="0"/>
        </w:rPr>
        <w:t>tate</w:t>
      </w:r>
      <w:r w:rsidR="00A351AA" w:rsidRPr="00A351AA">
        <w:rPr>
          <w:spacing w:val="0"/>
        </w:rPr>
        <w:t xml:space="preserve"> and </w:t>
      </w:r>
      <w:r w:rsidR="006601DA">
        <w:rPr>
          <w:spacing w:val="0"/>
        </w:rPr>
        <w:t>t</w:t>
      </w:r>
      <w:r w:rsidR="007C196E" w:rsidRPr="00A351AA">
        <w:rPr>
          <w:spacing w:val="0"/>
        </w:rPr>
        <w:t>erritor</w:t>
      </w:r>
      <w:r w:rsidR="006601DA">
        <w:rPr>
          <w:spacing w:val="0"/>
        </w:rPr>
        <w:t xml:space="preserve">y authorities regulate importers and </w:t>
      </w:r>
      <w:r w:rsidR="00AF168E">
        <w:rPr>
          <w:spacing w:val="0"/>
        </w:rPr>
        <w:t xml:space="preserve">also </w:t>
      </w:r>
      <w:r w:rsidR="006738FB" w:rsidRPr="00A351AA">
        <w:rPr>
          <w:spacing w:val="0"/>
        </w:rPr>
        <w:t>monitor imported foods</w:t>
      </w:r>
      <w:r>
        <w:rPr>
          <w:spacing w:val="0"/>
        </w:rPr>
        <w:t>,</w:t>
      </w:r>
      <w:r w:rsidR="006738FB" w:rsidRPr="00A351AA">
        <w:rPr>
          <w:spacing w:val="0"/>
        </w:rPr>
        <w:t xml:space="preserve"> </w:t>
      </w:r>
      <w:r w:rsidR="00615BC9">
        <w:rPr>
          <w:spacing w:val="0"/>
        </w:rPr>
        <w:t xml:space="preserve">for sale </w:t>
      </w:r>
      <w:r w:rsidR="006738FB" w:rsidRPr="00A351AA">
        <w:rPr>
          <w:spacing w:val="0"/>
        </w:rPr>
        <w:t>within their jurisdictions.</w:t>
      </w:r>
    </w:p>
    <w:p w14:paraId="325FB1F4" w14:textId="2342411A" w:rsidR="00B82084" w:rsidRPr="00EA3C1D" w:rsidRDefault="00B82084" w:rsidP="00EE18D5">
      <w:pPr>
        <w:pStyle w:val="Heading2"/>
        <w:spacing w:before="0" w:after="120"/>
      </w:pPr>
      <w:r w:rsidRPr="00EA3C1D">
        <w:rPr>
          <w:bCs w:val="0"/>
          <w:iCs/>
        </w:rPr>
        <w:t>3.</w:t>
      </w:r>
      <w:r w:rsidRPr="00EA3C1D">
        <w:rPr>
          <w:bCs w:val="0"/>
          <w:iCs/>
        </w:rPr>
        <w:tab/>
      </w:r>
      <w:r w:rsidR="00C12515" w:rsidRPr="00EA3C1D">
        <w:rPr>
          <w:bCs w:val="0"/>
          <w:iCs/>
        </w:rPr>
        <w:t xml:space="preserve">How do I </w:t>
      </w:r>
      <w:r w:rsidR="005B0908" w:rsidRPr="00EA3C1D">
        <w:rPr>
          <w:bCs w:val="0"/>
          <w:iCs/>
        </w:rPr>
        <w:t xml:space="preserve">get </w:t>
      </w:r>
      <w:r w:rsidR="00C12515" w:rsidRPr="00EA3C1D">
        <w:rPr>
          <w:bCs w:val="0"/>
          <w:iCs/>
        </w:rPr>
        <w:t>Commonwealth approval</w:t>
      </w:r>
      <w:r w:rsidR="007C196E" w:rsidRPr="00EA3C1D">
        <w:rPr>
          <w:bCs w:val="0"/>
          <w:iCs/>
        </w:rPr>
        <w:t>?</w:t>
      </w:r>
    </w:p>
    <w:p w14:paraId="2EE81FD8" w14:textId="10D0BF2A" w:rsidR="006B3DBE" w:rsidRPr="00A351AA" w:rsidRDefault="006B3DBE" w:rsidP="00EE18D5">
      <w:pPr>
        <w:pStyle w:val="Custom4"/>
        <w:spacing w:after="120" w:line="240" w:lineRule="auto"/>
        <w:ind w:left="0"/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0"/>
          <w:szCs w:val="20"/>
        </w:rPr>
      </w:pPr>
      <w:r w:rsidRPr="00A351AA"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0"/>
          <w:szCs w:val="20"/>
        </w:rPr>
        <w:t xml:space="preserve">Guidelines and applications </w:t>
      </w:r>
      <w:r w:rsidR="006246F1"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0"/>
          <w:szCs w:val="20"/>
        </w:rPr>
        <w:t xml:space="preserve">for permits </w:t>
      </w:r>
      <w:r w:rsidR="00A351AA"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0"/>
          <w:szCs w:val="20"/>
        </w:rPr>
        <w:t>are available on the</w:t>
      </w:r>
      <w:r w:rsidR="005343A6"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0"/>
          <w:szCs w:val="20"/>
        </w:rPr>
        <w:t xml:space="preserve"> </w:t>
      </w:r>
      <w:r w:rsidR="005343A6" w:rsidRPr="0099269F"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0"/>
          <w:szCs w:val="20"/>
        </w:rPr>
        <w:t>Department of Agriculture and Water Resources’</w:t>
      </w:r>
      <w:r w:rsidRPr="00A351AA"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0"/>
          <w:szCs w:val="20"/>
        </w:rPr>
        <w:t xml:space="preserve"> online </w:t>
      </w:r>
      <w:hyperlink r:id="rId18" w:history="1">
        <w:r w:rsidRPr="00A351AA">
          <w:rPr>
            <w:rStyle w:val="Hyperlink"/>
            <w:rFonts w:asciiTheme="minorHAnsi" w:eastAsiaTheme="minorHAnsi" w:hAnsiTheme="minorHAnsi" w:cstheme="minorBidi"/>
            <w:bCs w:val="0"/>
            <w:i w:val="0"/>
            <w:iCs w:val="0"/>
            <w:sz w:val="20"/>
            <w:szCs w:val="20"/>
          </w:rPr>
          <w:t>BICON portal</w:t>
        </w:r>
      </w:hyperlink>
      <w:r w:rsidR="00ED14E1">
        <w:rPr>
          <w:rStyle w:val="Hyperlink"/>
          <w:rFonts w:asciiTheme="minorHAnsi" w:eastAsiaTheme="minorHAnsi" w:hAnsiTheme="minorHAnsi" w:cstheme="minorBidi"/>
          <w:bCs w:val="0"/>
          <w:i w:val="0"/>
          <w:iCs w:val="0"/>
          <w:sz w:val="20"/>
          <w:szCs w:val="20"/>
        </w:rPr>
        <w:t>.</w:t>
      </w:r>
    </w:p>
    <w:p w14:paraId="2980CAF7" w14:textId="58B6B0D3" w:rsidR="0088636D" w:rsidRPr="00A351AA" w:rsidRDefault="00ED14E1" w:rsidP="00EE18D5">
      <w:pPr>
        <w:pStyle w:val="Custom4"/>
        <w:spacing w:after="120" w:line="240" w:lineRule="auto"/>
        <w:ind w:left="0"/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0"/>
          <w:szCs w:val="20"/>
        </w:rPr>
        <w:t>Biosecurity</w:t>
      </w:r>
      <w:r w:rsidRPr="00A351AA"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0"/>
          <w:szCs w:val="20"/>
        </w:rPr>
        <w:t xml:space="preserve"> </w:t>
      </w:r>
      <w:r w:rsidR="006B3DBE" w:rsidRPr="00A351AA"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0"/>
          <w:szCs w:val="20"/>
        </w:rPr>
        <w:t>requirements for import</w:t>
      </w:r>
      <w:r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0"/>
          <w:szCs w:val="20"/>
        </w:rPr>
        <w:t xml:space="preserve">s </w:t>
      </w:r>
      <w:r w:rsidR="00A351AA" w:rsidRPr="00A351AA"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0"/>
          <w:szCs w:val="20"/>
        </w:rPr>
        <w:t>of fresh</w:t>
      </w:r>
      <w:r w:rsidR="006B3DBE" w:rsidRPr="00A351AA"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0"/>
          <w:szCs w:val="20"/>
        </w:rPr>
        <w:t xml:space="preserve"> fruit and vegetables, milk, egg, meat </w:t>
      </w:r>
      <w:r w:rsidR="003E22B1"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0"/>
          <w:szCs w:val="20"/>
        </w:rPr>
        <w:t>and</w:t>
      </w:r>
      <w:r w:rsidR="003E22B1" w:rsidRPr="00A351AA"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0"/>
          <w:szCs w:val="20"/>
        </w:rPr>
        <w:t xml:space="preserve"> </w:t>
      </w:r>
      <w:r w:rsidR="006B3DBE" w:rsidRPr="00A351AA"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0"/>
          <w:szCs w:val="20"/>
        </w:rPr>
        <w:t>other animal products can</w:t>
      </w:r>
      <w:r w:rsidR="00FD1AA6"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0"/>
          <w:szCs w:val="20"/>
        </w:rPr>
        <w:t xml:space="preserve"> also</w:t>
      </w:r>
      <w:r w:rsidR="006B3DBE" w:rsidRPr="00A351AA"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0"/>
          <w:szCs w:val="20"/>
        </w:rPr>
        <w:t xml:space="preserve"> be found </w:t>
      </w:r>
      <w:r w:rsidR="00A351AA"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0"/>
          <w:szCs w:val="20"/>
        </w:rPr>
        <w:t xml:space="preserve">on </w:t>
      </w:r>
      <w:r w:rsidR="006B3DBE" w:rsidRPr="00A351AA"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0"/>
          <w:szCs w:val="20"/>
        </w:rPr>
        <w:t>the online portal.</w:t>
      </w:r>
    </w:p>
    <w:p w14:paraId="773EF7BE" w14:textId="7AC9D832" w:rsidR="00573175" w:rsidRPr="00A351AA" w:rsidRDefault="0088636D" w:rsidP="00EE18D5">
      <w:pPr>
        <w:pStyle w:val="Custom4"/>
        <w:spacing w:after="120" w:line="240" w:lineRule="auto"/>
        <w:ind w:left="0"/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0"/>
          <w:szCs w:val="20"/>
        </w:rPr>
      </w:pPr>
      <w:r w:rsidRPr="00A351AA"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0"/>
          <w:szCs w:val="20"/>
        </w:rPr>
        <w:t xml:space="preserve">Permits are required prior to importing the food. </w:t>
      </w:r>
      <w:r w:rsidR="006B3DBE" w:rsidRPr="00A351AA"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0"/>
          <w:szCs w:val="20"/>
        </w:rPr>
        <w:t xml:space="preserve">Standard applications are processed within 10-20 days. </w:t>
      </w:r>
    </w:p>
    <w:p w14:paraId="2D994D18" w14:textId="02821E4A" w:rsidR="00B82084" w:rsidRDefault="00B82084" w:rsidP="00EE18D5">
      <w:pPr>
        <w:pStyle w:val="Heading2"/>
        <w:spacing w:before="0" w:after="120"/>
      </w:pPr>
      <w:r w:rsidRPr="00EA3C1D">
        <w:t>4.</w:t>
      </w:r>
      <w:r w:rsidRPr="00EA3C1D">
        <w:tab/>
      </w:r>
      <w:r w:rsidR="005B0908" w:rsidRPr="00EA3C1D">
        <w:t>More</w:t>
      </w:r>
      <w:r w:rsidR="007C196E" w:rsidRPr="00EA3C1D">
        <w:t xml:space="preserve"> information</w:t>
      </w:r>
    </w:p>
    <w:p w14:paraId="20B34013" w14:textId="77777777" w:rsidR="00757A88" w:rsidRPr="00757A88" w:rsidRDefault="0027237F" w:rsidP="00EE18D5">
      <w:pPr>
        <w:pStyle w:val="Heading3"/>
        <w:spacing w:before="0"/>
        <w:rPr>
          <w:rStyle w:val="Heading3Char"/>
          <w:b/>
          <w:bCs/>
        </w:rPr>
      </w:pPr>
      <w:r w:rsidRPr="00757A88">
        <w:rPr>
          <w:rStyle w:val="Heading3Char"/>
          <w:b/>
          <w:bCs/>
        </w:rPr>
        <w:t>Commonwealth</w:t>
      </w:r>
    </w:p>
    <w:p w14:paraId="3550D342" w14:textId="0639605C" w:rsidR="0027237F" w:rsidRPr="00A351AA" w:rsidRDefault="0027237F" w:rsidP="00EE18D5">
      <w:pPr>
        <w:rPr>
          <w:spacing w:val="0"/>
        </w:rPr>
      </w:pPr>
      <w:r w:rsidRPr="00A351AA">
        <w:rPr>
          <w:rFonts w:cstheme="minorHAnsi"/>
          <w:spacing w:val="0"/>
        </w:rPr>
        <w:t xml:space="preserve">For more information on importing food into Australia, </w:t>
      </w:r>
      <w:r>
        <w:rPr>
          <w:rFonts w:cstheme="minorHAnsi"/>
          <w:spacing w:val="0"/>
        </w:rPr>
        <w:t>visit</w:t>
      </w:r>
      <w:r w:rsidRPr="00A351AA">
        <w:rPr>
          <w:rFonts w:cstheme="minorHAnsi"/>
          <w:spacing w:val="0"/>
        </w:rPr>
        <w:t xml:space="preserve"> the Department of Agriculture Water</w:t>
      </w:r>
      <w:r w:rsidR="00E707BF">
        <w:rPr>
          <w:rFonts w:cstheme="minorHAnsi"/>
          <w:spacing w:val="0"/>
        </w:rPr>
        <w:t xml:space="preserve"> and the Environment</w:t>
      </w:r>
      <w:r w:rsidRPr="00A351AA">
        <w:rPr>
          <w:rFonts w:cstheme="minorHAnsi"/>
          <w:spacing w:val="0"/>
        </w:rPr>
        <w:t xml:space="preserve"> </w:t>
      </w:r>
      <w:hyperlink r:id="rId19" w:history="1">
        <w:r w:rsidRPr="00A351AA">
          <w:rPr>
            <w:rStyle w:val="Hyperlink"/>
            <w:rFonts w:cstheme="minorHAnsi"/>
            <w:spacing w:val="0"/>
          </w:rPr>
          <w:t>website</w:t>
        </w:r>
      </w:hyperlink>
      <w:r w:rsidRPr="00A351AA">
        <w:rPr>
          <w:rFonts w:cstheme="minorHAnsi"/>
          <w:spacing w:val="0"/>
        </w:rPr>
        <w:t>.</w:t>
      </w:r>
    </w:p>
    <w:p w14:paraId="0D52308D" w14:textId="580965AD" w:rsidR="0027237F" w:rsidRDefault="0027237F" w:rsidP="00EE18D5">
      <w:pPr>
        <w:rPr>
          <w:rFonts w:cstheme="minorHAnsi"/>
          <w:spacing w:val="0"/>
        </w:rPr>
      </w:pPr>
      <w:r w:rsidRPr="00A351AA">
        <w:rPr>
          <w:rFonts w:cstheme="minorHAnsi"/>
          <w:spacing w:val="0"/>
        </w:rPr>
        <w:t xml:space="preserve">For more information on food standards, </w:t>
      </w:r>
      <w:r>
        <w:rPr>
          <w:rFonts w:cstheme="minorHAnsi"/>
          <w:spacing w:val="0"/>
        </w:rPr>
        <w:t>visit</w:t>
      </w:r>
      <w:r w:rsidRPr="00A351AA">
        <w:rPr>
          <w:rFonts w:cstheme="minorHAnsi"/>
          <w:spacing w:val="0"/>
        </w:rPr>
        <w:t xml:space="preserve"> the Food Standards Australia and New Zealand</w:t>
      </w:r>
      <w:r w:rsidRPr="006601DA">
        <w:t xml:space="preserve"> </w:t>
      </w:r>
      <w:hyperlink r:id="rId20" w:history="1">
        <w:r>
          <w:rPr>
            <w:rStyle w:val="Hyperlink"/>
            <w:rFonts w:cstheme="minorHAnsi"/>
            <w:spacing w:val="0"/>
          </w:rPr>
          <w:t>website</w:t>
        </w:r>
      </w:hyperlink>
      <w:r>
        <w:rPr>
          <w:rFonts w:cstheme="minorHAnsi"/>
          <w:spacing w:val="0"/>
        </w:rPr>
        <w:t>.</w:t>
      </w:r>
    </w:p>
    <w:p w14:paraId="47E18EE6" w14:textId="77777777" w:rsidR="0027237F" w:rsidRPr="00BF3D9C" w:rsidRDefault="0027237F" w:rsidP="00EE18D5">
      <w:pPr>
        <w:pStyle w:val="Heading3"/>
        <w:spacing w:before="0"/>
      </w:pPr>
      <w:r w:rsidRPr="00BF3D9C">
        <w:t>Major Projects Facilitation Agency</w:t>
      </w:r>
    </w:p>
    <w:p w14:paraId="3333E359" w14:textId="77777777" w:rsidR="0027237F" w:rsidRDefault="0027237F" w:rsidP="00EE18D5">
      <w:pPr>
        <w:rPr>
          <w:rFonts w:cstheme="minorHAnsi"/>
        </w:rPr>
      </w:pPr>
      <w:r>
        <w:rPr>
          <w:rFonts w:cstheme="minorHAnsi"/>
        </w:rPr>
        <w:t xml:space="preserve">If you would like assistance to identify the regulatory obligations for your project, please visit our </w:t>
      </w:r>
      <w:hyperlink r:id="rId21" w:history="1">
        <w:r w:rsidRPr="00D57FC2">
          <w:rPr>
            <w:rStyle w:val="Hyperlink"/>
            <w:rFonts w:cstheme="minorHAnsi"/>
          </w:rPr>
          <w:t>Online Tool</w:t>
        </w:r>
      </w:hyperlink>
      <w:r>
        <w:rPr>
          <w:rFonts w:cstheme="minorHAnsi"/>
        </w:rPr>
        <w:t xml:space="preserve"> or contact us:</w:t>
      </w:r>
    </w:p>
    <w:p w14:paraId="11398664" w14:textId="1D88548D" w:rsidR="006924F4" w:rsidRPr="006924F4" w:rsidRDefault="0027237F" w:rsidP="00EE18D5">
      <w:pPr>
        <w:rPr>
          <w:color w:val="005677" w:themeColor="hyperlink"/>
          <w:u w:val="single"/>
        </w:rPr>
      </w:pPr>
      <w:r>
        <w:t>Email:</w:t>
      </w:r>
      <w:r>
        <w:tab/>
      </w:r>
      <w:r>
        <w:tab/>
      </w:r>
      <w:r w:rsidR="00EF5280" w:rsidRPr="00EF5280">
        <w:rPr>
          <w:rStyle w:val="Hyperlink"/>
        </w:rPr>
        <w:t>mpfa@industry.gov.au</w:t>
      </w:r>
    </w:p>
    <w:p w14:paraId="35EB7614" w14:textId="4DE2CF5A" w:rsidR="0027237F" w:rsidRPr="00A74053" w:rsidRDefault="0027237F" w:rsidP="0027237F">
      <w:pPr>
        <w:spacing w:before="20" w:after="20"/>
        <w:rPr>
          <w:rStyle w:val="IntenseEmphasis"/>
          <w:b w:val="0"/>
          <w:bCs w:val="0"/>
          <w:i w:val="0"/>
          <w:iCs w:val="0"/>
          <w:color w:val="005677" w:themeColor="hyperlink"/>
          <w:u w:val="single"/>
        </w:rPr>
      </w:pPr>
    </w:p>
    <w:p w14:paraId="0500D7AB" w14:textId="77C14A91" w:rsidR="0088636D" w:rsidRPr="00573175" w:rsidRDefault="0088636D">
      <w:pPr>
        <w:spacing w:after="0"/>
        <w:rPr>
          <w:rFonts w:cstheme="minorHAnsi"/>
        </w:rPr>
      </w:pPr>
    </w:p>
    <w:sectPr w:rsidR="0088636D" w:rsidRPr="00573175" w:rsidSect="0088636D">
      <w:type w:val="continuous"/>
      <w:pgSz w:w="11906" w:h="16838"/>
      <w:pgMar w:top="1276" w:right="851" w:bottom="851" w:left="851" w:header="567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9454C" w14:textId="77777777" w:rsidR="00563818" w:rsidRDefault="00563818" w:rsidP="00B526AB">
      <w:pPr>
        <w:spacing w:after="0"/>
      </w:pPr>
      <w:r>
        <w:separator/>
      </w:r>
    </w:p>
  </w:endnote>
  <w:endnote w:type="continuationSeparator" w:id="0">
    <w:p w14:paraId="191A0A4E" w14:textId="77777777" w:rsidR="00563818" w:rsidRDefault="00563818" w:rsidP="00B52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ACE6C" w14:textId="77777777" w:rsidR="006709E4" w:rsidRDefault="006709E4" w:rsidP="006B007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82F4A4F" w14:textId="77777777" w:rsidR="006709E4" w:rsidRDefault="006709E4" w:rsidP="006B007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DF64E" w14:textId="77777777" w:rsidR="006709E4" w:rsidRPr="007B2AA7" w:rsidRDefault="006709E4" w:rsidP="006B0076">
    <w:pPr>
      <w:pStyle w:val="Footer"/>
      <w:framePr w:wrap="around" w:vAnchor="text" w:hAnchor="margin" w:y="1"/>
      <w:rPr>
        <w:rStyle w:val="PageNumber"/>
        <w:b/>
        <w:bCs/>
        <w:szCs w:val="16"/>
      </w:rPr>
    </w:pPr>
    <w:r w:rsidRPr="007B2AA7">
      <w:rPr>
        <w:rStyle w:val="PageNumber"/>
        <w:b/>
        <w:bCs/>
        <w:szCs w:val="16"/>
      </w:rPr>
      <w:fldChar w:fldCharType="begin"/>
    </w:r>
    <w:r w:rsidRPr="007B2AA7">
      <w:rPr>
        <w:rStyle w:val="PageNumber"/>
        <w:b/>
        <w:bCs/>
        <w:szCs w:val="16"/>
      </w:rPr>
      <w:instrText xml:space="preserve">PAGE  </w:instrText>
    </w:r>
    <w:r w:rsidRPr="007B2AA7">
      <w:rPr>
        <w:rStyle w:val="PageNumber"/>
        <w:b/>
        <w:bCs/>
        <w:szCs w:val="16"/>
      </w:rPr>
      <w:fldChar w:fldCharType="separate"/>
    </w:r>
    <w:r w:rsidR="00EE18D5">
      <w:rPr>
        <w:rStyle w:val="PageNumber"/>
        <w:b/>
        <w:bCs/>
        <w:noProof/>
        <w:szCs w:val="16"/>
      </w:rPr>
      <w:t>2</w:t>
    </w:r>
    <w:r w:rsidRPr="007B2AA7">
      <w:rPr>
        <w:rStyle w:val="PageNumber"/>
        <w:b/>
        <w:bCs/>
        <w:szCs w:val="16"/>
      </w:rPr>
      <w:fldChar w:fldCharType="end"/>
    </w:r>
  </w:p>
  <w:p w14:paraId="5A4D062F" w14:textId="02614AF2" w:rsidR="006709E4" w:rsidRDefault="006709E4" w:rsidP="008D1288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 w:rsidR="008D1288">
      <w:t xml:space="preserve"> </w:t>
    </w:r>
    <w:hyperlink r:id="rId1" w:history="1">
      <w:r w:rsidRPr="008E1EE6">
        <w:rPr>
          <w:rStyle w:val="Hyperlink"/>
        </w:rPr>
        <w:t>contact@mpaa.gov.au</w:t>
      </w:r>
    </w:hyperlink>
    <w:r w:rsidRPr="0057207B">
      <w:t>23 December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4E2D8" w14:textId="0CCB7945" w:rsidR="006709E4" w:rsidRPr="0057207B" w:rsidRDefault="006709E4" w:rsidP="0057207B">
    <w:pPr>
      <w:pStyle w:val="Footer"/>
      <w:framePr w:wrap="around" w:vAnchor="text" w:hAnchor="margin" w:y="1"/>
      <w:rPr>
        <w:rStyle w:val="PageNumber"/>
        <w:b/>
        <w:bCs/>
        <w:szCs w:val="16"/>
      </w:rPr>
    </w:pPr>
  </w:p>
  <w:p w14:paraId="230CADFA" w14:textId="04290962" w:rsidR="006709E4" w:rsidRDefault="006709E4" w:rsidP="0057207B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 w:rsidR="005B09A0">
      <w:t xml:space="preserve"> The Major Project </w:t>
    </w:r>
    <w:r w:rsidR="00FE3605">
      <w:t>Facilitation Agency (MPF</w:t>
    </w:r>
    <w:r w:rsidR="005B09A0">
      <w:t>A) assists Major Project Proponents to navigate the approvals process</w:t>
    </w:r>
    <w:r w:rsidR="00584091">
      <w:t>. The MP</w:t>
    </w:r>
    <w:r w:rsidR="00FE3605">
      <w:t>F</w:t>
    </w:r>
    <w:r w:rsidR="00584091">
      <w:t xml:space="preserve">A </w:t>
    </w:r>
    <w:r w:rsidR="005B09A0">
      <w:t>does not grant approvals, nor administer this Act or Regulations.</w:t>
    </w:r>
  </w:p>
  <w:p w14:paraId="0F7EC18A" w14:textId="707D70AE" w:rsidR="006709E4" w:rsidRDefault="00EF5280" w:rsidP="007B2AA7">
    <w:pPr>
      <w:pStyle w:val="Footer"/>
      <w:tabs>
        <w:tab w:val="clear" w:pos="3969"/>
        <w:tab w:val="clear" w:pos="6804"/>
      </w:tabs>
      <w:ind w:left="284"/>
    </w:pPr>
    <w:hyperlink r:id="rId1" w:tooltip="www.business.gov.au/mpfa" w:history="1">
      <w:r w:rsidR="00E913E3" w:rsidRPr="00EA4D5F">
        <w:rPr>
          <w:rStyle w:val="Hyperlink"/>
        </w:rPr>
        <w:t>www.business.gov.au/mpfa</w:t>
      </w:r>
    </w:hyperlink>
    <w:r w:rsidR="00E913E3">
      <w:t xml:space="preserve"> </w:t>
    </w:r>
    <w:r w:rsidR="00E913E3">
      <w:tab/>
    </w:r>
    <w:r w:rsidR="00E913E3">
      <w:tab/>
    </w:r>
    <w:r w:rsidR="00E913E3">
      <w:tab/>
    </w:r>
    <w:r w:rsidR="00E913E3">
      <w:tab/>
    </w:r>
    <w:r w:rsidR="00E913E3">
      <w:tab/>
    </w:r>
    <w:r w:rsidR="00E913E3">
      <w:tab/>
    </w:r>
    <w:r w:rsidR="00E913E3">
      <w:tab/>
    </w:r>
    <w:r w:rsidR="00E913E3">
      <w:tab/>
    </w:r>
    <w:r w:rsidR="00E913E3">
      <w:tab/>
    </w:r>
    <w:r w:rsidR="00E913E3">
      <w:tab/>
    </w:r>
    <w:r w:rsidRPr="00EF5280">
      <w:rPr>
        <w:rStyle w:val="Hyperlink"/>
      </w:rPr>
      <w:t>mpfa@industry.gov.au</w:t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C077D3">
      <w:t>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77737" w14:textId="77777777" w:rsidR="00563818" w:rsidRDefault="00563818" w:rsidP="00B526AB">
      <w:pPr>
        <w:spacing w:after="0"/>
      </w:pPr>
      <w:r>
        <w:separator/>
      </w:r>
    </w:p>
  </w:footnote>
  <w:footnote w:type="continuationSeparator" w:id="0">
    <w:p w14:paraId="4F111828" w14:textId="77777777" w:rsidR="00563818" w:rsidRDefault="00563818" w:rsidP="00B526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26F94" w14:textId="19BA2AFB" w:rsidR="006709E4" w:rsidRDefault="0075130A">
    <w:pPr>
      <w:pStyle w:val="Header"/>
    </w:pPr>
    <w:r>
      <w:rPr>
        <w:noProof/>
        <w:lang w:eastAsia="en-AU"/>
      </w:rPr>
      <w:drawing>
        <wp:inline distT="0" distB="0" distL="0" distR="0" wp14:anchorId="4A214A9A" wp14:editId="508110C6">
          <wp:extent cx="6443345" cy="3242945"/>
          <wp:effectExtent l="0" t="0" r="0" b="0"/>
          <wp:docPr id="1" name="Picture 1" descr="Major Projects Facilitation Agency - Commonwealth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049E5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40A66024"/>
    <w:multiLevelType w:val="hybridMultilevel"/>
    <w:tmpl w:val="256274A0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5AD15F41"/>
    <w:multiLevelType w:val="hybridMultilevel"/>
    <w:tmpl w:val="22B6E3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60"/>
    <w:rsid w:val="00000A02"/>
    <w:rsid w:val="0000299C"/>
    <w:rsid w:val="00057599"/>
    <w:rsid w:val="00071176"/>
    <w:rsid w:val="000D52B1"/>
    <w:rsid w:val="00115CD2"/>
    <w:rsid w:val="00163B54"/>
    <w:rsid w:val="001957F7"/>
    <w:rsid w:val="001A25AE"/>
    <w:rsid w:val="001A2DC6"/>
    <w:rsid w:val="001E0554"/>
    <w:rsid w:val="00216DDE"/>
    <w:rsid w:val="0022200A"/>
    <w:rsid w:val="002300AC"/>
    <w:rsid w:val="00237A8F"/>
    <w:rsid w:val="00244596"/>
    <w:rsid w:val="00263E00"/>
    <w:rsid w:val="0027105F"/>
    <w:rsid w:val="0027237F"/>
    <w:rsid w:val="0029123D"/>
    <w:rsid w:val="002B33D4"/>
    <w:rsid w:val="002B57BF"/>
    <w:rsid w:val="002C12E3"/>
    <w:rsid w:val="002D3040"/>
    <w:rsid w:val="002D3954"/>
    <w:rsid w:val="002E14EA"/>
    <w:rsid w:val="002E1754"/>
    <w:rsid w:val="002E201E"/>
    <w:rsid w:val="002F65AF"/>
    <w:rsid w:val="00304F04"/>
    <w:rsid w:val="0032330F"/>
    <w:rsid w:val="00345922"/>
    <w:rsid w:val="00360795"/>
    <w:rsid w:val="0038442D"/>
    <w:rsid w:val="00396C39"/>
    <w:rsid w:val="003B2EDF"/>
    <w:rsid w:val="003E22B1"/>
    <w:rsid w:val="003F5CBE"/>
    <w:rsid w:val="00402E42"/>
    <w:rsid w:val="00407ECA"/>
    <w:rsid w:val="004111E9"/>
    <w:rsid w:val="004140D7"/>
    <w:rsid w:val="00436B60"/>
    <w:rsid w:val="00452BA6"/>
    <w:rsid w:val="004A254E"/>
    <w:rsid w:val="004C71CF"/>
    <w:rsid w:val="004D5A3B"/>
    <w:rsid w:val="00523023"/>
    <w:rsid w:val="005343A6"/>
    <w:rsid w:val="00563818"/>
    <w:rsid w:val="005642F2"/>
    <w:rsid w:val="0057199A"/>
    <w:rsid w:val="0057207B"/>
    <w:rsid w:val="00573175"/>
    <w:rsid w:val="00584091"/>
    <w:rsid w:val="00585806"/>
    <w:rsid w:val="005B0908"/>
    <w:rsid w:val="005B09A0"/>
    <w:rsid w:val="005D0228"/>
    <w:rsid w:val="005F1934"/>
    <w:rsid w:val="00602C92"/>
    <w:rsid w:val="00612A48"/>
    <w:rsid w:val="00615BC9"/>
    <w:rsid w:val="006202E7"/>
    <w:rsid w:val="006246F1"/>
    <w:rsid w:val="00643335"/>
    <w:rsid w:val="00655FC4"/>
    <w:rsid w:val="006601DA"/>
    <w:rsid w:val="006709E4"/>
    <w:rsid w:val="00672E55"/>
    <w:rsid w:val="006738FB"/>
    <w:rsid w:val="006924F4"/>
    <w:rsid w:val="006B0076"/>
    <w:rsid w:val="006B3DBE"/>
    <w:rsid w:val="006B4A68"/>
    <w:rsid w:val="006B5704"/>
    <w:rsid w:val="006C2852"/>
    <w:rsid w:val="006C2F68"/>
    <w:rsid w:val="006C7F6D"/>
    <w:rsid w:val="006D4B5A"/>
    <w:rsid w:val="006E1767"/>
    <w:rsid w:val="006E5C90"/>
    <w:rsid w:val="006F2844"/>
    <w:rsid w:val="00714F92"/>
    <w:rsid w:val="00723B30"/>
    <w:rsid w:val="00737F54"/>
    <w:rsid w:val="0075130A"/>
    <w:rsid w:val="00757A88"/>
    <w:rsid w:val="00766BD5"/>
    <w:rsid w:val="00776532"/>
    <w:rsid w:val="007B2AA7"/>
    <w:rsid w:val="007C04FA"/>
    <w:rsid w:val="007C196E"/>
    <w:rsid w:val="007D7AC4"/>
    <w:rsid w:val="007F58C1"/>
    <w:rsid w:val="007F7D0E"/>
    <w:rsid w:val="00822068"/>
    <w:rsid w:val="0083093A"/>
    <w:rsid w:val="00850038"/>
    <w:rsid w:val="0088636D"/>
    <w:rsid w:val="0088639D"/>
    <w:rsid w:val="008B5A85"/>
    <w:rsid w:val="008C7118"/>
    <w:rsid w:val="008C7A8F"/>
    <w:rsid w:val="008D1288"/>
    <w:rsid w:val="008E2724"/>
    <w:rsid w:val="00910BF0"/>
    <w:rsid w:val="00915871"/>
    <w:rsid w:val="0092552F"/>
    <w:rsid w:val="00935D9A"/>
    <w:rsid w:val="00956813"/>
    <w:rsid w:val="00960D9F"/>
    <w:rsid w:val="00966E3D"/>
    <w:rsid w:val="00975726"/>
    <w:rsid w:val="00991FDD"/>
    <w:rsid w:val="0099269F"/>
    <w:rsid w:val="009A0EF0"/>
    <w:rsid w:val="009A4C2D"/>
    <w:rsid w:val="009A780D"/>
    <w:rsid w:val="009D7BB6"/>
    <w:rsid w:val="009E60D8"/>
    <w:rsid w:val="00A248F9"/>
    <w:rsid w:val="00A3496D"/>
    <w:rsid w:val="00A351AA"/>
    <w:rsid w:val="00A51E16"/>
    <w:rsid w:val="00A610E6"/>
    <w:rsid w:val="00A82C76"/>
    <w:rsid w:val="00A85BA1"/>
    <w:rsid w:val="00A91F34"/>
    <w:rsid w:val="00AE2349"/>
    <w:rsid w:val="00AE5300"/>
    <w:rsid w:val="00AF168E"/>
    <w:rsid w:val="00B526AB"/>
    <w:rsid w:val="00B82084"/>
    <w:rsid w:val="00BA4E4A"/>
    <w:rsid w:val="00BB7A09"/>
    <w:rsid w:val="00BD0463"/>
    <w:rsid w:val="00BE3715"/>
    <w:rsid w:val="00C077D3"/>
    <w:rsid w:val="00C12515"/>
    <w:rsid w:val="00CB2680"/>
    <w:rsid w:val="00CC7875"/>
    <w:rsid w:val="00D270CE"/>
    <w:rsid w:val="00D46DFC"/>
    <w:rsid w:val="00D87BC8"/>
    <w:rsid w:val="00DB04C7"/>
    <w:rsid w:val="00DC22DB"/>
    <w:rsid w:val="00DF3888"/>
    <w:rsid w:val="00E233BF"/>
    <w:rsid w:val="00E33D1B"/>
    <w:rsid w:val="00E707BF"/>
    <w:rsid w:val="00E72774"/>
    <w:rsid w:val="00E913E3"/>
    <w:rsid w:val="00EA3C1D"/>
    <w:rsid w:val="00ED14E1"/>
    <w:rsid w:val="00ED17D8"/>
    <w:rsid w:val="00ED76F3"/>
    <w:rsid w:val="00EE18D5"/>
    <w:rsid w:val="00EF5280"/>
    <w:rsid w:val="00F01D45"/>
    <w:rsid w:val="00F02684"/>
    <w:rsid w:val="00F11C75"/>
    <w:rsid w:val="00F25F29"/>
    <w:rsid w:val="00FC70DE"/>
    <w:rsid w:val="00FD1AA6"/>
    <w:rsid w:val="00FD2366"/>
    <w:rsid w:val="00FD5DE8"/>
    <w:rsid w:val="00FE3605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ADE3B04"/>
  <w15:docId w15:val="{A0AA5AA0-8C74-4E67-9292-F5E3EB36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7B"/>
    <w:pPr>
      <w:spacing w:after="120" w:line="240" w:lineRule="auto"/>
    </w:pPr>
    <w:rPr>
      <w:spacing w:val="-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A88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C1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5677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C1D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A3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7A88"/>
    <w:rPr>
      <w:rFonts w:ascii="Arial" w:eastAsiaTheme="majorEastAsia" w:hAnsi="Arial" w:cstheme="majorBidi"/>
      <w:b/>
      <w:bCs/>
      <w:color w:val="004059" w:themeColor="accent1" w:themeShade="BF"/>
      <w:spacing w:val="-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3C1D"/>
    <w:rPr>
      <w:rFonts w:ascii="Arial" w:eastAsiaTheme="majorEastAsia" w:hAnsi="Arial" w:cstheme="majorBidi"/>
      <w:b/>
      <w:bCs/>
      <w:color w:val="005677" w:themeColor="accent1"/>
      <w:spacing w:val="-2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70DE"/>
    <w:pPr>
      <w:spacing w:before="4480" w:after="480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0DE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3C1D"/>
    <w:rPr>
      <w:rFonts w:ascii="Arial" w:eastAsiaTheme="majorEastAsia" w:hAnsi="Arial" w:cstheme="majorBidi"/>
      <w:b/>
      <w:bCs/>
      <w:color w:val="000000" w:themeColor="text1"/>
      <w:spacing w:val="-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22068"/>
    <w:rPr>
      <w:rFonts w:asciiTheme="majorHAnsi" w:eastAsiaTheme="majorEastAsia" w:hAnsiTheme="majorHAnsi" w:cstheme="majorBidi"/>
      <w:b/>
      <w:bCs/>
      <w:i/>
      <w:iCs/>
      <w:color w:val="005677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22068"/>
    <w:rPr>
      <w:rFonts w:asciiTheme="majorHAnsi" w:eastAsiaTheme="majorEastAsia" w:hAnsiTheme="majorHAnsi" w:cstheme="majorBidi"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7BB6"/>
    <w:pPr>
      <w:pBdr>
        <w:top w:val="single" w:sz="4" w:space="1" w:color="1B9590" w:themeColor="accent3"/>
        <w:bottom w:val="single" w:sz="4" w:space="1" w:color="1B9590" w:themeColor="accent3"/>
      </w:pBdr>
      <w:spacing w:before="240" w:after="240"/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D7BB6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8C7A8F"/>
    <w:rPr>
      <w:rFonts w:ascii="Georgia" w:hAnsi="Georgia"/>
      <w:b w:val="0"/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before="240"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237A8F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37A8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7B2AA7"/>
    <w:pPr>
      <w:tabs>
        <w:tab w:val="left" w:pos="3969"/>
        <w:tab w:val="left" w:pos="6804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B2AA7"/>
    <w:rPr>
      <w:spacing w:val="-2"/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C2F68"/>
  </w:style>
  <w:style w:type="paragraph" w:styleId="ListParagraph">
    <w:name w:val="List Paragraph"/>
    <w:basedOn w:val="Normal"/>
    <w:uiPriority w:val="34"/>
    <w:qFormat/>
    <w:rsid w:val="009E60D8"/>
    <w:pPr>
      <w:ind w:left="284" w:hanging="284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2AA7"/>
    <w:rPr>
      <w:color w:val="C973AF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7B2AA7"/>
    <w:pPr>
      <w:spacing w:after="0" w:line="240" w:lineRule="auto"/>
    </w:pPr>
    <w:rPr>
      <w:rFonts w:eastAsiaTheme="minorEastAsia"/>
      <w:color w:val="004059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005677" w:themeColor="accent1"/>
        <w:bottom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</w:style>
  <w:style w:type="paragraph" w:customStyle="1" w:styleId="Custom3">
    <w:name w:val="Custom 3"/>
    <w:basedOn w:val="Normal"/>
    <w:link w:val="Custom3Char"/>
    <w:qFormat/>
    <w:rsid w:val="00573175"/>
    <w:pPr>
      <w:ind w:left="-142"/>
    </w:pPr>
    <w:rPr>
      <w:rFonts w:ascii="Georgia" w:eastAsiaTheme="minorEastAsia" w:hAnsi="Georgia"/>
      <w:color w:val="333366"/>
      <w:spacing w:val="0"/>
      <w:sz w:val="24"/>
      <w:szCs w:val="24"/>
    </w:rPr>
  </w:style>
  <w:style w:type="character" w:customStyle="1" w:styleId="Custom3Char">
    <w:name w:val="Custom 3 Char"/>
    <w:basedOn w:val="DefaultParagraphFont"/>
    <w:link w:val="Custom3"/>
    <w:rsid w:val="00573175"/>
    <w:rPr>
      <w:rFonts w:ascii="Georgia" w:eastAsiaTheme="minorEastAsia" w:hAnsi="Georgia"/>
      <w:color w:val="333366"/>
      <w:sz w:val="24"/>
      <w:szCs w:val="24"/>
    </w:rPr>
  </w:style>
  <w:style w:type="paragraph" w:customStyle="1" w:styleId="Custom4">
    <w:name w:val="Custom 4"/>
    <w:basedOn w:val="Normal"/>
    <w:link w:val="Custom4Char"/>
    <w:qFormat/>
    <w:rsid w:val="00573175"/>
    <w:pPr>
      <w:spacing w:after="140" w:line="280" w:lineRule="atLeast"/>
      <w:ind w:left="-142"/>
    </w:pPr>
    <w:rPr>
      <w:rFonts w:ascii="Arial" w:eastAsiaTheme="majorEastAsia" w:hAnsi="Arial" w:cstheme="majorBidi"/>
      <w:bCs/>
      <w:i/>
      <w:iCs/>
      <w:color w:val="333366"/>
      <w:spacing w:val="0"/>
      <w:sz w:val="24"/>
      <w:szCs w:val="22"/>
    </w:rPr>
  </w:style>
  <w:style w:type="character" w:customStyle="1" w:styleId="Custom4Char">
    <w:name w:val="Custom 4 Char"/>
    <w:basedOn w:val="DefaultParagraphFont"/>
    <w:link w:val="Custom4"/>
    <w:rsid w:val="00573175"/>
    <w:rPr>
      <w:rFonts w:ascii="Arial" w:eastAsiaTheme="majorEastAsia" w:hAnsi="Arial" w:cstheme="majorBidi"/>
      <w:bCs/>
      <w:i/>
      <w:iCs/>
      <w:color w:val="333366"/>
      <w:sz w:val="24"/>
    </w:rPr>
  </w:style>
  <w:style w:type="paragraph" w:styleId="ListNumber">
    <w:name w:val="List Number"/>
    <w:basedOn w:val="Normal"/>
    <w:uiPriority w:val="99"/>
    <w:semiHidden/>
    <w:unhideWhenUsed/>
    <w:rsid w:val="00FD2366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F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FC4"/>
    <w:rPr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FC4"/>
    <w:rPr>
      <w:b/>
      <w:bCs/>
      <w:spacing w:val="-2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0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yperlink" Target="https://bicon.agriculture.gov.au/BiconWeb4.0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ajorprojectshelp.business.gov.au/" TargetMode="Externa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comlaw.gov.au/Series/C2004A0451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paa.gov.au/Tools/Documents/MPAA%20Factsheets%20%28PDF%29/Biosecurity%20Act%202015.pdf" TargetMode="External"/><Relationship Id="rId20" Type="http://schemas.openxmlformats.org/officeDocument/2006/relationships/hyperlink" Target="http://www.foodstandards.gov.au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agriculture.gov.au/import/goods/food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pa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mp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>Mar-Apr 2017 Update Round - Feedback received</Comments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TaxCatchAll xmlns="a36bd50b-1532-4c22-b385-5c082c960938">
      <Value>52</Value>
      <Value>387</Value>
      <Value>3</Value>
      <Value>471</Value>
      <Value>7</Value>
    </TaxCatchAll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MPAA</TermName>
          <TermId xmlns="http://schemas.microsoft.com/office/infopath/2007/PartnerControls">e3e67d11-9afd-49bc-8113-feea8f08469b</TermId>
        </TermInfo>
      </Terms>
    </adb9bed2e36e4a93af574aeb444da63e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a36bd50b-1532-4c22-b385-5c082c960938">A3PSR54DD4M5-1894031199-76</_dlc_DocId>
    <_dlc_DocIdUrl xmlns="a36bd50b-1532-4c22-b385-5c082c960938">
      <Url>https://dochub/div/officeofnorthernaustralia/businessfunctions/majorprojects/programmemgmnt/_layouts/15/DocIdRedir.aspx?ID=A3PSR54DD4M5-1894031199-76</Url>
      <Description>A3PSR54DD4M5-1894031199-76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5573-7986-4420-B920-579B65248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42EC7-EE06-4BD1-8034-39ED02BA5299}"/>
</file>

<file path=customXml/itemProps3.xml><?xml version="1.0" encoding="utf-8"?>
<ds:datastoreItem xmlns:ds="http://schemas.openxmlformats.org/officeDocument/2006/customXml" ds:itemID="{E5F20C98-F935-46E0-B707-E53A5A336F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4795C1-A9A6-4B6A-BFFB-ECC667C2E763}">
  <ds:schemaRefs>
    <ds:schemaRef ds:uri="http://purl.org/dc/elements/1.1/"/>
    <ds:schemaRef ds:uri="http://schemas.microsoft.com/office/2006/metadata/properties"/>
    <ds:schemaRef ds:uri="a36bd50b-1532-4c22-b385-5c082c960938"/>
    <ds:schemaRef ds:uri="http://schemas.microsoft.com/sharepoint/v3"/>
    <ds:schemaRef ds:uri="http://purl.org/dc/terms/"/>
    <ds:schemaRef ds:uri="http://purl.org/dc/dcmitype/"/>
    <ds:schemaRef ds:uri="e950eb60-a35e-4b14-88a9-41f408f74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48A7881-F57F-4834-85BA-30E27229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IMPORTED FOOD CONTROL ACT 1992</vt:lpstr>
    </vt:vector>
  </TitlesOfParts>
  <Company>DIISRTE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IMPORTED FOOD CONTROL ACT 1992</dc:title>
  <dc:creator>MPFA</dc:creator>
  <cp:lastModifiedBy>Pusceddu, Anna</cp:lastModifiedBy>
  <cp:revision>14</cp:revision>
  <cp:lastPrinted>2021-07-23T02:03:00Z</cp:lastPrinted>
  <dcterms:created xsi:type="dcterms:W3CDTF">2021-04-21T23:21:00Z</dcterms:created>
  <dcterms:modified xsi:type="dcterms:W3CDTF">2021-09-06T06:17:00Z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0x010100896D55852D93604AA440876A3B15BB43</vt:lpwstr>
  </property>
  <property fmtid="{D5CDD505-2E9C-101B-9397-08002B2CF9AE}" pid="7" name="_dlc_DocIdItemGuid">
    <vt:lpwstr>37b8588c-a1cb-4902-a55b-c869686b3f07</vt:lpwstr>
  </property>
  <property fmtid="{D5CDD505-2E9C-101B-9397-08002B2CF9AE}" pid="8" name="DocHub_Year">
    <vt:lpwstr>387;#2017|5f6de30b-6e1e-4c09-9e51-982258231536</vt:lpwstr>
  </property>
  <property fmtid="{D5CDD505-2E9C-101B-9397-08002B2CF9AE}" pid="9" name="DocHub_DocumentType">
    <vt:lpwstr>52;#Fact Sheet|38af007d-6d80-4dd0-9833-ef17489d7c7e</vt:lpwstr>
  </property>
  <property fmtid="{D5CDD505-2E9C-101B-9397-08002B2CF9AE}" pid="10" name="DocHub_SecurityClassification">
    <vt:lpwstr>3;#UNCLASSIFIED|6106d03b-a1a0-4e30-9d91-d5e9fb4314f9</vt:lpwstr>
  </property>
  <property fmtid="{D5CDD505-2E9C-101B-9397-08002B2CF9AE}" pid="11" name="DocHub_Keywords">
    <vt:lpwstr>471;#MPAA|e3e67d11-9afd-49bc-8113-feea8f08469b</vt:lpwstr>
  </property>
  <property fmtid="{D5CDD505-2E9C-101B-9397-08002B2CF9AE}" pid="12" name="DocHub_WorkActivity">
    <vt:lpwstr>7;#Communication|cd41d649-1e1a-44f5-b99b-946d42ce56d6</vt:lpwstr>
  </property>
  <property fmtid="{D5CDD505-2E9C-101B-9397-08002B2CF9AE}" pid="13" name="DocHub_PDMSNumber">
    <vt:lpwstr/>
  </property>
  <property fmtid="{D5CDD505-2E9C-101B-9397-08002B2CF9AE}" pid="14" name="IconOverlay">
    <vt:lpwstr/>
  </property>
</Properties>
</file>