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B6583" w14:textId="3A05CE6E" w:rsidR="006709E4" w:rsidRPr="00F02684" w:rsidRDefault="00B062F2" w:rsidP="00F02684">
      <w:pPr>
        <w:pStyle w:val="Heading1"/>
      </w:pPr>
      <w:r>
        <w:t xml:space="preserve">SPACE </w:t>
      </w:r>
      <w:r w:rsidR="002B2369">
        <w:t xml:space="preserve">(LAUNCHES AND RETURNS) </w:t>
      </w:r>
      <w:r>
        <w:t xml:space="preserve">ACT </w:t>
      </w:r>
      <w:r w:rsidR="002B2369">
        <w:t>2018</w:t>
      </w:r>
    </w:p>
    <w:p w14:paraId="59821DAB" w14:textId="77777777" w:rsidR="006709E4" w:rsidRPr="00F02684" w:rsidRDefault="006709E4" w:rsidP="00F02684">
      <w:pPr>
        <w:pStyle w:val="Heading1"/>
        <w:rPr>
          <w:rStyle w:val="SubtleEmphasis"/>
          <w:caps/>
        </w:rPr>
        <w:sectPr w:rsidR="006709E4" w:rsidRPr="00F02684" w:rsidSect="006709E4"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276" w:right="851" w:bottom="851" w:left="851" w:header="567" w:footer="708" w:gutter="0"/>
          <w:cols w:space="708"/>
          <w:titlePg/>
          <w:docGrid w:linePitch="360"/>
        </w:sectPr>
      </w:pPr>
    </w:p>
    <w:p w14:paraId="08DACBFB" w14:textId="10A71260" w:rsidR="008A7EAD" w:rsidRPr="00D94113" w:rsidRDefault="00B062F2" w:rsidP="00D94113">
      <w:pPr>
        <w:pStyle w:val="Custom3"/>
        <w:spacing w:after="240"/>
        <w:ind w:left="0"/>
        <w:rPr>
          <w:i/>
          <w:color w:val="808080"/>
          <w:sz w:val="28"/>
          <w:szCs w:val="28"/>
        </w:rPr>
        <w:sectPr w:rsidR="008A7EAD" w:rsidRPr="00D94113" w:rsidSect="006709E4">
          <w:type w:val="continuous"/>
          <w:pgSz w:w="11906" w:h="16838"/>
          <w:pgMar w:top="1276" w:right="851" w:bottom="851" w:left="851" w:header="567" w:footer="708" w:gutter="0"/>
          <w:cols w:space="708"/>
          <w:titlePg/>
          <w:docGrid w:linePitch="360"/>
        </w:sectPr>
      </w:pPr>
      <w:r w:rsidRPr="00B062F2">
        <w:rPr>
          <w:i/>
          <w:color w:val="808080"/>
          <w:sz w:val="28"/>
          <w:szCs w:val="28"/>
        </w:rPr>
        <w:t>If your project involves conducting certain civil space activities either from Australia or by an Australian national outside Australia,</w:t>
      </w:r>
      <w:r w:rsidR="002B2369">
        <w:rPr>
          <w:i/>
          <w:color w:val="808080"/>
          <w:sz w:val="28"/>
          <w:szCs w:val="28"/>
        </w:rPr>
        <w:t xml:space="preserve"> or if it involves a high power rocket</w:t>
      </w:r>
      <w:r w:rsidR="00B259CF">
        <w:rPr>
          <w:i/>
          <w:color w:val="808080"/>
          <w:sz w:val="28"/>
          <w:szCs w:val="28"/>
        </w:rPr>
        <w:t>,</w:t>
      </w:r>
      <w:r>
        <w:rPr>
          <w:i/>
          <w:color w:val="808080"/>
          <w:sz w:val="28"/>
          <w:szCs w:val="28"/>
        </w:rPr>
        <w:t xml:space="preserve"> you must comply with this </w:t>
      </w:r>
      <w:r w:rsidR="00A159F4">
        <w:rPr>
          <w:i/>
          <w:color w:val="808080"/>
          <w:sz w:val="28"/>
          <w:szCs w:val="28"/>
        </w:rPr>
        <w:t>Act</w:t>
      </w:r>
      <w:r w:rsidR="003E48A2">
        <w:rPr>
          <w:i/>
          <w:color w:val="808080"/>
          <w:sz w:val="28"/>
          <w:szCs w:val="28"/>
        </w:rPr>
        <w:t>.</w:t>
      </w:r>
    </w:p>
    <w:p w14:paraId="0E9B4A03" w14:textId="0471E342" w:rsidR="00275AC9" w:rsidRPr="002E1E66" w:rsidRDefault="00B82084" w:rsidP="00C57AF2">
      <w:pPr>
        <w:pStyle w:val="Heading2"/>
        <w:spacing w:before="0" w:after="120"/>
      </w:pPr>
      <w:r w:rsidRPr="002E1E66">
        <w:rPr>
          <w:rStyle w:val="IntenseEmphasis"/>
          <w:b/>
          <w:bCs/>
          <w:i w:val="0"/>
          <w:iCs w:val="0"/>
          <w:color w:val="005677"/>
        </w:rPr>
        <w:t>1.</w:t>
      </w:r>
      <w:r w:rsidRPr="002E1E66">
        <w:rPr>
          <w:rStyle w:val="IntenseEmphasis"/>
          <w:b/>
          <w:bCs/>
          <w:i w:val="0"/>
          <w:iCs w:val="0"/>
          <w:color w:val="005677"/>
        </w:rPr>
        <w:tab/>
      </w:r>
      <w:r w:rsidR="00D94113" w:rsidRPr="002E1E66">
        <w:t xml:space="preserve">What </w:t>
      </w:r>
      <w:r w:rsidR="00D94113" w:rsidRPr="002E1E66">
        <w:rPr>
          <w:rStyle w:val="IntenseEmphasis"/>
          <w:b/>
          <w:bCs/>
          <w:i w:val="0"/>
          <w:iCs w:val="0"/>
          <w:color w:val="005677"/>
        </w:rPr>
        <w:t>approvals</w:t>
      </w:r>
      <w:r w:rsidR="00D94113" w:rsidRPr="002E1E66">
        <w:t xml:space="preserve"> </w:t>
      </w:r>
      <w:r w:rsidR="007F26E2" w:rsidRPr="002E1E66">
        <w:t>do I need?</w:t>
      </w:r>
    </w:p>
    <w:p w14:paraId="4FAD2811" w14:textId="328DD11C" w:rsidR="00B062F2" w:rsidRPr="00B062F2" w:rsidRDefault="00B062F2" w:rsidP="008A7EAD">
      <w:r w:rsidRPr="00B062F2">
        <w:t xml:space="preserve">Certain civil space activities are prohibited unless appropriate approvals are obtained in accordance with the </w:t>
      </w:r>
      <w:r w:rsidR="002B2369" w:rsidRPr="00D60815">
        <w:rPr>
          <w:i/>
        </w:rPr>
        <w:t xml:space="preserve">Space (Launches and Returns) </w:t>
      </w:r>
      <w:r w:rsidRPr="00D60815">
        <w:rPr>
          <w:i/>
        </w:rPr>
        <w:t>Act</w:t>
      </w:r>
      <w:r w:rsidR="008B0145" w:rsidRPr="00D60815">
        <w:rPr>
          <w:i/>
        </w:rPr>
        <w:t xml:space="preserve"> </w:t>
      </w:r>
      <w:r w:rsidR="002B2369" w:rsidRPr="00D60815">
        <w:rPr>
          <w:i/>
        </w:rPr>
        <w:t>2018</w:t>
      </w:r>
      <w:r w:rsidR="002B2369">
        <w:t xml:space="preserve">. </w:t>
      </w:r>
      <w:r w:rsidRPr="00B062F2">
        <w:t>The space activities that require approvals include:</w:t>
      </w:r>
    </w:p>
    <w:p w14:paraId="17AA1A87" w14:textId="3E54DCF9" w:rsidR="00C57AF2" w:rsidRDefault="002B2369" w:rsidP="008A7EAD">
      <w:pPr>
        <w:pStyle w:val="ListParagraph"/>
        <w:numPr>
          <w:ilvl w:val="0"/>
          <w:numId w:val="22"/>
        </w:numPr>
      </w:pPr>
      <w:r>
        <w:t>launching a space object from Australia</w:t>
      </w:r>
    </w:p>
    <w:p w14:paraId="53D9FA30" w14:textId="703061F5" w:rsidR="00C57AF2" w:rsidRDefault="002B2369" w:rsidP="008A7EAD">
      <w:pPr>
        <w:pStyle w:val="ListParagraph"/>
        <w:numPr>
          <w:ilvl w:val="0"/>
          <w:numId w:val="22"/>
        </w:numPr>
      </w:pPr>
      <w:r>
        <w:t>returning a space object to Australia</w:t>
      </w:r>
    </w:p>
    <w:p w14:paraId="1CE74A41" w14:textId="00784D4D" w:rsidR="00C57AF2" w:rsidRDefault="002B2369" w:rsidP="008A7EAD">
      <w:pPr>
        <w:pStyle w:val="ListParagraph"/>
        <w:numPr>
          <w:ilvl w:val="0"/>
          <w:numId w:val="22"/>
        </w:numPr>
      </w:pPr>
      <w:r>
        <w:t>launching a space object overseas (for Australian nationals with an ownership interest)</w:t>
      </w:r>
    </w:p>
    <w:p w14:paraId="2811E8E2" w14:textId="0379CAFB" w:rsidR="00C57AF2" w:rsidRDefault="002B2369" w:rsidP="008A7EAD">
      <w:pPr>
        <w:pStyle w:val="ListParagraph"/>
        <w:numPr>
          <w:ilvl w:val="0"/>
          <w:numId w:val="22"/>
        </w:numPr>
      </w:pPr>
      <w:r>
        <w:t>returning a space object overseas (for Australian nationals with an ownership interest)</w:t>
      </w:r>
      <w:bookmarkStart w:id="0" w:name="_GoBack"/>
      <w:bookmarkEnd w:id="0"/>
    </w:p>
    <w:p w14:paraId="521FE351" w14:textId="5F313886" w:rsidR="00C57AF2" w:rsidRDefault="00C57AF2" w:rsidP="008A7EAD">
      <w:pPr>
        <w:pStyle w:val="ListParagraph"/>
        <w:numPr>
          <w:ilvl w:val="0"/>
          <w:numId w:val="22"/>
        </w:numPr>
      </w:pPr>
      <w:r>
        <w:t>o</w:t>
      </w:r>
      <w:r w:rsidR="002B2369">
        <w:t>perating a launch facility in Australia</w:t>
      </w:r>
      <w:r w:rsidR="002B2369" w:rsidRPr="00C74763" w:rsidDel="002B2369">
        <w:t xml:space="preserve"> </w:t>
      </w:r>
    </w:p>
    <w:p w14:paraId="72715EA3" w14:textId="5257C498" w:rsidR="002B2369" w:rsidRDefault="002B2369" w:rsidP="008A7EAD">
      <w:pPr>
        <w:pStyle w:val="ListParagraph"/>
        <w:numPr>
          <w:ilvl w:val="0"/>
          <w:numId w:val="22"/>
        </w:numPr>
      </w:pPr>
      <w:r w:rsidRPr="002B2369">
        <w:t>conduct</w:t>
      </w:r>
      <w:r w:rsidR="008B0145">
        <w:t>ing</w:t>
      </w:r>
      <w:r w:rsidRPr="002B2369">
        <w:t xml:space="preserve"> a high power rocket activity</w:t>
      </w:r>
    </w:p>
    <w:p w14:paraId="5880F912" w14:textId="20C800FA" w:rsidR="00B062F2" w:rsidRDefault="002B2369" w:rsidP="00C57AF2">
      <w:r w:rsidRPr="002B2369">
        <w:t>The</w:t>
      </w:r>
      <w:r>
        <w:t xml:space="preserve"> </w:t>
      </w:r>
      <w:r w:rsidRPr="002B2369">
        <w:t xml:space="preserve">Act is supported by three sets of rules. </w:t>
      </w:r>
      <w:r w:rsidR="00B062F2">
        <w:t xml:space="preserve">The rules detail how applications for approvals </w:t>
      </w:r>
      <w:r w:rsidR="00B062F2" w:rsidRPr="003472C8">
        <w:t>work</w:t>
      </w:r>
      <w:r w:rsidR="00B062F2">
        <w:t xml:space="preserve">, including what information needs to be provided. </w:t>
      </w:r>
    </w:p>
    <w:p w14:paraId="47CD81B1" w14:textId="77777777" w:rsidR="008A7EAD" w:rsidRPr="008A7EAD" w:rsidRDefault="008A7EAD" w:rsidP="008A7EAD">
      <w:r w:rsidRPr="008A7EAD">
        <w:t>The Act is supported by three sets of rules. The rules explain application requirements for space and high power rocket activity approvals:</w:t>
      </w:r>
    </w:p>
    <w:p w14:paraId="31F54FF3" w14:textId="77777777" w:rsidR="008A7EAD" w:rsidRPr="008A7EAD" w:rsidRDefault="002B6772" w:rsidP="008A7EAD">
      <w:pPr>
        <w:numPr>
          <w:ilvl w:val="0"/>
          <w:numId w:val="23"/>
        </w:numPr>
      </w:pPr>
      <w:hyperlink r:id="rId16" w:history="1">
        <w:r w:rsidR="008A7EAD" w:rsidRPr="008A7EAD">
          <w:rPr>
            <w:rStyle w:val="Hyperlink"/>
          </w:rPr>
          <w:t>Space (Launches and Returns) (General) Rules 2019</w:t>
        </w:r>
      </w:hyperlink>
    </w:p>
    <w:p w14:paraId="2B08DF4A" w14:textId="77777777" w:rsidR="008A7EAD" w:rsidRPr="008A7EAD" w:rsidRDefault="002B6772" w:rsidP="008A7EAD">
      <w:pPr>
        <w:numPr>
          <w:ilvl w:val="0"/>
          <w:numId w:val="23"/>
        </w:numPr>
      </w:pPr>
      <w:hyperlink r:id="rId17" w:history="1">
        <w:r w:rsidR="008A7EAD" w:rsidRPr="008A7EAD">
          <w:rPr>
            <w:rStyle w:val="Hyperlink"/>
          </w:rPr>
          <w:t>Space (Launches and Returns) (High Power Rocket) Rules 2019</w:t>
        </w:r>
      </w:hyperlink>
      <w:r w:rsidR="008A7EAD" w:rsidRPr="008A7EAD">
        <w:t> (rules commenced on 30 June 2020)</w:t>
      </w:r>
    </w:p>
    <w:p w14:paraId="0E6AF4B3" w14:textId="77777777" w:rsidR="008A7EAD" w:rsidRPr="008A7EAD" w:rsidRDefault="002B6772" w:rsidP="008A7EAD">
      <w:pPr>
        <w:numPr>
          <w:ilvl w:val="0"/>
          <w:numId w:val="23"/>
        </w:numPr>
      </w:pPr>
      <w:hyperlink r:id="rId18" w:history="1">
        <w:r w:rsidR="008A7EAD" w:rsidRPr="008A7EAD">
          <w:rPr>
            <w:rStyle w:val="Hyperlink"/>
          </w:rPr>
          <w:t>Space (Launches and Returns) (Insurance) Rules 2019</w:t>
        </w:r>
      </w:hyperlink>
    </w:p>
    <w:p w14:paraId="383A3033" w14:textId="77777777" w:rsidR="008A7EAD" w:rsidRPr="008A7EAD" w:rsidRDefault="008A7EAD" w:rsidP="008A7EAD">
      <w:r w:rsidRPr="008A7EAD">
        <w:t>The rules refer to these documents:</w:t>
      </w:r>
    </w:p>
    <w:p w14:paraId="2B57DEB5" w14:textId="77777777" w:rsidR="008A7EAD" w:rsidRPr="008A7EAD" w:rsidRDefault="002B6772" w:rsidP="008A7EAD">
      <w:pPr>
        <w:numPr>
          <w:ilvl w:val="0"/>
          <w:numId w:val="24"/>
        </w:numPr>
      </w:pPr>
      <w:hyperlink r:id="rId19" w:history="1">
        <w:r w:rsidR="008A7EAD" w:rsidRPr="008A7EAD">
          <w:rPr>
            <w:rStyle w:val="Hyperlink"/>
          </w:rPr>
          <w:t>Flight Safety Code</w:t>
        </w:r>
      </w:hyperlink>
    </w:p>
    <w:p w14:paraId="650798D9" w14:textId="77777777" w:rsidR="008A7EAD" w:rsidRPr="008A7EAD" w:rsidRDefault="002B6772" w:rsidP="008A7EAD">
      <w:pPr>
        <w:numPr>
          <w:ilvl w:val="0"/>
          <w:numId w:val="24"/>
        </w:numPr>
      </w:pPr>
      <w:hyperlink r:id="rId20" w:history="1">
        <w:r w:rsidR="008A7EAD" w:rsidRPr="008A7EAD">
          <w:rPr>
            <w:rStyle w:val="Hyperlink"/>
          </w:rPr>
          <w:t>Maximum Probable Loss Methodology</w:t>
        </w:r>
      </w:hyperlink>
    </w:p>
    <w:p w14:paraId="236B9FF7" w14:textId="77777777" w:rsidR="00B062F2" w:rsidRPr="002E1E66" w:rsidRDefault="00DA41EE" w:rsidP="00C57AF2">
      <w:r>
        <w:t xml:space="preserve">You can read more about </w:t>
      </w:r>
      <w:hyperlink r:id="rId21" w:tooltip="https://www.industry.gov.au/regulation-and-standards/space-regulation" w:history="1">
        <w:r w:rsidRPr="00A76644">
          <w:rPr>
            <w:rStyle w:val="Hyperlink"/>
          </w:rPr>
          <w:t>space regu</w:t>
        </w:r>
        <w:r w:rsidR="00022562" w:rsidRPr="00A76644">
          <w:rPr>
            <w:rStyle w:val="Hyperlink"/>
          </w:rPr>
          <w:t>la</w:t>
        </w:r>
        <w:r w:rsidRPr="00A76644">
          <w:rPr>
            <w:rStyle w:val="Hyperlink"/>
          </w:rPr>
          <w:t>tio</w:t>
        </w:r>
        <w:r w:rsidR="00A76644" w:rsidRPr="00A76644">
          <w:rPr>
            <w:rStyle w:val="Hyperlink"/>
          </w:rPr>
          <w:t>n</w:t>
        </w:r>
      </w:hyperlink>
      <w:r>
        <w:t>.</w:t>
      </w:r>
      <w:r w:rsidRPr="002E1E66">
        <w:t xml:space="preserve"> </w:t>
      </w:r>
    </w:p>
    <w:p w14:paraId="53AB3402" w14:textId="043E905D" w:rsidR="00C67C5A" w:rsidRPr="00A9141C" w:rsidRDefault="00C67C5A" w:rsidP="00C57AF2">
      <w:pPr>
        <w:pStyle w:val="Heading2"/>
        <w:spacing w:before="0" w:after="120"/>
        <w:rPr>
          <w:rStyle w:val="IntenseEmphasis"/>
          <w:b/>
          <w:i w:val="0"/>
        </w:rPr>
      </w:pPr>
      <w:r w:rsidRPr="00A9141C">
        <w:rPr>
          <w:rStyle w:val="IntenseEmphasis"/>
          <w:b/>
          <w:i w:val="0"/>
        </w:rPr>
        <w:t>2.</w:t>
      </w:r>
      <w:r w:rsidRPr="00A9141C">
        <w:rPr>
          <w:rStyle w:val="IntenseEmphasis"/>
          <w:b/>
          <w:i w:val="0"/>
        </w:rPr>
        <w:tab/>
      </w:r>
      <w:r w:rsidRPr="00A76644">
        <w:t>Who provides approvals?</w:t>
      </w:r>
    </w:p>
    <w:p w14:paraId="601553DC" w14:textId="4CF3EB85" w:rsidR="00B062F2" w:rsidRDefault="00B062F2" w:rsidP="00C57AF2">
      <w:r>
        <w:t xml:space="preserve">The decision to approve an activity is made by the Minister responsible for the </w:t>
      </w:r>
      <w:r w:rsidRPr="005E4EFB">
        <w:rPr>
          <w:i/>
        </w:rPr>
        <w:t xml:space="preserve">Space </w:t>
      </w:r>
      <w:r w:rsidR="00B259CF">
        <w:rPr>
          <w:i/>
        </w:rPr>
        <w:t xml:space="preserve">(Launches and Returns) </w:t>
      </w:r>
      <w:r w:rsidRPr="005E4EFB">
        <w:rPr>
          <w:i/>
        </w:rPr>
        <w:t>Act</w:t>
      </w:r>
      <w:r>
        <w:t xml:space="preserve"> </w:t>
      </w:r>
      <w:r w:rsidR="00B259CF">
        <w:rPr>
          <w:i/>
        </w:rPr>
        <w:t>201</w:t>
      </w:r>
      <w:r w:rsidRPr="005E4EFB">
        <w:rPr>
          <w:i/>
        </w:rPr>
        <w:t>8</w:t>
      </w:r>
      <w:r w:rsidR="003472C8">
        <w:rPr>
          <w:i/>
        </w:rPr>
        <w:t xml:space="preserve"> </w:t>
      </w:r>
      <w:r w:rsidR="003472C8">
        <w:t>(or their delegate)</w:t>
      </w:r>
      <w:r>
        <w:t xml:space="preserve">. Currently, this is the Minister for Industry, Science and Technology. </w:t>
      </w:r>
    </w:p>
    <w:p w14:paraId="1CD4FF52" w14:textId="728275C1" w:rsidR="00D94113" w:rsidRPr="00A76644" w:rsidRDefault="00B82084" w:rsidP="00C57AF2">
      <w:pPr>
        <w:pStyle w:val="Heading2"/>
        <w:spacing w:before="0" w:after="120"/>
      </w:pPr>
      <w:r w:rsidRPr="00A9141C">
        <w:rPr>
          <w:rStyle w:val="IntenseEmphasis"/>
          <w:b/>
          <w:i w:val="0"/>
        </w:rPr>
        <w:t>3.</w:t>
      </w:r>
      <w:r w:rsidRPr="00A9141C">
        <w:rPr>
          <w:rStyle w:val="IntenseEmphasis"/>
          <w:b/>
          <w:i w:val="0"/>
        </w:rPr>
        <w:tab/>
      </w:r>
      <w:r w:rsidR="00061B7D" w:rsidRPr="00A76644">
        <w:t xml:space="preserve">How </w:t>
      </w:r>
      <w:r w:rsidR="00333F10" w:rsidRPr="00A76644">
        <w:t>d</w:t>
      </w:r>
      <w:r w:rsidR="00061B7D" w:rsidRPr="00A76644">
        <w:t>o I</w:t>
      </w:r>
      <w:r w:rsidRPr="00A76644">
        <w:t xml:space="preserve"> </w:t>
      </w:r>
      <w:r w:rsidR="00B44479" w:rsidRPr="00A76644">
        <w:t>get</w:t>
      </w:r>
      <w:r w:rsidRPr="00A76644">
        <w:t xml:space="preserve"> </w:t>
      </w:r>
      <w:r w:rsidR="006710B9" w:rsidRPr="00A76644">
        <w:t>Australian Government</w:t>
      </w:r>
      <w:r w:rsidRPr="00A76644">
        <w:t xml:space="preserve"> approval?</w:t>
      </w:r>
    </w:p>
    <w:p w14:paraId="2756C884" w14:textId="7ECCF414" w:rsidR="00B062F2" w:rsidRDefault="00B062F2" w:rsidP="00C57AF2">
      <w:r>
        <w:t>You will need to make an application to the Australian Space Agency</w:t>
      </w:r>
      <w:r w:rsidR="008B0145">
        <w:t xml:space="preserve"> (the Agency)</w:t>
      </w:r>
      <w:r>
        <w:t>. The application is assessed by the Agency</w:t>
      </w:r>
      <w:r w:rsidR="00B259CF">
        <w:t xml:space="preserve"> (some applications may require external technical advice)</w:t>
      </w:r>
      <w:r>
        <w:t>. The Agency will then provide your application to the responsible Minister who makes a decision on whether to approve the activity.</w:t>
      </w:r>
    </w:p>
    <w:p w14:paraId="5465047C" w14:textId="4947D4CF" w:rsidR="00C67C5A" w:rsidRPr="00A9141C" w:rsidRDefault="00305AA0" w:rsidP="00C57AF2">
      <w:pPr>
        <w:pStyle w:val="Heading2"/>
        <w:spacing w:before="0" w:after="120"/>
        <w:rPr>
          <w:b w:val="0"/>
          <w:iCs/>
        </w:rPr>
      </w:pPr>
      <w:r w:rsidRPr="00A9141C">
        <w:rPr>
          <w:rStyle w:val="IntenseEmphasis"/>
          <w:b/>
          <w:i w:val="0"/>
        </w:rPr>
        <w:t>4</w:t>
      </w:r>
      <w:r w:rsidR="00752716" w:rsidRPr="00A9141C">
        <w:rPr>
          <w:rStyle w:val="IntenseEmphasis"/>
          <w:b/>
          <w:i w:val="0"/>
        </w:rPr>
        <w:t>.</w:t>
      </w:r>
      <w:r w:rsidR="00752716" w:rsidRPr="00A9141C">
        <w:rPr>
          <w:rStyle w:val="IntenseEmphasis"/>
          <w:b/>
          <w:i w:val="0"/>
        </w:rPr>
        <w:tab/>
      </w:r>
      <w:r w:rsidR="007F26E2" w:rsidRPr="00A76644">
        <w:t>More information</w:t>
      </w:r>
    </w:p>
    <w:p w14:paraId="4FB26E82" w14:textId="77777777" w:rsidR="00CF3468" w:rsidRPr="00407377" w:rsidRDefault="00CF3468" w:rsidP="00C57AF2">
      <w:pPr>
        <w:pStyle w:val="Heading3"/>
        <w:spacing w:before="0"/>
        <w:rPr>
          <w:color w:val="005677"/>
        </w:rPr>
      </w:pPr>
      <w:r w:rsidRPr="00407377">
        <w:rPr>
          <w:color w:val="005677"/>
        </w:rPr>
        <w:t>Commonwealth</w:t>
      </w:r>
    </w:p>
    <w:p w14:paraId="09A53E0A" w14:textId="17896527" w:rsidR="00B062F2" w:rsidRPr="00C57AF2" w:rsidRDefault="00B062F2" w:rsidP="00C57AF2">
      <w:pPr>
        <w:rPr>
          <w:rFonts w:cs="Arial"/>
          <w:color w:val="005677"/>
          <w:u w:val="single"/>
        </w:rPr>
      </w:pPr>
      <w:r>
        <w:rPr>
          <w:rFonts w:ascii="Arial" w:hAnsi="Arial" w:cs="Arial"/>
        </w:rPr>
        <w:t xml:space="preserve">For more information on </w:t>
      </w:r>
      <w:r w:rsidR="008B014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pace </w:t>
      </w:r>
      <w:r w:rsidR="008B014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ctivities in Australia, email </w:t>
      </w:r>
      <w:hyperlink r:id="rId22" w:history="1">
        <w:r w:rsidRPr="00496100">
          <w:rPr>
            <w:rStyle w:val="Hyperlink"/>
            <w:rFonts w:cs="Arial"/>
          </w:rPr>
          <w:t>enquiries@space.gov.au</w:t>
        </w:r>
      </w:hyperlink>
    </w:p>
    <w:p w14:paraId="600DFDF2" w14:textId="0B466119" w:rsidR="00CF3468" w:rsidRPr="00407377" w:rsidRDefault="00CF3468" w:rsidP="00C57AF2">
      <w:pPr>
        <w:pStyle w:val="Heading3"/>
        <w:spacing w:before="0"/>
        <w:rPr>
          <w:color w:val="005677"/>
        </w:rPr>
      </w:pPr>
      <w:r w:rsidRPr="00407377">
        <w:rPr>
          <w:color w:val="005677"/>
        </w:rPr>
        <w:t>Major Projects Facilitation Agency</w:t>
      </w:r>
    </w:p>
    <w:p w14:paraId="13D40435" w14:textId="77777777" w:rsidR="00CF3468" w:rsidRDefault="00CF3468" w:rsidP="00C57AF2">
      <w:pPr>
        <w:rPr>
          <w:rFonts w:cstheme="minorHAnsi"/>
        </w:rPr>
      </w:pPr>
      <w:r>
        <w:rPr>
          <w:rFonts w:cstheme="minorHAnsi"/>
        </w:rPr>
        <w:t xml:space="preserve">If you would like assistance to identify the regulatory obligations for your project, please visit our </w:t>
      </w:r>
      <w:hyperlink r:id="rId23" w:history="1">
        <w:r w:rsidRPr="00D57FC2">
          <w:rPr>
            <w:rStyle w:val="Hyperlink"/>
            <w:rFonts w:cstheme="minorHAnsi"/>
          </w:rPr>
          <w:t>Online Tool</w:t>
        </w:r>
      </w:hyperlink>
      <w:r>
        <w:rPr>
          <w:rFonts w:cstheme="minorHAnsi"/>
        </w:rPr>
        <w:t xml:space="preserve"> or contact us:</w:t>
      </w:r>
    </w:p>
    <w:p w14:paraId="2F8C3DCB" w14:textId="7ADEFA58" w:rsidR="00B82084" w:rsidRPr="00F90221" w:rsidRDefault="00CF3468" w:rsidP="00C57AF2">
      <w:pPr>
        <w:rPr>
          <w:rStyle w:val="IntenseEmphasis"/>
          <w:b w:val="0"/>
          <w:bCs w:val="0"/>
          <w:i w:val="0"/>
          <w:iCs w:val="0"/>
          <w:color w:val="005677" w:themeColor="hyperlink"/>
          <w:u w:val="single"/>
        </w:rPr>
      </w:pPr>
      <w:r>
        <w:t>Email:</w:t>
      </w:r>
      <w:r>
        <w:tab/>
      </w:r>
      <w:r>
        <w:tab/>
      </w:r>
      <w:r w:rsidR="002B6772" w:rsidRPr="002B6772">
        <w:rPr>
          <w:rStyle w:val="Hyperlink"/>
        </w:rPr>
        <w:t>mpfa@industry.gov.au</w:t>
      </w:r>
    </w:p>
    <w:sectPr w:rsidR="00B82084" w:rsidRPr="00F90221" w:rsidSect="006709E4">
      <w:type w:val="continuous"/>
      <w:pgSz w:w="11906" w:h="16838"/>
      <w:pgMar w:top="1276" w:right="851" w:bottom="851" w:left="851" w:header="567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A1C7D" w14:textId="77777777" w:rsidR="00326C58" w:rsidRDefault="00326C58" w:rsidP="00B526AB">
      <w:pPr>
        <w:spacing w:after="0"/>
      </w:pPr>
      <w:r>
        <w:separator/>
      </w:r>
    </w:p>
  </w:endnote>
  <w:endnote w:type="continuationSeparator" w:id="0">
    <w:p w14:paraId="337A0CB4" w14:textId="77777777" w:rsidR="00326C58" w:rsidRDefault="00326C58" w:rsidP="00B52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9AF81" w14:textId="77777777" w:rsidR="006709E4" w:rsidRDefault="006709E4" w:rsidP="006B007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DCECFDD" w14:textId="77777777" w:rsidR="006709E4" w:rsidRDefault="006709E4" w:rsidP="006B007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4B489" w14:textId="3C389C8C" w:rsidR="002E1E66" w:rsidRDefault="006709E4" w:rsidP="002E1E66">
    <w:pPr>
      <w:pStyle w:val="Footer"/>
      <w:ind w:left="284"/>
    </w:pPr>
    <w:r w:rsidRPr="0057207B">
      <w:t>This fact sheet provides general information and does not constitute legal advice. You should seek independent legal advice tailored to your individual circumstances.</w:t>
    </w:r>
    <w:r w:rsidR="005F0145">
      <w:t xml:space="preserve"> The Major Project Approval Agency (MPAA) assists Major Project Proponents to navigate the approvals process, however the MPAA it does not grant approvals, nor administer this Act or Regulations.</w:t>
    </w:r>
    <w:r w:rsidR="002E1E66">
      <w:t xml:space="preserve"> </w:t>
    </w:r>
  </w:p>
  <w:p w14:paraId="493EDA97" w14:textId="1074D7C8" w:rsidR="006709E4" w:rsidRDefault="002B6772" w:rsidP="007B2AA7">
    <w:pPr>
      <w:pStyle w:val="Footer"/>
      <w:tabs>
        <w:tab w:val="clear" w:pos="3969"/>
        <w:tab w:val="clear" w:pos="6804"/>
      </w:tabs>
      <w:ind w:left="284"/>
    </w:pPr>
    <w:hyperlink r:id="rId1" w:history="1">
      <w:r w:rsidR="006709E4" w:rsidRPr="008E1EE6">
        <w:rPr>
          <w:rStyle w:val="Hyperlink"/>
        </w:rPr>
        <w:t>contact@mpaa.gov.au</w:t>
      </w:r>
    </w:hyperlink>
    <w:r w:rsidR="00BC2337">
      <w:t>07</w:t>
    </w:r>
    <w:r w:rsidR="00BC2337" w:rsidRPr="0057207B">
      <w:t xml:space="preserve"> </w:t>
    </w:r>
    <w:r w:rsidR="00BC2337">
      <w:t>January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0F661" w14:textId="77777777" w:rsidR="006709E4" w:rsidRPr="0057207B" w:rsidRDefault="006709E4" w:rsidP="0057207B">
    <w:pPr>
      <w:pStyle w:val="Footer"/>
      <w:framePr w:wrap="around" w:vAnchor="text" w:hAnchor="margin" w:y="1"/>
      <w:rPr>
        <w:rStyle w:val="PageNumber"/>
        <w:b/>
        <w:bCs/>
        <w:szCs w:val="16"/>
      </w:rPr>
    </w:pPr>
  </w:p>
  <w:p w14:paraId="6178A43A" w14:textId="0E79CC23" w:rsidR="006709E4" w:rsidRDefault="006709E4" w:rsidP="0057207B">
    <w:pPr>
      <w:pStyle w:val="Footer"/>
      <w:ind w:left="284"/>
    </w:pPr>
    <w:r w:rsidRPr="0057207B">
      <w:t>This fact sheet provides general information and does not constitute legal advice. You should seek independent legal advice tailored to your individual circumstances.</w:t>
    </w:r>
    <w:r w:rsidR="00FA4D69">
      <w:t xml:space="preserve"> The Major Project</w:t>
    </w:r>
    <w:r w:rsidR="003E48A2">
      <w:t>s</w:t>
    </w:r>
    <w:r w:rsidR="00FA4D69">
      <w:t xml:space="preserve"> </w:t>
    </w:r>
    <w:r w:rsidR="00D12F1A">
      <w:t>Facilitation Agency (MPF</w:t>
    </w:r>
    <w:r w:rsidR="00FA4D69">
      <w:t>A) assists Major Project Proponents to</w:t>
    </w:r>
    <w:r w:rsidR="003E48A2">
      <w:t xml:space="preserve"> navigate the approvals process.</w:t>
    </w:r>
    <w:r w:rsidR="00FA4D69">
      <w:t xml:space="preserve"> </w:t>
    </w:r>
    <w:r w:rsidR="00D12F1A">
      <w:t>The MPF</w:t>
    </w:r>
    <w:r w:rsidR="003E48A2">
      <w:t xml:space="preserve">A </w:t>
    </w:r>
    <w:r w:rsidR="00FA4D69">
      <w:t>does not grant approvals, nor administer this Act or Regulations.</w:t>
    </w:r>
  </w:p>
  <w:p w14:paraId="6C413FBA" w14:textId="78977476" w:rsidR="006709E4" w:rsidRDefault="002B6772" w:rsidP="007B2AA7">
    <w:pPr>
      <w:pStyle w:val="Footer"/>
      <w:tabs>
        <w:tab w:val="clear" w:pos="3969"/>
        <w:tab w:val="clear" w:pos="6804"/>
      </w:tabs>
      <w:ind w:left="284"/>
    </w:pPr>
    <w:hyperlink r:id="rId1" w:tooltip="www.business.gov.au/mpfa " w:history="1">
      <w:r w:rsidR="00F90221" w:rsidRPr="00EA057C">
        <w:rPr>
          <w:rStyle w:val="Hyperlink"/>
        </w:rPr>
        <w:t>www.business.gov.au/mpfa</w:t>
      </w:r>
    </w:hyperlink>
    <w:r w:rsidR="008C4931">
      <w:tab/>
    </w:r>
    <w:r w:rsidR="008C4931">
      <w:tab/>
    </w:r>
    <w:r w:rsidR="008C4931">
      <w:tab/>
    </w:r>
    <w:r w:rsidR="008C4931">
      <w:tab/>
    </w:r>
    <w:r w:rsidR="008C4931">
      <w:tab/>
    </w:r>
    <w:r w:rsidR="008C4931">
      <w:tab/>
    </w:r>
    <w:r w:rsidR="008C4931">
      <w:tab/>
    </w:r>
    <w:r w:rsidR="008C4931">
      <w:tab/>
    </w:r>
    <w:r w:rsidRPr="002B6772">
      <w:rPr>
        <w:rStyle w:val="Hyperlink"/>
      </w:rPr>
      <w:t>mpfa@industry.gov.au</w:t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D60815">
      <w:t>June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7C3ED" w14:textId="77777777" w:rsidR="00326C58" w:rsidRDefault="00326C58" w:rsidP="00B526AB">
      <w:pPr>
        <w:spacing w:after="0"/>
      </w:pPr>
      <w:r>
        <w:separator/>
      </w:r>
    </w:p>
  </w:footnote>
  <w:footnote w:type="continuationSeparator" w:id="0">
    <w:p w14:paraId="25C304DC" w14:textId="77777777" w:rsidR="00326C58" w:rsidRDefault="00326C58" w:rsidP="00B526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9B1BE" w14:textId="137F36EA" w:rsidR="006709E4" w:rsidRDefault="00D12F1A">
    <w:pPr>
      <w:pStyle w:val="Header"/>
    </w:pPr>
    <w:r w:rsidRPr="00D12F1A">
      <w:rPr>
        <w:rFonts w:ascii="Calibri" w:eastAsia="Calibri" w:hAnsi="Calibri" w:cs="Times New Roman"/>
        <w:noProof/>
        <w:spacing w:val="0"/>
        <w:sz w:val="22"/>
        <w:szCs w:val="22"/>
        <w:lang w:eastAsia="en-AU"/>
      </w:rPr>
      <w:drawing>
        <wp:inline distT="0" distB="0" distL="0" distR="0" wp14:anchorId="126A77D7" wp14:editId="248CF4F2">
          <wp:extent cx="6443345" cy="3242945"/>
          <wp:effectExtent l="0" t="0" r="0" b="0"/>
          <wp:docPr id="2" name="Picture 2" descr="Australian Government Facilitation Agency - Commonwelath fact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345" cy="324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BFE657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abstractNum w:abstractNumId="10" w15:restartNumberingAfterBreak="0">
    <w:nsid w:val="0586153F"/>
    <w:multiLevelType w:val="hybridMultilevel"/>
    <w:tmpl w:val="6E6816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EC42DA"/>
    <w:multiLevelType w:val="hybridMultilevel"/>
    <w:tmpl w:val="B314BE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BC52E97"/>
    <w:multiLevelType w:val="hybridMultilevel"/>
    <w:tmpl w:val="58C01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845B0"/>
    <w:multiLevelType w:val="hybridMultilevel"/>
    <w:tmpl w:val="82C2DD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E0077B"/>
    <w:multiLevelType w:val="hybridMultilevel"/>
    <w:tmpl w:val="492465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7C24C6"/>
    <w:multiLevelType w:val="multilevel"/>
    <w:tmpl w:val="1812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7757F1"/>
    <w:multiLevelType w:val="hybridMultilevel"/>
    <w:tmpl w:val="748C99BE"/>
    <w:lvl w:ilvl="0" w:tplc="7D64C49C">
      <w:start w:val="1"/>
      <w:numFmt w:val="decimal"/>
      <w:pStyle w:val="Custom1"/>
      <w:lvlText w:val="%1."/>
      <w:lvlJc w:val="left"/>
      <w:pPr>
        <w:ind w:left="363" w:hanging="360"/>
      </w:pPr>
    </w:lvl>
    <w:lvl w:ilvl="1" w:tplc="0C090019" w:tentative="1">
      <w:start w:val="1"/>
      <w:numFmt w:val="lowerLetter"/>
      <w:lvlText w:val="%2."/>
      <w:lvlJc w:val="left"/>
      <w:pPr>
        <w:ind w:left="1083" w:hanging="360"/>
      </w:pPr>
    </w:lvl>
    <w:lvl w:ilvl="2" w:tplc="0C09001B" w:tentative="1">
      <w:start w:val="1"/>
      <w:numFmt w:val="lowerRoman"/>
      <w:lvlText w:val="%3."/>
      <w:lvlJc w:val="right"/>
      <w:pPr>
        <w:ind w:left="1803" w:hanging="180"/>
      </w:pPr>
    </w:lvl>
    <w:lvl w:ilvl="3" w:tplc="0C09000F" w:tentative="1">
      <w:start w:val="1"/>
      <w:numFmt w:val="decimal"/>
      <w:lvlText w:val="%4."/>
      <w:lvlJc w:val="left"/>
      <w:pPr>
        <w:ind w:left="2523" w:hanging="360"/>
      </w:pPr>
    </w:lvl>
    <w:lvl w:ilvl="4" w:tplc="0C090019" w:tentative="1">
      <w:start w:val="1"/>
      <w:numFmt w:val="lowerLetter"/>
      <w:lvlText w:val="%5."/>
      <w:lvlJc w:val="left"/>
      <w:pPr>
        <w:ind w:left="3243" w:hanging="360"/>
      </w:pPr>
    </w:lvl>
    <w:lvl w:ilvl="5" w:tplc="0C09001B" w:tentative="1">
      <w:start w:val="1"/>
      <w:numFmt w:val="lowerRoman"/>
      <w:lvlText w:val="%6."/>
      <w:lvlJc w:val="right"/>
      <w:pPr>
        <w:ind w:left="3963" w:hanging="180"/>
      </w:pPr>
    </w:lvl>
    <w:lvl w:ilvl="6" w:tplc="0C09000F" w:tentative="1">
      <w:start w:val="1"/>
      <w:numFmt w:val="decimal"/>
      <w:lvlText w:val="%7."/>
      <w:lvlJc w:val="left"/>
      <w:pPr>
        <w:ind w:left="4683" w:hanging="360"/>
      </w:pPr>
    </w:lvl>
    <w:lvl w:ilvl="7" w:tplc="0C090019" w:tentative="1">
      <w:start w:val="1"/>
      <w:numFmt w:val="lowerLetter"/>
      <w:lvlText w:val="%8."/>
      <w:lvlJc w:val="left"/>
      <w:pPr>
        <w:ind w:left="5403" w:hanging="360"/>
      </w:pPr>
    </w:lvl>
    <w:lvl w:ilvl="8" w:tplc="0C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5FBF6426"/>
    <w:multiLevelType w:val="hybridMultilevel"/>
    <w:tmpl w:val="BC988B4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B454CA"/>
    <w:multiLevelType w:val="multilevel"/>
    <w:tmpl w:val="29DC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1"/>
  </w:num>
  <w:num w:numId="19">
    <w:abstractNumId w:val="14"/>
  </w:num>
  <w:num w:numId="20">
    <w:abstractNumId w:val="10"/>
  </w:num>
  <w:num w:numId="21">
    <w:abstractNumId w:val="17"/>
  </w:num>
  <w:num w:numId="22">
    <w:abstractNumId w:val="12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284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60"/>
    <w:rsid w:val="0000299C"/>
    <w:rsid w:val="00022562"/>
    <w:rsid w:val="00057808"/>
    <w:rsid w:val="00061B7D"/>
    <w:rsid w:val="000C33E9"/>
    <w:rsid w:val="001264DD"/>
    <w:rsid w:val="00150EAC"/>
    <w:rsid w:val="00163B54"/>
    <w:rsid w:val="00164C20"/>
    <w:rsid w:val="00173BEB"/>
    <w:rsid w:val="001A25AE"/>
    <w:rsid w:val="001A2DC6"/>
    <w:rsid w:val="001D2D28"/>
    <w:rsid w:val="001F5F5D"/>
    <w:rsid w:val="001F76D7"/>
    <w:rsid w:val="00222CEA"/>
    <w:rsid w:val="002300AC"/>
    <w:rsid w:val="00237A8F"/>
    <w:rsid w:val="00244596"/>
    <w:rsid w:val="00256D8F"/>
    <w:rsid w:val="00263E00"/>
    <w:rsid w:val="0027105F"/>
    <w:rsid w:val="00275AC9"/>
    <w:rsid w:val="002834AE"/>
    <w:rsid w:val="002B2369"/>
    <w:rsid w:val="002B57BF"/>
    <w:rsid w:val="002B6772"/>
    <w:rsid w:val="002D3954"/>
    <w:rsid w:val="002E14EA"/>
    <w:rsid w:val="002E1E66"/>
    <w:rsid w:val="002E201E"/>
    <w:rsid w:val="002F65AF"/>
    <w:rsid w:val="00304F04"/>
    <w:rsid w:val="00305AA0"/>
    <w:rsid w:val="00326C58"/>
    <w:rsid w:val="00333F10"/>
    <w:rsid w:val="003472C8"/>
    <w:rsid w:val="0037687B"/>
    <w:rsid w:val="003805FE"/>
    <w:rsid w:val="0038442D"/>
    <w:rsid w:val="003E2ED3"/>
    <w:rsid w:val="003E48A2"/>
    <w:rsid w:val="00402E42"/>
    <w:rsid w:val="00407377"/>
    <w:rsid w:val="00407ECA"/>
    <w:rsid w:val="004111E9"/>
    <w:rsid w:val="00436B60"/>
    <w:rsid w:val="00452BA6"/>
    <w:rsid w:val="00497ABA"/>
    <w:rsid w:val="004C748D"/>
    <w:rsid w:val="005017BF"/>
    <w:rsid w:val="00523023"/>
    <w:rsid w:val="00530573"/>
    <w:rsid w:val="005642F2"/>
    <w:rsid w:val="0057207B"/>
    <w:rsid w:val="00585806"/>
    <w:rsid w:val="005D0228"/>
    <w:rsid w:val="005F0145"/>
    <w:rsid w:val="005F1934"/>
    <w:rsid w:val="00602C92"/>
    <w:rsid w:val="00612A48"/>
    <w:rsid w:val="006709E4"/>
    <w:rsid w:val="006710B9"/>
    <w:rsid w:val="006A2D6D"/>
    <w:rsid w:val="006B0076"/>
    <w:rsid w:val="006C2852"/>
    <w:rsid w:val="006C2F68"/>
    <w:rsid w:val="006C7F6D"/>
    <w:rsid w:val="006D4B5A"/>
    <w:rsid w:val="006E1767"/>
    <w:rsid w:val="006E5CCE"/>
    <w:rsid w:val="0072092F"/>
    <w:rsid w:val="00723B30"/>
    <w:rsid w:val="0072738A"/>
    <w:rsid w:val="007407E2"/>
    <w:rsid w:val="007466EF"/>
    <w:rsid w:val="00752716"/>
    <w:rsid w:val="007B2AA7"/>
    <w:rsid w:val="007C04FA"/>
    <w:rsid w:val="007D7AC4"/>
    <w:rsid w:val="007F26E2"/>
    <w:rsid w:val="00810E97"/>
    <w:rsid w:val="00822068"/>
    <w:rsid w:val="00850038"/>
    <w:rsid w:val="00851CA4"/>
    <w:rsid w:val="00862296"/>
    <w:rsid w:val="0088639D"/>
    <w:rsid w:val="008A7EAD"/>
    <w:rsid w:val="008B0145"/>
    <w:rsid w:val="008C4931"/>
    <w:rsid w:val="008C7A8F"/>
    <w:rsid w:val="0092552F"/>
    <w:rsid w:val="00956813"/>
    <w:rsid w:val="00960D9F"/>
    <w:rsid w:val="00975726"/>
    <w:rsid w:val="00991FDD"/>
    <w:rsid w:val="009978CF"/>
    <w:rsid w:val="009A0EF0"/>
    <w:rsid w:val="009A4C2D"/>
    <w:rsid w:val="009C1745"/>
    <w:rsid w:val="009D7BB6"/>
    <w:rsid w:val="009E60D8"/>
    <w:rsid w:val="00A11A95"/>
    <w:rsid w:val="00A159F4"/>
    <w:rsid w:val="00A51E16"/>
    <w:rsid w:val="00A76644"/>
    <w:rsid w:val="00A85BA1"/>
    <w:rsid w:val="00A9141C"/>
    <w:rsid w:val="00AC12AA"/>
    <w:rsid w:val="00AE05D0"/>
    <w:rsid w:val="00AE5300"/>
    <w:rsid w:val="00B04B31"/>
    <w:rsid w:val="00B062F2"/>
    <w:rsid w:val="00B259CF"/>
    <w:rsid w:val="00B44479"/>
    <w:rsid w:val="00B526AB"/>
    <w:rsid w:val="00B82084"/>
    <w:rsid w:val="00B86074"/>
    <w:rsid w:val="00BC2337"/>
    <w:rsid w:val="00BE3715"/>
    <w:rsid w:val="00C2414D"/>
    <w:rsid w:val="00C57AF2"/>
    <w:rsid w:val="00C67C5A"/>
    <w:rsid w:val="00CB2680"/>
    <w:rsid w:val="00CC7875"/>
    <w:rsid w:val="00CF3468"/>
    <w:rsid w:val="00D12F1A"/>
    <w:rsid w:val="00D308BC"/>
    <w:rsid w:val="00D4338D"/>
    <w:rsid w:val="00D60815"/>
    <w:rsid w:val="00D859E3"/>
    <w:rsid w:val="00D87BC8"/>
    <w:rsid w:val="00D94113"/>
    <w:rsid w:val="00DA41EE"/>
    <w:rsid w:val="00E0545E"/>
    <w:rsid w:val="00E201B2"/>
    <w:rsid w:val="00E72774"/>
    <w:rsid w:val="00EA057C"/>
    <w:rsid w:val="00EC42EA"/>
    <w:rsid w:val="00ED17D8"/>
    <w:rsid w:val="00ED3A83"/>
    <w:rsid w:val="00ED4A86"/>
    <w:rsid w:val="00F02684"/>
    <w:rsid w:val="00F0352F"/>
    <w:rsid w:val="00F11C75"/>
    <w:rsid w:val="00F25F29"/>
    <w:rsid w:val="00F427D6"/>
    <w:rsid w:val="00F47D53"/>
    <w:rsid w:val="00F53305"/>
    <w:rsid w:val="00F803F4"/>
    <w:rsid w:val="00F87D40"/>
    <w:rsid w:val="00F90221"/>
    <w:rsid w:val="00FA4D69"/>
    <w:rsid w:val="00FC70DE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4:docId w14:val="1A08D85B"/>
  <w15:docId w15:val="{9D862E6D-C270-46C2-A043-8F46F50A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7B"/>
    <w:pPr>
      <w:spacing w:after="120" w:line="240" w:lineRule="auto"/>
    </w:pPr>
    <w:rPr>
      <w:spacing w:val="-2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0573"/>
    <w:pPr>
      <w:keepNext/>
      <w:keepLines/>
      <w:spacing w:before="360" w:after="240"/>
      <w:outlineLvl w:val="0"/>
    </w:pPr>
    <w:rPr>
      <w:rFonts w:ascii="Arial" w:eastAsiaTheme="majorEastAsia" w:hAnsi="Arial" w:cstheme="majorBidi"/>
      <w:b/>
      <w:bCs/>
      <w:color w:val="00405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644"/>
    <w:pPr>
      <w:keepNext/>
      <w:keepLines/>
      <w:spacing w:before="200" w:after="240"/>
      <w:outlineLvl w:val="1"/>
    </w:pPr>
    <w:rPr>
      <w:rFonts w:ascii="Arial" w:eastAsiaTheme="majorEastAsia" w:hAnsi="Arial" w:cstheme="majorBidi"/>
      <w:b/>
      <w:bCs/>
      <w:color w:val="005677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141C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20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2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2A3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30573"/>
    <w:rPr>
      <w:rFonts w:ascii="Arial" w:eastAsiaTheme="majorEastAsia" w:hAnsi="Arial" w:cstheme="majorBidi"/>
      <w:b/>
      <w:bCs/>
      <w:color w:val="004059"/>
      <w:spacing w:val="-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6644"/>
    <w:rPr>
      <w:rFonts w:ascii="Arial" w:eastAsiaTheme="majorEastAsia" w:hAnsi="Arial" w:cstheme="majorBidi"/>
      <w:b/>
      <w:bCs/>
      <w:color w:val="005677"/>
      <w:spacing w:val="-2"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C70DE"/>
    <w:pPr>
      <w:spacing w:before="4480" w:after="480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70DE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9141C"/>
    <w:rPr>
      <w:rFonts w:ascii="Arial" w:eastAsiaTheme="majorEastAsia" w:hAnsi="Arial" w:cstheme="majorBidi"/>
      <w:b/>
      <w:bCs/>
      <w:color w:val="000000" w:themeColor="text1"/>
      <w:spacing w:val="-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22068"/>
    <w:rPr>
      <w:rFonts w:asciiTheme="majorHAnsi" w:eastAsiaTheme="majorEastAsia" w:hAnsiTheme="majorHAnsi" w:cstheme="majorBidi"/>
      <w:b/>
      <w:bCs/>
      <w:i/>
      <w:iCs/>
      <w:color w:val="005677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22068"/>
    <w:rPr>
      <w:rFonts w:asciiTheme="majorHAnsi" w:eastAsiaTheme="majorEastAsia" w:hAnsiTheme="majorHAnsi" w:cstheme="majorBidi"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7BB6"/>
    <w:pPr>
      <w:pBdr>
        <w:top w:val="single" w:sz="4" w:space="1" w:color="1B9590" w:themeColor="accent3"/>
        <w:bottom w:val="single" w:sz="4" w:space="1" w:color="1B9590" w:themeColor="accent3"/>
      </w:pBdr>
      <w:spacing w:before="240" w:after="240"/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D7BB6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8C7A8F"/>
    <w:rPr>
      <w:rFonts w:ascii="Georgia" w:hAnsi="Georgia"/>
      <w:b w:val="0"/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before="240"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237A8F"/>
    <w:pPr>
      <w:tabs>
        <w:tab w:val="center" w:pos="4320"/>
        <w:tab w:val="right" w:pos="8640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37A8F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7B2AA7"/>
    <w:pPr>
      <w:tabs>
        <w:tab w:val="left" w:pos="3969"/>
        <w:tab w:val="left" w:pos="6804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B2AA7"/>
    <w:rPr>
      <w:spacing w:val="-2"/>
      <w:sz w:val="1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C2F68"/>
  </w:style>
  <w:style w:type="paragraph" w:styleId="ListParagraph">
    <w:name w:val="List Paragraph"/>
    <w:basedOn w:val="Normal"/>
    <w:uiPriority w:val="34"/>
    <w:qFormat/>
    <w:rsid w:val="009E60D8"/>
    <w:pPr>
      <w:ind w:left="284" w:hanging="284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2AA7"/>
    <w:rPr>
      <w:color w:val="C973AF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7B2AA7"/>
    <w:pPr>
      <w:spacing w:after="0" w:line="240" w:lineRule="auto"/>
    </w:pPr>
    <w:rPr>
      <w:rFonts w:eastAsiaTheme="minorEastAsia"/>
      <w:color w:val="004059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005677" w:themeColor="accent1"/>
        <w:bottom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677" w:themeColor="accent1"/>
          <w:left w:val="nil"/>
          <w:bottom w:val="single" w:sz="8" w:space="0" w:color="0056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677" w:themeColor="accent1"/>
          <w:left w:val="nil"/>
          <w:bottom w:val="single" w:sz="8" w:space="0" w:color="0056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E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E4FF" w:themeFill="accent1" w:themeFillTint="3F"/>
      </w:tcPr>
    </w:tblStylePr>
  </w:style>
  <w:style w:type="paragraph" w:customStyle="1" w:styleId="Custom3">
    <w:name w:val="Custom 3"/>
    <w:basedOn w:val="Normal"/>
    <w:link w:val="Custom3Char"/>
    <w:qFormat/>
    <w:rsid w:val="00D94113"/>
    <w:pPr>
      <w:ind w:left="-142"/>
    </w:pPr>
    <w:rPr>
      <w:rFonts w:ascii="Georgia" w:eastAsiaTheme="minorEastAsia" w:hAnsi="Georgia"/>
      <w:color w:val="333366"/>
      <w:spacing w:val="0"/>
      <w:sz w:val="24"/>
      <w:szCs w:val="24"/>
    </w:rPr>
  </w:style>
  <w:style w:type="character" w:customStyle="1" w:styleId="Custom3Char">
    <w:name w:val="Custom 3 Char"/>
    <w:basedOn w:val="DefaultParagraphFont"/>
    <w:link w:val="Custom3"/>
    <w:rsid w:val="00D94113"/>
    <w:rPr>
      <w:rFonts w:ascii="Georgia" w:eastAsiaTheme="minorEastAsia" w:hAnsi="Georgia"/>
      <w:color w:val="333366"/>
      <w:sz w:val="24"/>
      <w:szCs w:val="24"/>
    </w:rPr>
  </w:style>
  <w:style w:type="paragraph" w:customStyle="1" w:styleId="Custom1">
    <w:name w:val="Custom 1"/>
    <w:basedOn w:val="ListNumber"/>
    <w:link w:val="Custom1Char"/>
    <w:qFormat/>
    <w:rsid w:val="00D94113"/>
    <w:pPr>
      <w:numPr>
        <w:numId w:val="11"/>
      </w:numPr>
      <w:spacing w:after="60" w:line="280" w:lineRule="atLeast"/>
      <w:contextualSpacing w:val="0"/>
    </w:pPr>
    <w:rPr>
      <w:rFonts w:ascii="Arial" w:eastAsiaTheme="majorEastAsia" w:hAnsi="Arial" w:cstheme="majorBidi"/>
      <w:bCs/>
      <w:i/>
      <w:iCs/>
      <w:color w:val="333366"/>
      <w:spacing w:val="0"/>
      <w:sz w:val="24"/>
      <w:szCs w:val="22"/>
    </w:rPr>
  </w:style>
  <w:style w:type="character" w:customStyle="1" w:styleId="Custom1Char">
    <w:name w:val="Custom 1 Char"/>
    <w:basedOn w:val="DefaultParagraphFont"/>
    <w:link w:val="Custom1"/>
    <w:rsid w:val="00D94113"/>
    <w:rPr>
      <w:rFonts w:ascii="Arial" w:eastAsiaTheme="majorEastAsia" w:hAnsi="Arial" w:cstheme="majorBidi"/>
      <w:bCs/>
      <w:i/>
      <w:iCs/>
      <w:color w:val="333366"/>
      <w:sz w:val="24"/>
    </w:rPr>
  </w:style>
  <w:style w:type="paragraph" w:styleId="ListNumber">
    <w:name w:val="List Number"/>
    <w:basedOn w:val="Normal"/>
    <w:uiPriority w:val="99"/>
    <w:semiHidden/>
    <w:unhideWhenUsed/>
    <w:rsid w:val="00D94113"/>
    <w:pPr>
      <w:numPr>
        <w:numId w:val="6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1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A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A95"/>
    <w:rPr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A95"/>
    <w:rPr>
      <w:b/>
      <w:bCs/>
      <w:spacing w:val="-2"/>
      <w:sz w:val="20"/>
      <w:szCs w:val="20"/>
    </w:rPr>
  </w:style>
  <w:style w:type="paragraph" w:customStyle="1" w:styleId="Default">
    <w:name w:val="Default"/>
    <w:rsid w:val="00B06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1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hyperlink" Target="https://www.legislation.gov.au/Details/F2019L0112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ndustry.gov.au/regulation-and-standards/space-regulation" TargetMode="Externa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www.legislation.gov.au/Details/F2019L01119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au/Details/F2019L01118" TargetMode="External"/><Relationship Id="rId20" Type="http://schemas.openxmlformats.org/officeDocument/2006/relationships/hyperlink" Target="https://www.industry.gov.au/data-and-publications/maximum-probable-loss-methodology-for-space-activitie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23" Type="http://schemas.openxmlformats.org/officeDocument/2006/relationships/hyperlink" Target="https://majorprojectshelp.business.gov.au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industry.gov.au/data-and-publications/flight-safety-cod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mailto:enquiries@space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mpaa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iness.gov.au/mpf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>Mar-Apr 2017 Update Round - feedback received</Comments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 Sheet</TermName>
          <TermId xmlns="http://schemas.microsoft.com/office/infopath/2007/PartnerControls">38af007d-6d80-4dd0-9833-ef17489d7c7e</TermId>
        </TermInfo>
      </Terms>
    </pe2555c81638466f9eb614edb9ecde52>
    <TaxCatchAll xmlns="a36bd50b-1532-4c22-b385-5c082c960938">
      <Value>387</Value>
      <Value>471</Value>
      <Value>1405</Value>
      <Value>7</Value>
      <Value>3</Value>
      <Value>52</Value>
    </TaxCatchAll>
    <g7bcb40ba23249a78edca7d43a67c1c9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cd41d649-1e1a-44f5-b99b-946d42ce56d6</TermId>
        </TermInfo>
      </Terms>
    </g7bcb40ba23249a78edca7d43a67c1c9>
    <n99e4c9942c6404eb103464a00e6097b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adb9bed2e36e4a93af574aeb444da63e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MPAA</TermName>
          <TermId xmlns="http://schemas.microsoft.com/office/infopath/2007/PartnerControls">e3e67d11-9afd-49bc-8113-feea8f08469b</TermId>
        </TermInfo>
        <TermInfo xmlns="http://schemas.microsoft.com/office/infopath/2007/PartnerControls">
          <TermName xmlns="http://schemas.microsoft.com/office/infopath/2007/PartnerControls">Programme</TermName>
          <TermId xmlns="http://schemas.microsoft.com/office/infopath/2007/PartnerControls">ccfa48ae-759f-4a7c-880d-f8e84efed37d</TermId>
        </TermInfo>
      </Terms>
    </adb9bed2e36e4a93af574aeb444da63e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_dlc_DocId xmlns="a36bd50b-1532-4c22-b385-5c082c960938">A3PSR54DD4M5-1894031199-72</_dlc_DocId>
    <_dlc_DocIdUrl xmlns="a36bd50b-1532-4c22-b385-5c082c960938">
      <Url>https://dochub/div/officeofnorthernaustralia/businessfunctions/majorprojects/programmemgmnt/_layouts/15/DocIdRedir.aspx?ID=A3PSR54DD4M5-1894031199-72</Url>
      <Description>A3PSR54DD4M5-1894031199-72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13" ma:contentTypeDescription="Create a new document." ma:contentTypeScope="" ma:versionID="a0dd2c024117f1c72f84498cdb49f4fc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e950eb60-a35e-4b14-88a9-41f408f74491" targetNamespace="http://schemas.microsoft.com/office/2006/metadata/properties" ma:root="true" ma:fieldsID="a2b708221e224d29fbe8c5eaf269731a" ns1:_="" ns2:_="" ns3:_="">
    <xsd:import namespace="http://schemas.microsoft.com/sharepoint/v3"/>
    <xsd:import namespace="a36bd50b-1532-4c22-b385-5c082c960938"/>
    <xsd:import namespace="e950eb60-a35e-4b14-88a9-41f408f744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2dff2eb7-e297-4992-b865-1a47fdf64e6a}" ma:internalName="TaxCatchAll" ma:showField="CatchAllData" ma:web="e950eb60-a35e-4b14-88a9-41f408f74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bacf7d73-44f1-4bad-9de4-dfdec5c74e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0eb60-a35e-4b14-88a9-41f408f7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C1A3D-E35E-4329-969D-ECEF7AC4F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4725C-7173-4DF1-995D-09BA443E0FAD}">
  <ds:schemaRefs>
    <ds:schemaRef ds:uri="a36bd50b-1532-4c22-b385-5c082c960938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950eb60-a35e-4b14-88a9-41f408f7449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76D728-6696-4B7E-94D3-8AA2F200151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24FD73-ECB0-45EC-969D-8F70E4E751DF}"/>
</file>

<file path=customXml/itemProps5.xml><?xml version="1.0" encoding="utf-8"?>
<ds:datastoreItem xmlns:ds="http://schemas.openxmlformats.org/officeDocument/2006/customXml" ds:itemID="{6A693E8E-5594-45F0-9754-A42CAF93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ACTIVITIES ACT 1998</vt:lpstr>
    </vt:vector>
  </TitlesOfParts>
  <Company>DIISRTE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ACTIVITIES ACT 1998</dc:title>
  <dc:creator>MPFA</dc:creator>
  <cp:lastModifiedBy>Pusceddu, Anna</cp:lastModifiedBy>
  <cp:revision>7</cp:revision>
  <dcterms:created xsi:type="dcterms:W3CDTF">2021-06-15T01:44:00Z</dcterms:created>
  <dcterms:modified xsi:type="dcterms:W3CDTF">2021-09-06T05:02:00Z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0x010100896D55852D93604AA440876A3B15BB43</vt:lpwstr>
  </property>
  <property fmtid="{D5CDD505-2E9C-101B-9397-08002B2CF9AE}" pid="7" name="_dlc_DocIdItemGuid">
    <vt:lpwstr>420a0459-9353-4fc1-8810-bfdac22757e3</vt:lpwstr>
  </property>
  <property fmtid="{D5CDD505-2E9C-101B-9397-08002B2CF9AE}" pid="8" name="DocHub_Year">
    <vt:lpwstr>387;#2017|5f6de30b-6e1e-4c09-9e51-982258231536</vt:lpwstr>
  </property>
  <property fmtid="{D5CDD505-2E9C-101B-9397-08002B2CF9AE}" pid="9" name="DocHub_DocumentType">
    <vt:lpwstr>52;#Fact Sheet|38af007d-6d80-4dd0-9833-ef17489d7c7e</vt:lpwstr>
  </property>
  <property fmtid="{D5CDD505-2E9C-101B-9397-08002B2CF9AE}" pid="10" name="DocHub_SecurityClassification">
    <vt:lpwstr>3;#UNCLASSIFIED|6106d03b-a1a0-4e30-9d91-d5e9fb4314f9</vt:lpwstr>
  </property>
  <property fmtid="{D5CDD505-2E9C-101B-9397-08002B2CF9AE}" pid="11" name="DocHub_Keywords">
    <vt:lpwstr>471;#MPAA|e3e67d11-9afd-49bc-8113-feea8f08469b;#1405;#Programme|ccfa48ae-759f-4a7c-880d-f8e84efed37d</vt:lpwstr>
  </property>
  <property fmtid="{D5CDD505-2E9C-101B-9397-08002B2CF9AE}" pid="12" name="DocHub_WorkActivity">
    <vt:lpwstr>7;#Communication|cd41d649-1e1a-44f5-b99b-946d42ce56d6</vt:lpwstr>
  </property>
  <property fmtid="{D5CDD505-2E9C-101B-9397-08002B2CF9AE}" pid="13" name="DocHub_PDMSNumber">
    <vt:lpwstr/>
  </property>
  <property fmtid="{D5CDD505-2E9C-101B-9397-08002B2CF9AE}" pid="14" name="IconOverlay">
    <vt:lpwstr/>
  </property>
</Properties>
</file>