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B636" w14:textId="3EA0CF3E" w:rsidR="006B7E20" w:rsidRDefault="00553DC9" w:rsidP="00553DC9">
      <w:pPr>
        <w:tabs>
          <w:tab w:val="left" w:pos="3537"/>
        </w:tabs>
      </w:pPr>
      <w:r>
        <w:tab/>
      </w:r>
    </w:p>
    <w:p w14:paraId="6D38E094" w14:textId="4FC62F16" w:rsidR="00B729E2" w:rsidRDefault="00C05DB9" w:rsidP="00647D19">
      <w:pPr>
        <w:pStyle w:val="Title"/>
        <w:jc w:val="center"/>
        <w:rPr>
          <w:sz w:val="52"/>
        </w:rPr>
      </w:pPr>
      <w:r w:rsidRPr="00500289">
        <w:rPr>
          <w:sz w:val="52"/>
        </w:rPr>
        <w:t>R&amp;D Tax Incentive</w:t>
      </w:r>
      <w:r w:rsidR="00B729E2" w:rsidRPr="00500289">
        <w:rPr>
          <w:sz w:val="52"/>
        </w:rPr>
        <w:br/>
      </w:r>
      <w:r w:rsidR="00F06FBC">
        <w:rPr>
          <w:sz w:val="52"/>
        </w:rPr>
        <w:t>Roundtable</w:t>
      </w:r>
    </w:p>
    <w:p w14:paraId="3FBF105A" w14:textId="77777777" w:rsidR="00327BBC" w:rsidRPr="00327BBC" w:rsidRDefault="00327BBC" w:rsidP="00327BBC"/>
    <w:p w14:paraId="5CC843E2" w14:textId="59AD3741" w:rsidR="00061D6A" w:rsidRPr="00253CF0" w:rsidRDefault="00783369" w:rsidP="00B729E2">
      <w:pPr>
        <w:pStyle w:val="TableHeading"/>
        <w:jc w:val="center"/>
        <w:rPr>
          <w:sz w:val="22"/>
          <w:szCs w:val="22"/>
        </w:rPr>
      </w:pPr>
      <w:r>
        <w:rPr>
          <w:sz w:val="22"/>
          <w:szCs w:val="22"/>
        </w:rPr>
        <w:t>Meeting RECORD</w:t>
      </w:r>
    </w:p>
    <w:tbl>
      <w:tblPr>
        <w:tblStyle w:val="BEPTable1"/>
        <w:tblW w:w="5000" w:type="pct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  <w:tblDescription w:val="Meeting record attendees"/>
      </w:tblPr>
      <w:tblGrid>
        <w:gridCol w:w="2567"/>
        <w:gridCol w:w="6459"/>
      </w:tblGrid>
      <w:tr w:rsidR="00F06FBC" w:rsidRPr="00B17E75" w14:paraId="135C3732" w14:textId="77777777" w:rsidTr="00B1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00" w:type="pct"/>
            <w:gridSpan w:val="2"/>
            <w:tcBorders>
              <w:top w:val="single" w:sz="4" w:space="0" w:color="264F90" w:themeColor="accent2"/>
              <w:bottom w:val="single" w:sz="4" w:space="0" w:color="264F90" w:themeColor="accent2"/>
            </w:tcBorders>
            <w:shd w:val="clear" w:color="auto" w:fill="auto"/>
          </w:tcPr>
          <w:p w14:paraId="5E62E79C" w14:textId="77777777" w:rsidR="00F06FBC" w:rsidRPr="00B17E75" w:rsidRDefault="00F06FBC" w:rsidP="0018509B">
            <w:pPr>
              <w:rPr>
                <w:sz w:val="2"/>
                <w:szCs w:val="22"/>
              </w:rPr>
            </w:pPr>
            <w:bookmarkStart w:id="0" w:name="_Toc47017057"/>
            <w:bookmarkStart w:id="1" w:name="_Toc47360263"/>
            <w:bookmarkStart w:id="2" w:name="_Toc47366591"/>
            <w:bookmarkStart w:id="3" w:name="_Toc47367221"/>
            <w:bookmarkStart w:id="4" w:name="_Toc47387305"/>
            <w:bookmarkStart w:id="5" w:name="_Toc47446270"/>
            <w:bookmarkStart w:id="6" w:name="_Toc54776172"/>
            <w:bookmarkStart w:id="7" w:name="_Toc54966595"/>
            <w:bookmarkStart w:id="8" w:name="_Toc55305698"/>
          </w:p>
        </w:tc>
      </w:tr>
      <w:tr w:rsidR="00C453DA" w:rsidRPr="00B17E75" w14:paraId="57CD2EBB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458655ED" w14:textId="445AF56C" w:rsidR="00C453DA" w:rsidRPr="006B7E20" w:rsidRDefault="00F06FBC" w:rsidP="00B17E75">
            <w:pPr>
              <w:rPr>
                <w:b/>
                <w:szCs w:val="22"/>
              </w:rPr>
            </w:pPr>
            <w:r w:rsidRPr="006B7E20">
              <w:rPr>
                <w:b/>
                <w:szCs w:val="22"/>
              </w:rPr>
              <w:t>Meeting Date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4D9B3F03" w14:textId="5139AFB8" w:rsidR="00C453DA" w:rsidRPr="006B7E20" w:rsidRDefault="00F06FBC" w:rsidP="00B17E75">
            <w:pPr>
              <w:pStyle w:val="ListParagraph"/>
              <w:ind w:left="0"/>
              <w:rPr>
                <w:szCs w:val="22"/>
              </w:rPr>
            </w:pPr>
            <w:r w:rsidRPr="006B7E20">
              <w:rPr>
                <w:szCs w:val="22"/>
              </w:rPr>
              <w:t>10 March 2022</w:t>
            </w:r>
          </w:p>
        </w:tc>
      </w:tr>
      <w:tr w:rsidR="00C453DA" w:rsidRPr="00B17E75" w14:paraId="37D69BF8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  <w:right w:val="nil"/>
            </w:tcBorders>
          </w:tcPr>
          <w:p w14:paraId="75869133" w14:textId="569342FD" w:rsidR="00C453DA" w:rsidRPr="006B7E20" w:rsidRDefault="00F06FBC" w:rsidP="00F06FBC">
            <w:pPr>
              <w:rPr>
                <w:b/>
                <w:szCs w:val="22"/>
              </w:rPr>
            </w:pPr>
            <w:r w:rsidRPr="006B7E20">
              <w:rPr>
                <w:b/>
                <w:szCs w:val="22"/>
              </w:rPr>
              <w:t>Time: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left w:val="nil"/>
              <w:bottom w:val="single" w:sz="4" w:space="0" w:color="264F90" w:themeColor="accent2"/>
            </w:tcBorders>
          </w:tcPr>
          <w:p w14:paraId="4F061814" w14:textId="3D62DDA8" w:rsidR="00C453DA" w:rsidRPr="006B7E20" w:rsidRDefault="00F06FBC" w:rsidP="0018509B">
            <w:pPr>
              <w:pStyle w:val="ListParagraph"/>
              <w:ind w:left="0"/>
              <w:rPr>
                <w:szCs w:val="22"/>
              </w:rPr>
            </w:pPr>
            <w:r w:rsidRPr="006B7E20">
              <w:rPr>
                <w:szCs w:val="22"/>
              </w:rPr>
              <w:t>1:00pm – 3:00pm AEDT</w:t>
            </w:r>
          </w:p>
        </w:tc>
      </w:tr>
      <w:tr w:rsidR="00C453DA" w:rsidRPr="00B17E75" w14:paraId="1374FA48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04DC9F40" w14:textId="6F9A6658" w:rsidR="00C453DA" w:rsidRPr="006B7E20" w:rsidRDefault="00F06FBC" w:rsidP="00F06FBC">
            <w:pPr>
              <w:rPr>
                <w:b/>
                <w:szCs w:val="22"/>
              </w:rPr>
            </w:pPr>
            <w:r w:rsidRPr="006B7E20">
              <w:rPr>
                <w:b/>
                <w:szCs w:val="22"/>
              </w:rPr>
              <w:t>Co-Chairs: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11553615" w14:textId="77777777" w:rsidR="00C453DA" w:rsidRPr="006B7E20" w:rsidRDefault="00F06FBC" w:rsidP="006B7E20">
            <w:pPr>
              <w:pStyle w:val="ListParagraph"/>
              <w:spacing w:before="60" w:after="60" w:line="300" w:lineRule="auto"/>
              <w:ind w:left="0"/>
              <w:rPr>
                <w:szCs w:val="22"/>
              </w:rPr>
            </w:pPr>
            <w:r w:rsidRPr="006B7E20">
              <w:rPr>
                <w:szCs w:val="22"/>
              </w:rPr>
              <w:t>Jade Hawkins, Assistant Commissioner, ATO</w:t>
            </w:r>
          </w:p>
          <w:p w14:paraId="1ED60470" w14:textId="62111334" w:rsidR="00F06FBC" w:rsidRPr="006B7E20" w:rsidRDefault="00A531FD" w:rsidP="006B7E20">
            <w:pPr>
              <w:pStyle w:val="ListParagraph"/>
              <w:spacing w:before="60" w:after="60" w:line="300" w:lineRule="auto"/>
              <w:ind w:left="0"/>
              <w:rPr>
                <w:szCs w:val="22"/>
              </w:rPr>
            </w:pPr>
            <w:r w:rsidRPr="006B7E20">
              <w:rPr>
                <w:szCs w:val="22"/>
              </w:rPr>
              <w:t>Tim Myatt, Manager, Data Intelligence and Insights</w:t>
            </w:r>
            <w:r w:rsidR="00271222" w:rsidRPr="006B7E20">
              <w:rPr>
                <w:szCs w:val="22"/>
              </w:rPr>
              <w:t xml:space="preserve"> Section</w:t>
            </w:r>
            <w:r w:rsidRPr="006B7E20">
              <w:rPr>
                <w:szCs w:val="22"/>
              </w:rPr>
              <w:t xml:space="preserve">, </w:t>
            </w:r>
            <w:r w:rsidR="00271222" w:rsidRPr="006B7E20">
              <w:rPr>
                <w:szCs w:val="22"/>
              </w:rPr>
              <w:t>R&amp;D Tax Incentive Branch, AusIndustry, Department of Industry, Science, Energy and Resources (DISER)</w:t>
            </w:r>
          </w:p>
        </w:tc>
      </w:tr>
      <w:tr w:rsidR="00C453DA" w:rsidRPr="00B17E75" w14:paraId="3AF307CB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09B25B79" w14:textId="76600905" w:rsidR="00C453DA" w:rsidRPr="006B7E20" w:rsidRDefault="00F06FBC" w:rsidP="00F06FBC">
            <w:pPr>
              <w:rPr>
                <w:b/>
                <w:szCs w:val="22"/>
              </w:rPr>
            </w:pPr>
            <w:r w:rsidRPr="006B7E20">
              <w:rPr>
                <w:b/>
                <w:szCs w:val="22"/>
              </w:rPr>
              <w:t>Attendees: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2882B954" w14:textId="79CE5F4A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Russell </w:t>
            </w:r>
            <w:proofErr w:type="spellStart"/>
            <w:r w:rsidRPr="006B7E20">
              <w:rPr>
                <w:szCs w:val="22"/>
              </w:rPr>
              <w:t>Ascott</w:t>
            </w:r>
            <w:proofErr w:type="spellEnd"/>
            <w:r w:rsidRPr="006B7E20">
              <w:rPr>
                <w:szCs w:val="22"/>
              </w:rPr>
              <w:t xml:space="preserve"> (AB &amp; H Technology Services)</w:t>
            </w:r>
          </w:p>
          <w:p w14:paraId="3A0C9C5D" w14:textId="692F4AAF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Louise McGrath</w:t>
            </w:r>
            <w:r w:rsidRPr="006B7E20">
              <w:rPr>
                <w:szCs w:val="22"/>
              </w:rPr>
              <w:tab/>
              <w:t xml:space="preserve"> (Australian Industry Group)</w:t>
            </w:r>
          </w:p>
          <w:p w14:paraId="10D77541" w14:textId="1542662E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Ron </w:t>
            </w:r>
            <w:proofErr w:type="spellStart"/>
            <w:r w:rsidRPr="006B7E20">
              <w:rPr>
                <w:szCs w:val="22"/>
              </w:rPr>
              <w:t>Gauci</w:t>
            </w:r>
            <w:proofErr w:type="spellEnd"/>
            <w:r w:rsidRPr="006B7E20">
              <w:rPr>
                <w:szCs w:val="22"/>
              </w:rPr>
              <w:t xml:space="preserve"> (Australian Information Industry Association)</w:t>
            </w:r>
          </w:p>
          <w:p w14:paraId="34B9ED72" w14:textId="6F767D3E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Robyn </w:t>
            </w:r>
            <w:proofErr w:type="spellStart"/>
            <w:r w:rsidRPr="006B7E20">
              <w:rPr>
                <w:szCs w:val="22"/>
              </w:rPr>
              <w:t>Tolhurst</w:t>
            </w:r>
            <w:proofErr w:type="spellEnd"/>
            <w:r w:rsidRPr="006B7E20">
              <w:rPr>
                <w:szCs w:val="22"/>
              </w:rPr>
              <w:t xml:space="preserve"> (Australian Investment Council)</w:t>
            </w:r>
          </w:p>
          <w:p w14:paraId="5BD6F60B" w14:textId="28E8BE4C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Nicola Purser (BDO)</w:t>
            </w:r>
          </w:p>
          <w:p w14:paraId="60A9F6B6" w14:textId="5E64D086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Emma Westaway (Boeing)</w:t>
            </w:r>
          </w:p>
          <w:p w14:paraId="736A817A" w14:textId="2A46ACA5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Pero </w:t>
            </w:r>
            <w:proofErr w:type="spellStart"/>
            <w:r w:rsidRPr="006B7E20">
              <w:rPr>
                <w:szCs w:val="22"/>
              </w:rPr>
              <w:t>Stojanovski</w:t>
            </w:r>
            <w:proofErr w:type="spellEnd"/>
            <w:r w:rsidRPr="006B7E20">
              <w:rPr>
                <w:szCs w:val="22"/>
              </w:rPr>
              <w:t xml:space="preserve"> (Business Council of Australia)</w:t>
            </w:r>
          </w:p>
          <w:p w14:paraId="57F60B99" w14:textId="7E72557C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Kimberley Simpson (Cochlear)</w:t>
            </w:r>
          </w:p>
          <w:p w14:paraId="1527C42D" w14:textId="733F4EC8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Paul McMullan (Compliance Group Pty Limited)</w:t>
            </w:r>
          </w:p>
          <w:p w14:paraId="319DB2CA" w14:textId="3094C6A1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Paul </w:t>
            </w:r>
            <w:proofErr w:type="spellStart"/>
            <w:r w:rsidRPr="006B7E20">
              <w:rPr>
                <w:szCs w:val="22"/>
              </w:rPr>
              <w:t>Suppree</w:t>
            </w:r>
            <w:proofErr w:type="spellEnd"/>
            <w:r w:rsidRPr="006B7E20">
              <w:rPr>
                <w:szCs w:val="22"/>
              </w:rPr>
              <w:t xml:space="preserve"> (Corporate Tax Association)</w:t>
            </w:r>
          </w:p>
          <w:p w14:paraId="09E0AAF4" w14:textId="28823D1F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 xml:space="preserve">Jamie </w:t>
            </w:r>
            <w:proofErr w:type="spellStart"/>
            <w:r w:rsidRPr="006B7E20">
              <w:rPr>
                <w:szCs w:val="22"/>
              </w:rPr>
              <w:t>Munday</w:t>
            </w:r>
            <w:proofErr w:type="spellEnd"/>
            <w:r w:rsidRPr="006B7E20">
              <w:rPr>
                <w:szCs w:val="22"/>
              </w:rPr>
              <w:t xml:space="preserve"> (EY)</w:t>
            </w:r>
          </w:p>
          <w:p w14:paraId="47B376B2" w14:textId="370BA661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Sam Ung (Hall Chadwick)</w:t>
            </w:r>
          </w:p>
          <w:p w14:paraId="434983CD" w14:textId="35CD6410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Michael Webb (Indirect Tax Consulting)</w:t>
            </w:r>
          </w:p>
          <w:p w14:paraId="76521FCB" w14:textId="4F7AF975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Ross Lyons (Minerals Council of Australia)</w:t>
            </w:r>
          </w:p>
          <w:p w14:paraId="479AA429" w14:textId="5ABFC1BA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Gary Shapiro (</w:t>
            </w:r>
            <w:proofErr w:type="spellStart"/>
            <w:r w:rsidRPr="006B7E20">
              <w:rPr>
                <w:szCs w:val="22"/>
              </w:rPr>
              <w:t>Rimon</w:t>
            </w:r>
            <w:proofErr w:type="spellEnd"/>
            <w:r w:rsidRPr="006B7E20">
              <w:rPr>
                <w:szCs w:val="22"/>
              </w:rPr>
              <w:t xml:space="preserve"> Advisory)</w:t>
            </w:r>
          </w:p>
          <w:p w14:paraId="129884A6" w14:textId="31777CE3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Jessica Olivier (RSM Australia)</w:t>
            </w:r>
          </w:p>
          <w:p w14:paraId="0025A049" w14:textId="5ED9753C" w:rsidR="00F06FBC" w:rsidRPr="006B7E20" w:rsidRDefault="00F06FBC" w:rsidP="006B7E20">
            <w:pPr>
              <w:spacing w:before="60" w:after="60" w:line="240" w:lineRule="atLeast"/>
              <w:rPr>
                <w:szCs w:val="22"/>
              </w:rPr>
            </w:pPr>
            <w:r w:rsidRPr="006B7E20">
              <w:rPr>
                <w:szCs w:val="22"/>
              </w:rPr>
              <w:t>Kate Pounder (Tech</w:t>
            </w:r>
            <w:r w:rsidR="00161711" w:rsidRPr="006B7E20">
              <w:rPr>
                <w:szCs w:val="22"/>
              </w:rPr>
              <w:t>nology</w:t>
            </w:r>
            <w:r w:rsidRPr="006B7E20">
              <w:rPr>
                <w:szCs w:val="22"/>
              </w:rPr>
              <w:t xml:space="preserve"> Council of Australia)</w:t>
            </w:r>
          </w:p>
          <w:p w14:paraId="1A6BF718" w14:textId="4481D87C" w:rsidR="00C453DA" w:rsidRPr="006B7E20" w:rsidRDefault="00F06FBC" w:rsidP="006B7E20">
            <w:pPr>
              <w:pStyle w:val="ListParagraph"/>
              <w:spacing w:before="60" w:after="60" w:line="240" w:lineRule="atLeast"/>
              <w:ind w:left="0"/>
              <w:rPr>
                <w:szCs w:val="22"/>
              </w:rPr>
            </w:pPr>
            <w:r w:rsidRPr="006B7E20">
              <w:rPr>
                <w:szCs w:val="22"/>
              </w:rPr>
              <w:t xml:space="preserve">Mariana von </w:t>
            </w:r>
            <w:proofErr w:type="spellStart"/>
            <w:r w:rsidRPr="006B7E20">
              <w:rPr>
                <w:szCs w:val="22"/>
              </w:rPr>
              <w:t>Lucken</w:t>
            </w:r>
            <w:proofErr w:type="spellEnd"/>
            <w:r w:rsidRPr="006B7E20">
              <w:rPr>
                <w:szCs w:val="22"/>
              </w:rPr>
              <w:t xml:space="preserve"> (The Tax Institute)</w:t>
            </w:r>
          </w:p>
        </w:tc>
        <w:bookmarkStart w:id="9" w:name="_GoBack"/>
        <w:bookmarkEnd w:id="9"/>
      </w:tr>
      <w:tr w:rsidR="00C453DA" w:rsidRPr="00B17E75" w14:paraId="6CE90778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55766C42" w14:textId="441A8FED" w:rsidR="00C453DA" w:rsidRPr="006B7E20" w:rsidRDefault="00F06FBC" w:rsidP="00BF19D6">
            <w:pPr>
              <w:rPr>
                <w:szCs w:val="22"/>
              </w:rPr>
            </w:pPr>
            <w:r w:rsidRPr="006B7E20">
              <w:rPr>
                <w:b/>
                <w:szCs w:val="22"/>
              </w:rPr>
              <w:t>Guest Speaker: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3B23F133" w14:textId="1FB13283" w:rsidR="00C453DA" w:rsidRPr="006B7E20" w:rsidRDefault="00F06FBC" w:rsidP="00F06FBC">
            <w:pPr>
              <w:rPr>
                <w:szCs w:val="22"/>
              </w:rPr>
            </w:pPr>
            <w:r w:rsidRPr="006B7E20">
              <w:rPr>
                <w:szCs w:val="22"/>
              </w:rPr>
              <w:t>Kate Pounder (Tech</w:t>
            </w:r>
            <w:r w:rsidR="00161711" w:rsidRPr="006B7E20">
              <w:rPr>
                <w:szCs w:val="22"/>
              </w:rPr>
              <w:t>nology</w:t>
            </w:r>
            <w:r w:rsidRPr="006B7E20">
              <w:rPr>
                <w:szCs w:val="22"/>
              </w:rPr>
              <w:t xml:space="preserve"> Council of Australia)</w:t>
            </w:r>
          </w:p>
        </w:tc>
      </w:tr>
      <w:tr w:rsidR="00271222" w:rsidRPr="00B17E75" w14:paraId="33D1A6C1" w14:textId="77777777" w:rsidTr="00B17E75">
        <w:trPr>
          <w:trHeight w:val="113"/>
        </w:trPr>
        <w:tc>
          <w:tcPr>
            <w:tcW w:w="1422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1DC863D1" w14:textId="2FAB12C7" w:rsidR="00271222" w:rsidRPr="006B7E20" w:rsidRDefault="00271222" w:rsidP="00F06FBC">
            <w:pPr>
              <w:rPr>
                <w:b/>
                <w:szCs w:val="22"/>
              </w:rPr>
            </w:pPr>
            <w:r w:rsidRPr="006B7E20">
              <w:rPr>
                <w:b/>
                <w:szCs w:val="22"/>
              </w:rPr>
              <w:t>Apologies</w:t>
            </w:r>
          </w:p>
        </w:tc>
        <w:tc>
          <w:tcPr>
            <w:tcW w:w="3578" w:type="pct"/>
            <w:tcBorders>
              <w:top w:val="single" w:sz="4" w:space="0" w:color="264F90" w:themeColor="accent2"/>
              <w:bottom w:val="single" w:sz="4" w:space="0" w:color="264F90" w:themeColor="accent2"/>
            </w:tcBorders>
          </w:tcPr>
          <w:p w14:paraId="2BAA0013" w14:textId="50FC25DF" w:rsidR="00271222" w:rsidRPr="006B7E20" w:rsidRDefault="00271222" w:rsidP="00F06FBC">
            <w:pPr>
              <w:rPr>
                <w:szCs w:val="22"/>
              </w:rPr>
            </w:pPr>
            <w:r w:rsidRPr="006B7E20">
              <w:rPr>
                <w:szCs w:val="22"/>
              </w:rPr>
              <w:t xml:space="preserve">Kirsty </w:t>
            </w:r>
            <w:proofErr w:type="spellStart"/>
            <w:r w:rsidRPr="006B7E20">
              <w:rPr>
                <w:szCs w:val="22"/>
              </w:rPr>
              <w:t>Gowans</w:t>
            </w:r>
            <w:proofErr w:type="spellEnd"/>
            <w:r w:rsidRPr="006B7E20">
              <w:rPr>
                <w:szCs w:val="22"/>
              </w:rPr>
              <w:t>, General Manager R&amp;D Tax Incentive Branch, AusIndustry, DISER</w:t>
            </w:r>
          </w:p>
        </w:tc>
      </w:tr>
    </w:tbl>
    <w:p w14:paraId="05339CC9" w14:textId="77777777" w:rsidR="006B7E20" w:rsidRDefault="006B7E20">
      <w:r>
        <w:br w:type="page"/>
      </w:r>
    </w:p>
    <w:p w14:paraId="577000ED" w14:textId="77777777" w:rsidR="00B17E75" w:rsidRDefault="00B17E75" w:rsidP="00B17E75">
      <w:pPr>
        <w:pStyle w:val="TableHeading"/>
        <w:jc w:val="center"/>
      </w:pPr>
      <w:r>
        <w:lastRenderedPageBreak/>
        <w:t>AGENDA</w:t>
      </w:r>
    </w:p>
    <w:tbl>
      <w:tblPr>
        <w:tblStyle w:val="BEPTable1"/>
        <w:tblW w:w="5000" w:type="pct"/>
        <w:tblLook w:val="0620" w:firstRow="1" w:lastRow="0" w:firstColumn="0" w:lastColumn="0" w:noHBand="1" w:noVBand="1"/>
        <w:tblDescription w:val="Meeting Agenda"/>
      </w:tblPr>
      <w:tblGrid>
        <w:gridCol w:w="5813"/>
        <w:gridCol w:w="1930"/>
        <w:gridCol w:w="1283"/>
      </w:tblGrid>
      <w:tr w:rsidR="00E66D74" w:rsidRPr="006B7E20" w14:paraId="258F3233" w14:textId="77777777" w:rsidTr="00E66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220" w:type="pct"/>
            <w:shd w:val="clear" w:color="auto" w:fill="DFE7F6"/>
          </w:tcPr>
          <w:p w14:paraId="02ED75EE" w14:textId="77777777" w:rsidR="00E66D74" w:rsidRPr="006B7E20" w:rsidRDefault="00E66D74" w:rsidP="0018509B">
            <w:r w:rsidRPr="006B7E20">
              <w:rPr>
                <w:szCs w:val="22"/>
              </w:rPr>
              <w:t>Item</w:t>
            </w:r>
          </w:p>
        </w:tc>
        <w:tc>
          <w:tcPr>
            <w:tcW w:w="1069" w:type="pct"/>
            <w:shd w:val="clear" w:color="auto" w:fill="DFE7F6"/>
          </w:tcPr>
          <w:p w14:paraId="6AD1D6D8" w14:textId="77777777" w:rsidR="00E66D74" w:rsidRPr="006B7E20" w:rsidRDefault="00E66D74" w:rsidP="0018509B">
            <w:r w:rsidRPr="006B7E20">
              <w:rPr>
                <w:szCs w:val="22"/>
              </w:rPr>
              <w:t>Speaker</w:t>
            </w:r>
          </w:p>
        </w:tc>
        <w:tc>
          <w:tcPr>
            <w:tcW w:w="711" w:type="pct"/>
            <w:shd w:val="clear" w:color="auto" w:fill="DFE7F6"/>
          </w:tcPr>
          <w:p w14:paraId="0F2BFCD5" w14:textId="77777777" w:rsidR="00E66D74" w:rsidRPr="006B7E20" w:rsidRDefault="00E66D74" w:rsidP="0018509B">
            <w:r w:rsidRPr="006B7E20">
              <w:rPr>
                <w:szCs w:val="22"/>
              </w:rPr>
              <w:t>Chair</w:t>
            </w:r>
          </w:p>
        </w:tc>
      </w:tr>
      <w:tr w:rsidR="00E66D74" w:rsidRPr="006B7E20" w14:paraId="35356A0D" w14:textId="77777777" w:rsidTr="00E66D74">
        <w:trPr>
          <w:trHeight w:val="113"/>
        </w:trPr>
        <w:tc>
          <w:tcPr>
            <w:tcW w:w="3220" w:type="pct"/>
          </w:tcPr>
          <w:p w14:paraId="452BDDC0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>Welcome</w:t>
            </w:r>
          </w:p>
          <w:p w14:paraId="3EE6E631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Roll-call for WebEx dial ins</w:t>
            </w:r>
          </w:p>
          <w:p w14:paraId="3B19BEAB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House keeping</w:t>
            </w:r>
          </w:p>
          <w:p w14:paraId="65B469EE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Acknowledgement of country</w:t>
            </w:r>
          </w:p>
          <w:p w14:paraId="5550B80F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cstheme="minorHAnsi"/>
                <w:szCs w:val="22"/>
                <w:lang w:eastAsia="en-AU"/>
              </w:rPr>
              <w:t>Action Items from September Roundtable</w:t>
            </w:r>
          </w:p>
        </w:tc>
        <w:tc>
          <w:tcPr>
            <w:tcW w:w="1069" w:type="pct"/>
          </w:tcPr>
          <w:p w14:paraId="14B2072C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Jade Hawkins</w:t>
            </w:r>
          </w:p>
        </w:tc>
        <w:tc>
          <w:tcPr>
            <w:tcW w:w="711" w:type="pct"/>
          </w:tcPr>
          <w:p w14:paraId="0CC9CFCC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ATO</w:t>
            </w:r>
          </w:p>
        </w:tc>
      </w:tr>
      <w:tr w:rsidR="00E66D74" w:rsidRPr="006B7E20" w14:paraId="0BF88881" w14:textId="77777777" w:rsidTr="00E66D74">
        <w:trPr>
          <w:trHeight w:val="113"/>
        </w:trPr>
        <w:tc>
          <w:tcPr>
            <w:tcW w:w="3220" w:type="pct"/>
          </w:tcPr>
          <w:p w14:paraId="123AFF32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0" w:line="25" w:lineRule="atLeast"/>
              <w:contextualSpacing w:val="0"/>
              <w:rPr>
                <w:rFonts w:eastAsia="Times New Roman" w:cstheme="minorHAnsi"/>
                <w:b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>AusIndustry Update</w:t>
            </w:r>
          </w:p>
          <w:p w14:paraId="7C5CE5B8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b/>
                <w:szCs w:val="22"/>
                <w:lang w:eastAsia="en-AU"/>
              </w:rPr>
            </w:pPr>
            <w:r w:rsidRPr="006B7E20">
              <w:rPr>
                <w:rFonts w:cstheme="minorHAnsi"/>
                <w:szCs w:val="22"/>
                <w:lang w:eastAsia="en-AU"/>
              </w:rPr>
              <w:t>Questions arising</w:t>
            </w: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 xml:space="preserve"> </w:t>
            </w:r>
            <w:r w:rsidRPr="006B7E20">
              <w:rPr>
                <w:rFonts w:eastAsia="Times New Roman" w:cstheme="minorHAnsi"/>
                <w:szCs w:val="22"/>
                <w:lang w:eastAsia="en-AU"/>
              </w:rPr>
              <w:t>from program updates</w:t>
            </w:r>
          </w:p>
          <w:p w14:paraId="12E5CBC4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b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Roundtable working groups</w:t>
            </w:r>
          </w:p>
        </w:tc>
        <w:tc>
          <w:tcPr>
            <w:tcW w:w="1069" w:type="pct"/>
          </w:tcPr>
          <w:p w14:paraId="14C6E4DD" w14:textId="03778469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Tim Myatt</w:t>
            </w:r>
          </w:p>
        </w:tc>
        <w:tc>
          <w:tcPr>
            <w:tcW w:w="711" w:type="pct"/>
          </w:tcPr>
          <w:p w14:paraId="2D46B0C7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AusIndustry</w:t>
            </w:r>
          </w:p>
        </w:tc>
      </w:tr>
      <w:tr w:rsidR="00E66D74" w:rsidRPr="006B7E20" w14:paraId="14633F1A" w14:textId="77777777" w:rsidTr="00E66D74">
        <w:trPr>
          <w:trHeight w:val="113"/>
        </w:trPr>
        <w:tc>
          <w:tcPr>
            <w:tcW w:w="3220" w:type="pct"/>
          </w:tcPr>
          <w:p w14:paraId="33EEC324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0" w:line="25" w:lineRule="atLeast"/>
              <w:contextualSpacing w:val="0"/>
              <w:rPr>
                <w:rFonts w:eastAsia="Times New Roman" w:cstheme="minorHAnsi"/>
                <w:b/>
                <w:color w:val="C00000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>ATO Update</w:t>
            </w:r>
          </w:p>
        </w:tc>
        <w:tc>
          <w:tcPr>
            <w:tcW w:w="1069" w:type="pct"/>
          </w:tcPr>
          <w:p w14:paraId="69C109C7" w14:textId="1812B424" w:rsidR="00E66D74" w:rsidRPr="006B7E20" w:rsidRDefault="00E66D74" w:rsidP="00175401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 xml:space="preserve">Jade Hawkins </w:t>
            </w:r>
            <w:r w:rsidRPr="006B7E20">
              <w:rPr>
                <w:rFonts w:eastAsia="Times New Roman" w:cstheme="minorHAnsi"/>
                <w:szCs w:val="22"/>
                <w:lang w:eastAsia="en-AU"/>
              </w:rPr>
              <w:br/>
            </w:r>
          </w:p>
        </w:tc>
        <w:tc>
          <w:tcPr>
            <w:tcW w:w="711" w:type="pct"/>
          </w:tcPr>
          <w:p w14:paraId="2DA0FEFF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ATO</w:t>
            </w:r>
          </w:p>
        </w:tc>
      </w:tr>
      <w:tr w:rsidR="00E66D74" w:rsidRPr="006B7E20" w14:paraId="26D4C9FF" w14:textId="77777777" w:rsidTr="00E66D74">
        <w:trPr>
          <w:trHeight w:val="113"/>
        </w:trPr>
        <w:tc>
          <w:tcPr>
            <w:tcW w:w="3220" w:type="pct"/>
          </w:tcPr>
          <w:p w14:paraId="51397CB8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60" w:line="25" w:lineRule="atLeast"/>
              <w:rPr>
                <w:rFonts w:eastAsia="Times New Roman" w:cstheme="minorHAnsi"/>
                <w:b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 xml:space="preserve">Program Guidance </w:t>
            </w:r>
          </w:p>
          <w:p w14:paraId="2572832D" w14:textId="4A104F5D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New software guide – an industry perspective</w:t>
            </w:r>
          </w:p>
          <w:p w14:paraId="465B23F2" w14:textId="7E1F020E" w:rsidR="005160C6" w:rsidRPr="006B7E20" w:rsidRDefault="005160C6" w:rsidP="006B7E20">
            <w:pPr>
              <w:spacing w:before="60" w:after="60" w:line="25" w:lineRule="atLeast"/>
              <w:rPr>
                <w:lang w:eastAsia="en-AU"/>
              </w:rPr>
            </w:pPr>
          </w:p>
          <w:p w14:paraId="4354C9A8" w14:textId="77777777" w:rsidR="00BA3B57" w:rsidRPr="006B7E20" w:rsidRDefault="00BA3B57" w:rsidP="006B7E20">
            <w:pPr>
              <w:spacing w:before="60" w:after="60" w:line="25" w:lineRule="atLeast"/>
              <w:rPr>
                <w:lang w:eastAsia="en-AU"/>
              </w:rPr>
            </w:pPr>
          </w:p>
          <w:p w14:paraId="3AB2F2F2" w14:textId="77777777" w:rsidR="005160C6" w:rsidRPr="006B7E20" w:rsidRDefault="005160C6" w:rsidP="006B7E20">
            <w:pPr>
              <w:spacing w:before="60" w:after="60" w:line="25" w:lineRule="atLeast"/>
              <w:rPr>
                <w:rFonts w:eastAsia="Times New Roman" w:cstheme="minorHAnsi"/>
                <w:szCs w:val="22"/>
                <w:lang w:eastAsia="en-AU"/>
              </w:rPr>
            </w:pPr>
          </w:p>
          <w:p w14:paraId="351F1124" w14:textId="068C0924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Discussion</w:t>
            </w:r>
            <w:r w:rsidR="00BA3B57" w:rsidRPr="006B7E20">
              <w:rPr>
                <w:rFonts w:eastAsia="Times New Roman" w:cstheme="minorHAnsi"/>
                <w:szCs w:val="22"/>
                <w:lang w:eastAsia="en-AU"/>
              </w:rPr>
              <w:t>: impact of COVID-19 on business R&amp;D and innovation</w:t>
            </w:r>
          </w:p>
        </w:tc>
        <w:tc>
          <w:tcPr>
            <w:tcW w:w="1069" w:type="pct"/>
          </w:tcPr>
          <w:p w14:paraId="03E169F9" w14:textId="77777777" w:rsidR="00E66D74" w:rsidRPr="006B7E20" w:rsidRDefault="00E66D74" w:rsidP="0018509B">
            <w:pPr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i/>
                <w:szCs w:val="22"/>
                <w:lang w:eastAsia="en-AU"/>
              </w:rPr>
              <w:t>Guest Speaker</w:t>
            </w:r>
            <w:r w:rsidRPr="006B7E20">
              <w:rPr>
                <w:rFonts w:eastAsia="Times New Roman" w:cstheme="minorHAnsi"/>
                <w:szCs w:val="22"/>
                <w:lang w:eastAsia="en-AU"/>
              </w:rPr>
              <w:br/>
              <w:t>Kate Pounder, CEO, Technology Council of Australia</w:t>
            </w:r>
          </w:p>
          <w:p w14:paraId="79AB2B67" w14:textId="699B3C6F" w:rsidR="00E66D74" w:rsidRPr="006B7E20" w:rsidRDefault="00E66D74" w:rsidP="00175401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Jade Hawkins &amp; Tim Myatt</w:t>
            </w:r>
          </w:p>
        </w:tc>
        <w:tc>
          <w:tcPr>
            <w:tcW w:w="711" w:type="pct"/>
          </w:tcPr>
          <w:p w14:paraId="36AD063B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ATO</w:t>
            </w:r>
          </w:p>
        </w:tc>
      </w:tr>
      <w:tr w:rsidR="00E66D74" w:rsidRPr="006B7E20" w14:paraId="37033139" w14:textId="77777777" w:rsidTr="00E66D74">
        <w:trPr>
          <w:trHeight w:val="113"/>
        </w:trPr>
        <w:tc>
          <w:tcPr>
            <w:tcW w:w="3220" w:type="pct"/>
          </w:tcPr>
          <w:p w14:paraId="089550DE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0" w:line="25" w:lineRule="atLeast"/>
              <w:contextualSpacing w:val="0"/>
              <w:rPr>
                <w:rFonts w:eastAsia="Times New Roman" w:cstheme="minorHAnsi"/>
                <w:b/>
                <w:color w:val="C00000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 xml:space="preserve">Open Discussion </w:t>
            </w:r>
          </w:p>
          <w:p w14:paraId="634C12D6" w14:textId="602FAB96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 xml:space="preserve">Impact of COVID-19 on business R&amp;D and innovation </w:t>
            </w:r>
          </w:p>
        </w:tc>
        <w:tc>
          <w:tcPr>
            <w:tcW w:w="1069" w:type="pct"/>
          </w:tcPr>
          <w:p w14:paraId="787B92CD" w14:textId="7DF1350D" w:rsidR="00E66D74" w:rsidRPr="006B7E20" w:rsidRDefault="00E66D74" w:rsidP="00175401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Jade Hawkins &amp;</w:t>
            </w:r>
            <w:r w:rsidRPr="006B7E20">
              <w:rPr>
                <w:rFonts w:eastAsia="Times New Roman" w:cstheme="minorHAnsi"/>
                <w:szCs w:val="22"/>
                <w:lang w:eastAsia="en-AU"/>
              </w:rPr>
              <w:br/>
              <w:t>Tim Myatt</w:t>
            </w:r>
          </w:p>
        </w:tc>
        <w:tc>
          <w:tcPr>
            <w:tcW w:w="711" w:type="pct"/>
          </w:tcPr>
          <w:p w14:paraId="37BBB45D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ATO &amp; AusIndustry</w:t>
            </w:r>
          </w:p>
        </w:tc>
      </w:tr>
      <w:tr w:rsidR="00E66D74" w:rsidRPr="006B7E20" w14:paraId="74D8F29E" w14:textId="77777777" w:rsidTr="00E66D74">
        <w:trPr>
          <w:trHeight w:val="113"/>
        </w:trPr>
        <w:tc>
          <w:tcPr>
            <w:tcW w:w="3220" w:type="pct"/>
          </w:tcPr>
          <w:p w14:paraId="1E112976" w14:textId="77777777" w:rsidR="00E66D74" w:rsidRPr="006B7E20" w:rsidRDefault="00E66D74" w:rsidP="00E66D74">
            <w:pPr>
              <w:pStyle w:val="ListParagraph"/>
              <w:numPr>
                <w:ilvl w:val="0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>Other business and close</w:t>
            </w:r>
          </w:p>
          <w:p w14:paraId="1370500A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Other business raised by members</w:t>
            </w:r>
          </w:p>
          <w:p w14:paraId="56BB3DA3" w14:textId="77777777" w:rsidR="00E66D74" w:rsidRPr="006B7E20" w:rsidRDefault="00E66D74" w:rsidP="00E66D74">
            <w:pPr>
              <w:pStyle w:val="ListParagraph"/>
              <w:numPr>
                <w:ilvl w:val="1"/>
                <w:numId w:val="5"/>
              </w:numPr>
              <w:spacing w:before="60" w:after="60" w:line="25" w:lineRule="atLeast"/>
              <w:contextualSpacing w:val="0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Call for agenda items for the next meeting</w:t>
            </w:r>
          </w:p>
        </w:tc>
        <w:tc>
          <w:tcPr>
            <w:tcW w:w="1069" w:type="pct"/>
          </w:tcPr>
          <w:p w14:paraId="68388448" w14:textId="77777777" w:rsidR="00E66D74" w:rsidRPr="006B7E20" w:rsidRDefault="00E66D74" w:rsidP="0018509B">
            <w:pPr>
              <w:spacing w:after="60" w:line="25" w:lineRule="atLeast"/>
              <w:rPr>
                <w:rFonts w:eastAsia="Times New Roman" w:cstheme="minorHAnsi"/>
                <w:szCs w:val="22"/>
                <w:lang w:eastAsia="en-AU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Jade Hawkins</w:t>
            </w:r>
          </w:p>
          <w:p w14:paraId="5B37B7D7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</w:p>
        </w:tc>
        <w:tc>
          <w:tcPr>
            <w:tcW w:w="711" w:type="pct"/>
          </w:tcPr>
          <w:p w14:paraId="03948C59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szCs w:val="22"/>
                <w:lang w:eastAsia="en-AU"/>
              </w:rPr>
              <w:t>ATO</w:t>
            </w:r>
          </w:p>
        </w:tc>
      </w:tr>
      <w:tr w:rsidR="00E66D74" w:rsidRPr="006B7E20" w14:paraId="7439BAD8" w14:textId="77777777" w:rsidTr="00E66D74">
        <w:trPr>
          <w:trHeight w:val="113"/>
        </w:trPr>
        <w:tc>
          <w:tcPr>
            <w:tcW w:w="3220" w:type="pct"/>
          </w:tcPr>
          <w:p w14:paraId="5F448AC7" w14:textId="77777777" w:rsidR="00E66D74" w:rsidRPr="006B7E20" w:rsidRDefault="00E66D74" w:rsidP="0018509B">
            <w:pPr>
              <w:jc w:val="right"/>
              <w:rPr>
                <w:rFonts w:cstheme="minorHAnsi"/>
                <w:szCs w:val="22"/>
              </w:rPr>
            </w:pPr>
            <w:r w:rsidRPr="006B7E20">
              <w:rPr>
                <w:rFonts w:eastAsia="Times New Roman" w:cstheme="minorHAnsi"/>
                <w:b/>
                <w:szCs w:val="22"/>
                <w:lang w:eastAsia="en-AU"/>
              </w:rPr>
              <w:t>Meeting Close</w:t>
            </w:r>
          </w:p>
        </w:tc>
        <w:tc>
          <w:tcPr>
            <w:tcW w:w="1069" w:type="pct"/>
          </w:tcPr>
          <w:p w14:paraId="638CE32F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</w:p>
        </w:tc>
        <w:tc>
          <w:tcPr>
            <w:tcW w:w="711" w:type="pct"/>
          </w:tcPr>
          <w:p w14:paraId="2EF47BAF" w14:textId="77777777" w:rsidR="00E66D74" w:rsidRPr="006B7E20" w:rsidRDefault="00E66D74" w:rsidP="0018509B">
            <w:pPr>
              <w:rPr>
                <w:rFonts w:cstheme="minorHAnsi"/>
                <w:szCs w:val="22"/>
              </w:rPr>
            </w:pPr>
          </w:p>
        </w:tc>
      </w:tr>
    </w:tbl>
    <w:p w14:paraId="3AE91DC7" w14:textId="77777777" w:rsidR="00327BBC" w:rsidRDefault="00327BBC" w:rsidP="00710E8D">
      <w:bookmarkStart w:id="10" w:name="_Toc42610889"/>
      <w:bookmarkEnd w:id="10"/>
    </w:p>
    <w:p w14:paraId="4F4E76B8" w14:textId="77777777" w:rsidR="00327BBC" w:rsidRDefault="00327BBC" w:rsidP="00327BBC">
      <w:pPr>
        <w:rPr>
          <w:rFonts w:asciiTheme="majorHAnsi" w:eastAsiaTheme="majorEastAsia" w:hAnsiTheme="majorHAnsi" w:cstheme="majorBidi"/>
          <w:color w:val="212A4C" w:themeColor="text2"/>
          <w:sz w:val="28"/>
          <w:szCs w:val="26"/>
        </w:rPr>
      </w:pPr>
      <w:r>
        <w:br w:type="page"/>
      </w:r>
    </w:p>
    <w:p w14:paraId="08E9F2F8" w14:textId="1C2840E6" w:rsidR="00B17E75" w:rsidRDefault="00327BBC" w:rsidP="00B17E75">
      <w:pPr>
        <w:pStyle w:val="Heading2"/>
      </w:pPr>
      <w:r>
        <w:lastRenderedPageBreak/>
        <w:t>Welcome from chair</w:t>
      </w:r>
      <w:r w:rsidR="00B17E75">
        <w:t xml:space="preserve"> (Jade Hawkins)</w:t>
      </w:r>
    </w:p>
    <w:p w14:paraId="3ED55792" w14:textId="77777777" w:rsidR="00161711" w:rsidRDefault="00B17E75" w:rsidP="00E66D74">
      <w:pPr>
        <w:pStyle w:val="ListParagraph"/>
        <w:numPr>
          <w:ilvl w:val="0"/>
          <w:numId w:val="8"/>
        </w:numPr>
      </w:pPr>
      <w:r>
        <w:t>The chair welcomed attendees and Tim Myatt (</w:t>
      </w:r>
      <w:r w:rsidR="00BC1743">
        <w:t>AusIndu</w:t>
      </w:r>
      <w:r>
        <w:t>stry) as co-chair for the meeting</w:t>
      </w:r>
      <w:r w:rsidR="00161711">
        <w:t>.</w:t>
      </w:r>
    </w:p>
    <w:p w14:paraId="4DD6F7E2" w14:textId="46009717" w:rsidR="00B17E75" w:rsidRDefault="00161711" w:rsidP="00E66D74">
      <w:pPr>
        <w:pStyle w:val="ListParagraph"/>
        <w:numPr>
          <w:ilvl w:val="0"/>
          <w:numId w:val="8"/>
        </w:numPr>
      </w:pPr>
      <w:r>
        <w:t>A</w:t>
      </w:r>
      <w:r w:rsidR="00B17E75">
        <w:t xml:space="preserve">pologies </w:t>
      </w:r>
      <w:r>
        <w:t xml:space="preserve">were conveyed </w:t>
      </w:r>
      <w:r w:rsidR="00B17E75">
        <w:t xml:space="preserve">for Kirsty </w:t>
      </w:r>
      <w:proofErr w:type="spellStart"/>
      <w:r w:rsidR="00B17E75">
        <w:t>Gowans</w:t>
      </w:r>
      <w:proofErr w:type="spellEnd"/>
      <w:r w:rsidR="00B17E75">
        <w:t xml:space="preserve"> who was unable to attend. </w:t>
      </w:r>
    </w:p>
    <w:p w14:paraId="6A160EDC" w14:textId="7FEE32C6" w:rsidR="00B17E75" w:rsidRPr="00C54AEB" w:rsidRDefault="004D3D10" w:rsidP="00E66D74">
      <w:pPr>
        <w:pStyle w:val="ListParagraph"/>
        <w:numPr>
          <w:ilvl w:val="0"/>
          <w:numId w:val="8"/>
        </w:numPr>
      </w:pPr>
      <w:r>
        <w:t>Action item arising from the September 2021 Roundtable:</w:t>
      </w:r>
    </w:p>
    <w:p w14:paraId="292B2126" w14:textId="77777777" w:rsidR="00B17E75" w:rsidRDefault="00B17E75" w:rsidP="00E66D74">
      <w:pPr>
        <w:pStyle w:val="ListParagraph"/>
        <w:numPr>
          <w:ilvl w:val="1"/>
          <w:numId w:val="7"/>
        </w:numPr>
      </w:pPr>
      <w:r w:rsidRPr="000A3FA8">
        <w:t xml:space="preserve">To provide a response on </w:t>
      </w:r>
      <w:r>
        <w:t>a</w:t>
      </w:r>
      <w:r w:rsidRPr="000A3FA8">
        <w:t xml:space="preserve"> member </w:t>
      </w:r>
      <w:r>
        <w:t>request to</w:t>
      </w:r>
      <w:r w:rsidRPr="000A3FA8">
        <w:t xml:space="preserve"> lodge extension </w:t>
      </w:r>
      <w:r>
        <w:t xml:space="preserve">of time </w:t>
      </w:r>
      <w:r w:rsidRPr="000A3FA8">
        <w:t>requests via email to AusIndustry for the first year or two following the launch of the new portal.</w:t>
      </w:r>
    </w:p>
    <w:p w14:paraId="76A372B0" w14:textId="77777777" w:rsidR="00B17E75" w:rsidRPr="000A3FA8" w:rsidRDefault="00B17E75" w:rsidP="00E66D74">
      <w:pPr>
        <w:pStyle w:val="ListParagraph"/>
        <w:numPr>
          <w:ilvl w:val="1"/>
          <w:numId w:val="7"/>
        </w:numPr>
      </w:pPr>
      <w:r w:rsidRPr="000A3FA8">
        <w:t xml:space="preserve">Response sent to Roundtable members on 3 September 2021 </w:t>
      </w:r>
      <w:r>
        <w:t xml:space="preserve">advising </w:t>
      </w:r>
      <w:r w:rsidRPr="000A3FA8">
        <w:t xml:space="preserve">that all extension of time requests must be made through the portal in order to be processed. Email requests </w:t>
      </w:r>
      <w:r>
        <w:t xml:space="preserve">will </w:t>
      </w:r>
      <w:r w:rsidRPr="000A3FA8">
        <w:t xml:space="preserve">not </w:t>
      </w:r>
      <w:r>
        <w:t xml:space="preserve">be </w:t>
      </w:r>
      <w:r w:rsidRPr="000A3FA8">
        <w:t>accepted.</w:t>
      </w:r>
    </w:p>
    <w:p w14:paraId="7773B981" w14:textId="354C0519" w:rsidR="00B17E75" w:rsidRDefault="004D3D10" w:rsidP="00327BBC">
      <w:pPr>
        <w:pStyle w:val="Heading2"/>
      </w:pPr>
      <w:r>
        <w:t>AusIndustry Update (Tim Myatt)</w:t>
      </w:r>
    </w:p>
    <w:p w14:paraId="575DA084" w14:textId="0FAE999C" w:rsidR="007E4FBD" w:rsidRDefault="007E4FBD" w:rsidP="00E66D74">
      <w:pPr>
        <w:pStyle w:val="ListParagraph"/>
        <w:numPr>
          <w:ilvl w:val="0"/>
          <w:numId w:val="7"/>
        </w:numPr>
      </w:pPr>
      <w:r>
        <w:t xml:space="preserve">Tim Myatt advised that </w:t>
      </w:r>
      <w:r w:rsidR="00A531FD">
        <w:t xml:space="preserve">a </w:t>
      </w:r>
      <w:r w:rsidR="00271222">
        <w:t xml:space="preserve">R&amp;D Tax Incentive (R&amp;DTI) </w:t>
      </w:r>
      <w:r w:rsidR="00A531FD">
        <w:t xml:space="preserve">program update was presented </w:t>
      </w:r>
      <w:r>
        <w:t>in a new format for the Roundtable (</w:t>
      </w:r>
      <w:r w:rsidR="00161711">
        <w:t xml:space="preserve">refer to </w:t>
      </w:r>
      <w:r>
        <w:t xml:space="preserve">appendix A) </w:t>
      </w:r>
      <w:r w:rsidR="00A531FD">
        <w:t xml:space="preserve">which </w:t>
      </w:r>
      <w:r>
        <w:t xml:space="preserve">had been </w:t>
      </w:r>
      <w:r w:rsidR="00B870E6">
        <w:t xml:space="preserve">provided in a written format and </w:t>
      </w:r>
      <w:r>
        <w:t xml:space="preserve">sent to </w:t>
      </w:r>
      <w:r w:rsidR="00271222">
        <w:t xml:space="preserve">Roundtable </w:t>
      </w:r>
      <w:r w:rsidR="006B7E20">
        <w:t>m</w:t>
      </w:r>
      <w:r w:rsidR="00271222">
        <w:t xml:space="preserve">embers </w:t>
      </w:r>
      <w:r>
        <w:t xml:space="preserve">ahead of the </w:t>
      </w:r>
      <w:r w:rsidR="00B870E6">
        <w:t>meeting</w:t>
      </w:r>
      <w:r w:rsidR="00A531FD">
        <w:t xml:space="preserve">. He sought </w:t>
      </w:r>
      <w:r>
        <w:t xml:space="preserve">feedback </w:t>
      </w:r>
      <w:r w:rsidR="00A531FD">
        <w:t>and welcomed</w:t>
      </w:r>
      <w:r>
        <w:t xml:space="preserve"> questions </w:t>
      </w:r>
      <w:r w:rsidR="00A531FD">
        <w:t>on</w:t>
      </w:r>
      <w:r>
        <w:t xml:space="preserve"> this document</w:t>
      </w:r>
      <w:r w:rsidR="00B870E6">
        <w:t>.</w:t>
      </w:r>
    </w:p>
    <w:p w14:paraId="1740A629" w14:textId="6CA3A628" w:rsidR="007E4FBD" w:rsidRDefault="007E4FBD" w:rsidP="00E66D74">
      <w:pPr>
        <w:pStyle w:val="ListParagraph"/>
        <w:numPr>
          <w:ilvl w:val="0"/>
          <w:numId w:val="7"/>
        </w:numPr>
      </w:pPr>
      <w:r>
        <w:t xml:space="preserve">The Board of Taxation review of the R&amp;DTI evaluated the dual-agency administration model and identified opportunities to reduce duplication. The final report was provided to </w:t>
      </w:r>
      <w:r w:rsidR="006B7E20">
        <w:t xml:space="preserve">the </w:t>
      </w:r>
      <w:r>
        <w:t>Government in November 2021.</w:t>
      </w:r>
      <w:r w:rsidR="00A531FD">
        <w:t xml:space="preserve"> No decision has been made </w:t>
      </w:r>
      <w:r w:rsidR="001A3854">
        <w:t xml:space="preserve">by the </w:t>
      </w:r>
      <w:r w:rsidR="00B926D5">
        <w:t>Government</w:t>
      </w:r>
      <w:r w:rsidR="00A531FD">
        <w:t xml:space="preserve"> on w</w:t>
      </w:r>
      <w:r w:rsidR="00B926D5">
        <w:t>hen or if</w:t>
      </w:r>
      <w:r w:rsidR="00A531FD">
        <w:t xml:space="preserve"> </w:t>
      </w:r>
      <w:r w:rsidR="00B926D5">
        <w:t>the report will be released</w:t>
      </w:r>
      <w:r w:rsidR="00A531FD">
        <w:t>.</w:t>
      </w:r>
    </w:p>
    <w:p w14:paraId="1DA0FFA7" w14:textId="35F7B1B6" w:rsidR="007E4FBD" w:rsidRDefault="007E4FBD" w:rsidP="00E66D74">
      <w:pPr>
        <w:pStyle w:val="ListParagraph"/>
        <w:numPr>
          <w:ilvl w:val="0"/>
          <w:numId w:val="7"/>
        </w:numPr>
      </w:pPr>
      <w:r>
        <w:t>The Australian National Audit Office (ANAO) examined the R&amp;DTI with regard to effective registration, eligibility review and compliance arrangements. This report was published in November 2021</w:t>
      </w:r>
      <w:r w:rsidR="00A531FD">
        <w:t>. T</w:t>
      </w:r>
      <w:r w:rsidR="003C5346">
        <w:t>here were three recommendations</w:t>
      </w:r>
      <w:r>
        <w:t xml:space="preserve"> </w:t>
      </w:r>
      <w:r w:rsidR="003C5346">
        <w:t xml:space="preserve">and a number of findings for the joint administrators to consider. </w:t>
      </w:r>
      <w:r w:rsidR="00BC1743">
        <w:t>The full report is available on the ANAO website.</w:t>
      </w:r>
    </w:p>
    <w:p w14:paraId="1A5A1470" w14:textId="637F3698" w:rsidR="003C5346" w:rsidRDefault="003C5346" w:rsidP="00E66D74">
      <w:pPr>
        <w:pStyle w:val="ListParagraph"/>
        <w:numPr>
          <w:ilvl w:val="0"/>
          <w:numId w:val="7"/>
        </w:numPr>
      </w:pPr>
      <w:r>
        <w:t xml:space="preserve">For entities with a financial year ending on 30 June 2021 the registration deadline is Tuesday, 3 May 2022. This date has been amended as 30 April falls on a Saturday and the following Monday is a public holiday in Queensland and the Northern Territory. </w:t>
      </w:r>
    </w:p>
    <w:p w14:paraId="6A2DE0A4" w14:textId="737D49E7" w:rsidR="003C5346" w:rsidRDefault="003C5346" w:rsidP="00710E8D">
      <w:pPr>
        <w:pStyle w:val="ListParagraph"/>
        <w:numPr>
          <w:ilvl w:val="0"/>
          <w:numId w:val="7"/>
        </w:numPr>
      </w:pPr>
      <w:r>
        <w:t>In late February, updates and enhancements were made to the R&amp;DTI customer portal. No further major updates are planned for the remainder of 2022</w:t>
      </w:r>
      <w:r w:rsidR="00B926D5">
        <w:t xml:space="preserve"> financial year</w:t>
      </w:r>
      <w:r>
        <w:t>.</w:t>
      </w:r>
    </w:p>
    <w:p w14:paraId="5EC7756D" w14:textId="07502DEE" w:rsidR="00B870E6" w:rsidRDefault="00B870E6" w:rsidP="00161711">
      <w:pPr>
        <w:pStyle w:val="ListParagraph"/>
        <w:numPr>
          <w:ilvl w:val="0"/>
          <w:numId w:val="7"/>
        </w:numPr>
      </w:pPr>
      <w:r>
        <w:t xml:space="preserve">Large business reviews are undertaken to </w:t>
      </w:r>
      <w:r w:rsidR="00633C41">
        <w:t xml:space="preserve">understand how they self-assess and address any compliance issues. The reviews are undertaken in close collaboration with the ATO to </w:t>
      </w:r>
      <w:r>
        <w:t xml:space="preserve">avoid duplication with their Justified Trust Program. A member requested </w:t>
      </w:r>
      <w:r w:rsidR="00633C41">
        <w:t xml:space="preserve">further discussion. Jade Hawkins agreed to add this to the agenda for the next meeting so that </w:t>
      </w:r>
      <w:r w:rsidR="00271222">
        <w:t xml:space="preserve">an ATO representative from the </w:t>
      </w:r>
      <w:r w:rsidR="00633C41">
        <w:t xml:space="preserve">Justified Trust </w:t>
      </w:r>
      <w:r w:rsidR="00271222">
        <w:t xml:space="preserve">area </w:t>
      </w:r>
      <w:r w:rsidR="00633C41">
        <w:t>could be in attendance to answer questions.</w:t>
      </w:r>
    </w:p>
    <w:p w14:paraId="1F21005A" w14:textId="4296CB16" w:rsidR="003C5346" w:rsidRDefault="003C5346" w:rsidP="003C5346">
      <w:pPr>
        <w:pStyle w:val="Heading2"/>
      </w:pPr>
      <w:r>
        <w:t>Roundtable Working Groups (Tim Myatt)</w:t>
      </w:r>
    </w:p>
    <w:p w14:paraId="138D7EE9" w14:textId="29151E74" w:rsidR="00175401" w:rsidRDefault="003C5346" w:rsidP="00E66D74">
      <w:pPr>
        <w:pStyle w:val="ListParagraph"/>
        <w:numPr>
          <w:ilvl w:val="0"/>
          <w:numId w:val="7"/>
        </w:numPr>
      </w:pPr>
      <w:r w:rsidRPr="00B227FB">
        <w:t>Roundtable members</w:t>
      </w:r>
      <w:r>
        <w:t xml:space="preserve"> will be </w:t>
      </w:r>
      <w:r w:rsidR="0093640A">
        <w:t xml:space="preserve">invited to </w:t>
      </w:r>
      <w:r>
        <w:t>engage</w:t>
      </w:r>
      <w:r w:rsidRPr="00B227FB">
        <w:t xml:space="preserve"> in two separate working groups for a detailed </w:t>
      </w:r>
      <w:r>
        <w:t xml:space="preserve">discussion and input on improvement projects; one related to the advance and overseas finding application process, and the other regarding </w:t>
      </w:r>
      <w:r w:rsidR="00271222">
        <w:t>R</w:t>
      </w:r>
      <w:r>
        <w:t xml:space="preserve">esearch </w:t>
      </w:r>
      <w:r w:rsidR="00271222">
        <w:t>S</w:t>
      </w:r>
      <w:r>
        <w:t xml:space="preserve">ervice </w:t>
      </w:r>
      <w:r w:rsidR="00271222">
        <w:t>P</w:t>
      </w:r>
      <w:r>
        <w:t>roviders</w:t>
      </w:r>
      <w:r w:rsidR="00271222">
        <w:t xml:space="preserve"> (RSPs)</w:t>
      </w:r>
      <w:r>
        <w:t xml:space="preserve">. </w:t>
      </w:r>
    </w:p>
    <w:p w14:paraId="7E7784AC" w14:textId="77777777" w:rsidR="0093640A" w:rsidRDefault="00B17E75" w:rsidP="00710E8D">
      <w:pPr>
        <w:pStyle w:val="ListParagraph"/>
        <w:numPr>
          <w:ilvl w:val="0"/>
          <w:numId w:val="7"/>
        </w:numPr>
      </w:pPr>
      <w:r w:rsidRPr="00984583">
        <w:t xml:space="preserve">A formal </w:t>
      </w:r>
      <w:r>
        <w:t xml:space="preserve">invitation for </w:t>
      </w:r>
      <w:r w:rsidRPr="00984583">
        <w:t>expression</w:t>
      </w:r>
      <w:r>
        <w:t>s</w:t>
      </w:r>
      <w:r w:rsidRPr="00984583">
        <w:t xml:space="preserve"> of interest will be sent to </w:t>
      </w:r>
      <w:r>
        <w:t xml:space="preserve">all </w:t>
      </w:r>
      <w:r w:rsidRPr="00984583">
        <w:t>Roundtable members</w:t>
      </w:r>
      <w:r w:rsidR="0093640A">
        <w:t>.</w:t>
      </w:r>
    </w:p>
    <w:p w14:paraId="7EF9D461" w14:textId="2A3E23B4" w:rsidR="00B17E75" w:rsidRDefault="0093640A" w:rsidP="001571DE">
      <w:pPr>
        <w:pStyle w:val="ListParagraph"/>
        <w:numPr>
          <w:ilvl w:val="0"/>
          <w:numId w:val="7"/>
        </w:numPr>
      </w:pPr>
      <w:r>
        <w:t>The working groups will likely be held in late</w:t>
      </w:r>
      <w:r w:rsidR="00271222">
        <w:t>-</w:t>
      </w:r>
      <w:r>
        <w:t>April/May</w:t>
      </w:r>
      <w:r w:rsidR="00271222">
        <w:t xml:space="preserve"> 2022</w:t>
      </w:r>
      <w:r>
        <w:t>.</w:t>
      </w:r>
    </w:p>
    <w:p w14:paraId="5F21ECC0" w14:textId="77777777" w:rsidR="00175401" w:rsidRDefault="00175401" w:rsidP="00B17E75">
      <w:pPr>
        <w:pStyle w:val="Heading2"/>
      </w:pPr>
      <w:r>
        <w:t>ATO Update (Jade Hawkins)</w:t>
      </w:r>
    </w:p>
    <w:p w14:paraId="0676AE5A" w14:textId="6C623DF2" w:rsidR="00175401" w:rsidRDefault="00175401" w:rsidP="00E66D74">
      <w:pPr>
        <w:pStyle w:val="ListParagraph"/>
        <w:numPr>
          <w:ilvl w:val="0"/>
          <w:numId w:val="7"/>
        </w:numPr>
      </w:pPr>
      <w:r>
        <w:t>T</w:t>
      </w:r>
      <w:r w:rsidR="00BC1743">
        <w:t xml:space="preserve">he chair, Jade Hawkins, </w:t>
      </w:r>
      <w:r>
        <w:t>acknowledged the impact of flooding in Queensland and New South Wales</w:t>
      </w:r>
      <w:r w:rsidR="0093640A">
        <w:t>. I</w:t>
      </w:r>
      <w:r>
        <w:t xml:space="preserve">nformation about </w:t>
      </w:r>
      <w:r w:rsidR="0093640A">
        <w:t xml:space="preserve">ATO </w:t>
      </w:r>
      <w:r>
        <w:t>support</w:t>
      </w:r>
      <w:r w:rsidR="00271222">
        <w:t xml:space="preserve"> is</w:t>
      </w:r>
      <w:r>
        <w:t xml:space="preserve"> available on ato.gov.au</w:t>
      </w:r>
      <w:r w:rsidR="0093640A">
        <w:t>. Members were also invited to contact Brett Challans directly if specific assistance was required.</w:t>
      </w:r>
    </w:p>
    <w:p w14:paraId="19DFDF56" w14:textId="48A83B89" w:rsidR="00BC1743" w:rsidRDefault="0093640A" w:rsidP="00E66D74">
      <w:pPr>
        <w:pStyle w:val="ListParagraph"/>
        <w:numPr>
          <w:ilvl w:val="0"/>
          <w:numId w:val="7"/>
        </w:numPr>
      </w:pPr>
      <w:r>
        <w:lastRenderedPageBreak/>
        <w:t>T</w:t>
      </w:r>
      <w:r w:rsidR="00175401">
        <w:t xml:space="preserve">axation ruling </w:t>
      </w:r>
      <w:r>
        <w:t xml:space="preserve">TR </w:t>
      </w:r>
      <w:r w:rsidR="00175401">
        <w:t xml:space="preserve">2021/5, the “At Risk” rule has been published along with determination </w:t>
      </w:r>
      <w:r>
        <w:t xml:space="preserve">TD </w:t>
      </w:r>
      <w:r w:rsidR="00175401">
        <w:t xml:space="preserve">2021/9 </w:t>
      </w:r>
      <w:r w:rsidR="00BC1743">
        <w:t>which focuses on notional deductions for R&amp;D activities subsidised by Job Keeper</w:t>
      </w:r>
      <w:r>
        <w:t>.</w:t>
      </w:r>
    </w:p>
    <w:p w14:paraId="76E674CE" w14:textId="5B7F6E96" w:rsidR="00BC1743" w:rsidRDefault="00BC1743" w:rsidP="00E66D74">
      <w:pPr>
        <w:pStyle w:val="ListParagraph"/>
        <w:numPr>
          <w:ilvl w:val="0"/>
          <w:numId w:val="7"/>
        </w:numPr>
      </w:pPr>
      <w:r>
        <w:t>The ATO are working on implementing the recommendation from the ANAO report regarding the monitoring of compliance approach</w:t>
      </w:r>
      <w:r w:rsidR="0093640A">
        <w:t>.</w:t>
      </w:r>
    </w:p>
    <w:p w14:paraId="194220FF" w14:textId="6F052327" w:rsidR="00BC1743" w:rsidRDefault="0093640A" w:rsidP="00E66D74">
      <w:pPr>
        <w:pStyle w:val="ListParagraph"/>
        <w:numPr>
          <w:ilvl w:val="0"/>
          <w:numId w:val="7"/>
        </w:numPr>
      </w:pPr>
      <w:r>
        <w:t>Further guidance on the l</w:t>
      </w:r>
      <w:r w:rsidR="00BC1743">
        <w:t>egislati</w:t>
      </w:r>
      <w:r w:rsidR="00082993">
        <w:t>ve</w:t>
      </w:r>
      <w:r w:rsidR="00BC1743">
        <w:t xml:space="preserve"> reforms</w:t>
      </w:r>
      <w:r w:rsidR="00082993">
        <w:t xml:space="preserve"> </w:t>
      </w:r>
      <w:r>
        <w:t xml:space="preserve">that </w:t>
      </w:r>
      <w:r w:rsidR="00082993">
        <w:t>take effect from 1 July 2022</w:t>
      </w:r>
      <w:r>
        <w:t xml:space="preserve"> </w:t>
      </w:r>
      <w:r w:rsidR="00082993">
        <w:t xml:space="preserve">will be published on </w:t>
      </w:r>
      <w:r w:rsidR="003A0820">
        <w:t>ato.gov.au</w:t>
      </w:r>
      <w:r>
        <w:t>.</w:t>
      </w:r>
    </w:p>
    <w:p w14:paraId="65065B82" w14:textId="2CEC88E2" w:rsidR="00082993" w:rsidRDefault="00082993" w:rsidP="00710E8D">
      <w:pPr>
        <w:pStyle w:val="ListParagraph"/>
        <w:numPr>
          <w:ilvl w:val="0"/>
          <w:numId w:val="7"/>
        </w:numPr>
        <w:spacing w:before="0" w:after="200" w:line="276" w:lineRule="auto"/>
      </w:pPr>
      <w:r w:rsidRPr="00CE72DA">
        <w:t xml:space="preserve">The ATO is reviewing </w:t>
      </w:r>
      <w:r w:rsidR="009D2A6D">
        <w:t>is</w:t>
      </w:r>
      <w:r w:rsidRPr="00CE72DA">
        <w:t xml:space="preserve"> website content including guidance products. The website will be restructured to present information in a modular format and search functions will be improved. Guidance will be presented on the website to enable real</w:t>
      </w:r>
      <w:r w:rsidR="00271222">
        <w:t>-</w:t>
      </w:r>
      <w:r w:rsidRPr="00CE72DA">
        <w:t>time updates.</w:t>
      </w:r>
      <w:r w:rsidR="009D2A6D">
        <w:t xml:space="preserve"> Additional guidance will be offered on record keeping, payments to associates, apportionment, and the nexus between expenditure and activities.</w:t>
      </w:r>
    </w:p>
    <w:p w14:paraId="7A1CA4AC" w14:textId="04191D72" w:rsidR="00B17E75" w:rsidRDefault="00BC1743" w:rsidP="00B17E75">
      <w:pPr>
        <w:pStyle w:val="Heading2"/>
      </w:pPr>
      <w:r>
        <w:t>Program Guidance (Jade Hawkins, Tim Myatt &amp; Kate Pounder)</w:t>
      </w:r>
    </w:p>
    <w:p w14:paraId="0820E0DE" w14:textId="6E9FC139" w:rsidR="00082993" w:rsidRDefault="00082993" w:rsidP="00E66D74">
      <w:pPr>
        <w:pStyle w:val="ListParagraph"/>
        <w:numPr>
          <w:ilvl w:val="0"/>
          <w:numId w:val="7"/>
        </w:numPr>
      </w:pPr>
      <w:r>
        <w:t xml:space="preserve">The chair welcomed Kate Pounder, CEO, </w:t>
      </w:r>
      <w:proofErr w:type="gramStart"/>
      <w:r>
        <w:t>Tech</w:t>
      </w:r>
      <w:proofErr w:type="gramEnd"/>
      <w:r>
        <w:t xml:space="preserve"> Council Australia (TCA). </w:t>
      </w:r>
      <w:r w:rsidR="00271222">
        <w:t xml:space="preserve">The </w:t>
      </w:r>
      <w:r>
        <w:t xml:space="preserve">TCA </w:t>
      </w:r>
      <w:r w:rsidR="00271222">
        <w:t>has been working closely with DISER and the ATO</w:t>
      </w:r>
      <w:r w:rsidR="00B17E75">
        <w:t xml:space="preserve"> in the developing new software guidance </w:t>
      </w:r>
      <w:r w:rsidR="00B17E75" w:rsidRPr="00082993">
        <w:t>'Software-related activities and the Research &amp; Development Tax Incentive'</w:t>
      </w:r>
      <w:r w:rsidR="00B17E75">
        <w:t xml:space="preserve"> </w:t>
      </w:r>
      <w:r>
        <w:t xml:space="preserve">which </w:t>
      </w:r>
      <w:r w:rsidR="00F518BC">
        <w:t>is expected to</w:t>
      </w:r>
      <w:r w:rsidR="00F518BC" w:rsidRPr="003A2994">
        <w:t xml:space="preserve"> </w:t>
      </w:r>
      <w:r w:rsidR="00B17E75" w:rsidRPr="003A2994">
        <w:t>be released late</w:t>
      </w:r>
      <w:r w:rsidR="00F518BC">
        <w:t>-March 2022</w:t>
      </w:r>
      <w:r w:rsidR="00B17E75">
        <w:t xml:space="preserve">. </w:t>
      </w:r>
    </w:p>
    <w:p w14:paraId="38BAD91F" w14:textId="319D5B4C" w:rsidR="00B17E75" w:rsidRDefault="00B17E75" w:rsidP="00E66D74">
      <w:pPr>
        <w:pStyle w:val="ListParagraph"/>
        <w:numPr>
          <w:ilvl w:val="0"/>
          <w:numId w:val="7"/>
        </w:numPr>
      </w:pPr>
      <w:r>
        <w:t>Kate Pounder</w:t>
      </w:r>
      <w:r w:rsidR="00082993">
        <w:t xml:space="preserve"> shared </w:t>
      </w:r>
      <w:r>
        <w:t>an industry perspective on the new guide and its development process.</w:t>
      </w:r>
      <w:r w:rsidR="00327BBC">
        <w:t xml:space="preserve"> The key points were:</w:t>
      </w:r>
    </w:p>
    <w:p w14:paraId="785DD553" w14:textId="01C48D64" w:rsidR="00327BBC" w:rsidRDefault="00327BBC" w:rsidP="00E66D74">
      <w:pPr>
        <w:pStyle w:val="Bullet1"/>
        <w:numPr>
          <w:ilvl w:val="1"/>
          <w:numId w:val="7"/>
        </w:numPr>
      </w:pPr>
      <w:r>
        <w:t>It can be difficult to apply traditional definitions of R&amp;D to software</w:t>
      </w:r>
      <w:r w:rsidR="00F518BC">
        <w:t>-</w:t>
      </w:r>
      <w:r>
        <w:t>related development</w:t>
      </w:r>
    </w:p>
    <w:p w14:paraId="03B65419" w14:textId="77777777" w:rsidR="00327BBC" w:rsidRDefault="00327BBC" w:rsidP="00E66D74">
      <w:pPr>
        <w:pStyle w:val="Bullet1"/>
        <w:numPr>
          <w:ilvl w:val="1"/>
          <w:numId w:val="7"/>
        </w:numPr>
      </w:pPr>
      <w:r>
        <w:t>The aim of this guidance was to provide more clarity around the requirements where companies consistently struggle.</w:t>
      </w:r>
      <w:r w:rsidRPr="00327BBC">
        <w:t xml:space="preserve"> </w:t>
      </w:r>
    </w:p>
    <w:p w14:paraId="6D9799C9" w14:textId="499C0E89" w:rsidR="00327BBC" w:rsidRDefault="00327BBC" w:rsidP="00E66D74">
      <w:pPr>
        <w:pStyle w:val="Bullet1"/>
        <w:numPr>
          <w:ilvl w:val="1"/>
          <w:numId w:val="7"/>
        </w:numPr>
      </w:pPr>
      <w:r>
        <w:t>The process started by identifying innovative companies and working out the points of confusion.</w:t>
      </w:r>
    </w:p>
    <w:p w14:paraId="6BF3A16A" w14:textId="31FD2457" w:rsidR="00327BBC" w:rsidRDefault="00327BBC" w:rsidP="00E66D74">
      <w:pPr>
        <w:pStyle w:val="Bullet1"/>
        <w:numPr>
          <w:ilvl w:val="1"/>
          <w:numId w:val="7"/>
        </w:numPr>
      </w:pPr>
      <w:r>
        <w:t>The revised guide aim</w:t>
      </w:r>
      <w:r w:rsidR="00F518BC">
        <w:t>s</w:t>
      </w:r>
      <w:r>
        <w:t xml:space="preserve"> to use plain English, provide practical examples and speak to industry.</w:t>
      </w:r>
    </w:p>
    <w:p w14:paraId="7C8440D6" w14:textId="2943C53D" w:rsidR="00327BBC" w:rsidRDefault="00327BBC" w:rsidP="00E66D74">
      <w:pPr>
        <w:pStyle w:val="Bullet1"/>
        <w:numPr>
          <w:ilvl w:val="1"/>
          <w:numId w:val="7"/>
        </w:numPr>
      </w:pPr>
      <w:r>
        <w:t>The collaborative process focused on addressing the areas of uncertainty</w:t>
      </w:r>
      <w:r w:rsidR="009D2A6D">
        <w:t>.</w:t>
      </w:r>
    </w:p>
    <w:p w14:paraId="78B85025" w14:textId="1606C8AF" w:rsidR="00327BBC" w:rsidRDefault="00F518BC" w:rsidP="00E66D74">
      <w:pPr>
        <w:pStyle w:val="Bullet1"/>
        <w:numPr>
          <w:ilvl w:val="1"/>
          <w:numId w:val="7"/>
        </w:numPr>
      </w:pPr>
      <w:r>
        <w:t>The TCA believes a</w:t>
      </w:r>
      <w:r w:rsidR="00327BBC">
        <w:t xml:space="preserve"> review of the definition of </w:t>
      </w:r>
      <w:r>
        <w:t>‘</w:t>
      </w:r>
      <w:r w:rsidR="00327BBC">
        <w:t>R&amp;D</w:t>
      </w:r>
      <w:r>
        <w:t xml:space="preserve"> activities’</w:t>
      </w:r>
      <w:r w:rsidR="00327BBC">
        <w:t xml:space="preserve">, particularly in regard to the systematic progression of work would be beneficial. </w:t>
      </w:r>
      <w:r w:rsidR="006B7E20">
        <w:t>Kate s</w:t>
      </w:r>
      <w:r>
        <w:t>uggested that a</w:t>
      </w:r>
      <w:r w:rsidR="00327BBC">
        <w:t xml:space="preserve"> minor change could be made that does not dilute the intent of the current legislation but could provide more clarity. </w:t>
      </w:r>
    </w:p>
    <w:p w14:paraId="51E785C4" w14:textId="77777777" w:rsidR="00327BBC" w:rsidRDefault="00327BBC" w:rsidP="00E66D74">
      <w:pPr>
        <w:pStyle w:val="Bullet1"/>
        <w:numPr>
          <w:ilvl w:val="1"/>
          <w:numId w:val="7"/>
        </w:numPr>
      </w:pPr>
      <w:r>
        <w:t>Kate thanked AusIndustry and the ATO for their collaboration.</w:t>
      </w:r>
    </w:p>
    <w:p w14:paraId="07B599E2" w14:textId="2E71B883" w:rsidR="00327BBC" w:rsidRDefault="00327BBC" w:rsidP="00E66D74">
      <w:pPr>
        <w:pStyle w:val="ListParagraph"/>
        <w:numPr>
          <w:ilvl w:val="0"/>
          <w:numId w:val="7"/>
        </w:numPr>
      </w:pPr>
      <w:r>
        <w:t xml:space="preserve">The co-chairs and guest speaker facilitated a discussion on the </w:t>
      </w:r>
      <w:r w:rsidR="004A1899">
        <w:t>revised</w:t>
      </w:r>
      <w:r>
        <w:t xml:space="preserve"> software guidance and </w:t>
      </w:r>
      <w:r w:rsidR="004A1899">
        <w:t xml:space="preserve">other areas of </w:t>
      </w:r>
      <w:r>
        <w:t xml:space="preserve">guidance. A summary of </w:t>
      </w:r>
      <w:r w:rsidR="00D74D1D">
        <w:t xml:space="preserve">the discussion </w:t>
      </w:r>
      <w:r>
        <w:t xml:space="preserve">points </w:t>
      </w:r>
      <w:r w:rsidR="00D74D1D">
        <w:t>follow</w:t>
      </w:r>
      <w:r>
        <w:t>:</w:t>
      </w:r>
    </w:p>
    <w:p w14:paraId="498445F9" w14:textId="1D4D998C" w:rsidR="004A1899" w:rsidRDefault="00615A9C" w:rsidP="00E66D74">
      <w:pPr>
        <w:pStyle w:val="ListParagraph"/>
        <w:numPr>
          <w:ilvl w:val="1"/>
          <w:numId w:val="7"/>
        </w:numPr>
      </w:pPr>
      <w:r>
        <w:t xml:space="preserve">Many large companies have big projects </w:t>
      </w:r>
      <w:r w:rsidR="00F518BC">
        <w:t xml:space="preserve">with </w:t>
      </w:r>
      <w:r>
        <w:t>embed</w:t>
      </w:r>
      <w:r w:rsidR="00F518BC">
        <w:t>ded</w:t>
      </w:r>
      <w:r>
        <w:t xml:space="preserve"> software</w:t>
      </w:r>
      <w:r w:rsidR="004A1899">
        <w:t>. T</w:t>
      </w:r>
      <w:r>
        <w:t xml:space="preserve">he hybrid between hardware </w:t>
      </w:r>
      <w:r w:rsidR="004A1899">
        <w:t xml:space="preserve">and </w:t>
      </w:r>
      <w:r>
        <w:t xml:space="preserve">software was taken into consideration </w:t>
      </w:r>
      <w:r w:rsidR="004A1899">
        <w:t xml:space="preserve">in developing </w:t>
      </w:r>
      <w:r>
        <w:t>the new guidance.</w:t>
      </w:r>
    </w:p>
    <w:p w14:paraId="447C8742" w14:textId="711F04E9" w:rsidR="00327BBC" w:rsidRDefault="00615A9C" w:rsidP="00E66D74">
      <w:pPr>
        <w:pStyle w:val="ListParagraph"/>
        <w:numPr>
          <w:ilvl w:val="1"/>
          <w:numId w:val="7"/>
        </w:numPr>
      </w:pPr>
      <w:r>
        <w:t xml:space="preserve">Large companies </w:t>
      </w:r>
      <w:r w:rsidR="004A1899">
        <w:t xml:space="preserve">and SMEs </w:t>
      </w:r>
      <w:r>
        <w:t xml:space="preserve">were included in the working groups </w:t>
      </w:r>
      <w:r w:rsidR="00243175">
        <w:t xml:space="preserve">convened to improve the guidance on software </w:t>
      </w:r>
      <w:r>
        <w:t>providing broad representation</w:t>
      </w:r>
      <w:r w:rsidR="004A1899">
        <w:t xml:space="preserve"> of program users interested in software-related R&amp;D activities</w:t>
      </w:r>
      <w:r>
        <w:t>.</w:t>
      </w:r>
    </w:p>
    <w:p w14:paraId="0F39CE57" w14:textId="429743E2" w:rsidR="00ED1A2D" w:rsidRDefault="00ED1A2D" w:rsidP="00ED1A2D">
      <w:pPr>
        <w:pStyle w:val="ListParagraph"/>
        <w:numPr>
          <w:ilvl w:val="1"/>
          <w:numId w:val="7"/>
        </w:numPr>
      </w:pPr>
      <w:r>
        <w:t>O</w:t>
      </w:r>
      <w:r w:rsidRPr="00D74D1D">
        <w:t xml:space="preserve">pen source software can be the starting point of development for </w:t>
      </w:r>
      <w:r>
        <w:t xml:space="preserve">some </w:t>
      </w:r>
      <w:r w:rsidRPr="00D74D1D">
        <w:t xml:space="preserve">companies and </w:t>
      </w:r>
      <w:r>
        <w:t xml:space="preserve">genuine R&amp;D can be </w:t>
      </w:r>
      <w:r w:rsidRPr="00D74D1D">
        <w:t xml:space="preserve">required to advance it. </w:t>
      </w:r>
      <w:r>
        <w:t>As t</w:t>
      </w:r>
      <w:r w:rsidRPr="00D74D1D">
        <w:t>his is becoming more prevalent</w:t>
      </w:r>
      <w:r>
        <w:t xml:space="preserve">, </w:t>
      </w:r>
      <w:r w:rsidRPr="00D74D1D">
        <w:t xml:space="preserve">it is possible that multiple </w:t>
      </w:r>
      <w:r>
        <w:t>organisations</w:t>
      </w:r>
      <w:r w:rsidRPr="00D74D1D">
        <w:t xml:space="preserve"> could be doing the same thing simultaneously</w:t>
      </w:r>
      <w:r>
        <w:t xml:space="preserve"> and could be an area where further guidance is needed</w:t>
      </w:r>
      <w:r w:rsidRPr="00D74D1D">
        <w:t>.</w:t>
      </w:r>
    </w:p>
    <w:p w14:paraId="25F6E36E" w14:textId="1EB298AC" w:rsidR="008A1E6D" w:rsidRDefault="00ED1A2D" w:rsidP="00ED1A2D">
      <w:pPr>
        <w:pStyle w:val="ListParagraph"/>
        <w:numPr>
          <w:ilvl w:val="1"/>
          <w:numId w:val="7"/>
        </w:numPr>
      </w:pPr>
      <w:r>
        <w:t xml:space="preserve">AusIndustry noted that the process of co-designing updated software guidance involved industry discussions to understand the kind of R&amp;D undertaken within the sector and identify key issues. Open source software has been raised </w:t>
      </w:r>
      <w:r w:rsidR="008A1E6D">
        <w:t>from consultations t</w:t>
      </w:r>
      <w:r>
        <w:t>o date</w:t>
      </w:r>
      <w:r w:rsidR="008A1E6D">
        <w:t>. This and other prominent classes of</w:t>
      </w:r>
      <w:r>
        <w:t xml:space="preserve"> </w:t>
      </w:r>
      <w:r w:rsidR="008A1E6D">
        <w:t xml:space="preserve">software-related activities </w:t>
      </w:r>
      <w:r>
        <w:t xml:space="preserve">could be referred to </w:t>
      </w:r>
      <w:r w:rsidR="008A1E6D">
        <w:t xml:space="preserve">a </w:t>
      </w:r>
      <w:r>
        <w:t>future working group</w:t>
      </w:r>
      <w:r w:rsidR="00F518BC">
        <w:t>s</w:t>
      </w:r>
      <w:r>
        <w:t>.</w:t>
      </w:r>
    </w:p>
    <w:p w14:paraId="4AF20ADB" w14:textId="45085DA3" w:rsidR="00ED1A2D" w:rsidRDefault="008A1E6D" w:rsidP="00ED1A2D">
      <w:pPr>
        <w:pStyle w:val="ListParagraph"/>
        <w:numPr>
          <w:ilvl w:val="1"/>
          <w:numId w:val="7"/>
        </w:numPr>
      </w:pPr>
      <w:r>
        <w:t>Future guidance modules for software</w:t>
      </w:r>
      <w:r w:rsidR="00F518BC">
        <w:t>-</w:t>
      </w:r>
      <w:r>
        <w:t xml:space="preserve">related activities currently being planned will cover expenditure and record keeping. </w:t>
      </w:r>
    </w:p>
    <w:p w14:paraId="642853FC" w14:textId="101C07D1" w:rsidR="00615A9C" w:rsidRDefault="00615A9C" w:rsidP="00E66D74">
      <w:pPr>
        <w:pStyle w:val="ListParagraph"/>
        <w:numPr>
          <w:ilvl w:val="1"/>
          <w:numId w:val="7"/>
        </w:numPr>
      </w:pPr>
      <w:r>
        <w:lastRenderedPageBreak/>
        <w:t>The Senate Select Committee on Australia as a Technology and Financial Centre</w:t>
      </w:r>
      <w:r w:rsidR="006C583D">
        <w:t xml:space="preserve"> tabled its final report on 20 October 2021. </w:t>
      </w:r>
      <w:r w:rsidR="00D74D1D">
        <w:t>It was</w:t>
      </w:r>
      <w:r w:rsidR="00243175">
        <w:t xml:space="preserve"> suggested </w:t>
      </w:r>
      <w:r w:rsidR="004A1899">
        <w:t xml:space="preserve">that the enquiry </w:t>
      </w:r>
      <w:r w:rsidR="00243175">
        <w:t>illustrate</w:t>
      </w:r>
      <w:r w:rsidR="00D74D1D">
        <w:t>d</w:t>
      </w:r>
      <w:r w:rsidR="00243175">
        <w:t xml:space="preserve"> </w:t>
      </w:r>
      <w:r w:rsidR="006C583D">
        <w:t xml:space="preserve">the </w:t>
      </w:r>
      <w:r w:rsidR="00243175">
        <w:t xml:space="preserve">challenges of fitting the </w:t>
      </w:r>
      <w:r w:rsidR="004A1899">
        <w:t xml:space="preserve">current </w:t>
      </w:r>
      <w:r w:rsidR="006C583D">
        <w:t xml:space="preserve">legal definition of R&amp;D </w:t>
      </w:r>
      <w:r w:rsidR="00243175">
        <w:t xml:space="preserve">with the development approach </w:t>
      </w:r>
      <w:r w:rsidR="00D74D1D">
        <w:t xml:space="preserve">used </w:t>
      </w:r>
      <w:r w:rsidR="00243175">
        <w:t xml:space="preserve">for some modern-day and emerging </w:t>
      </w:r>
      <w:r w:rsidR="004A1899">
        <w:t>technolog</w:t>
      </w:r>
      <w:r w:rsidR="00243175">
        <w:t>ies</w:t>
      </w:r>
      <w:r w:rsidR="006C583D">
        <w:t xml:space="preserve">. </w:t>
      </w:r>
    </w:p>
    <w:p w14:paraId="3A0100CE" w14:textId="6CFCFE85" w:rsidR="00F12D3F" w:rsidRDefault="00F12D3F" w:rsidP="00F12D3F">
      <w:pPr>
        <w:pStyle w:val="ListParagraph"/>
        <w:numPr>
          <w:ilvl w:val="1"/>
          <w:numId w:val="7"/>
        </w:numPr>
      </w:pPr>
      <w:r>
        <w:t xml:space="preserve">While </w:t>
      </w:r>
      <w:r w:rsidR="00D74D1D">
        <w:t xml:space="preserve">potential changes to the legal definition of R&amp;D </w:t>
      </w:r>
      <w:r w:rsidR="00F518BC">
        <w:t xml:space="preserve">activities </w:t>
      </w:r>
      <w:r>
        <w:t xml:space="preserve">is of interest to </w:t>
      </w:r>
      <w:r w:rsidR="00D74D1D">
        <w:t xml:space="preserve">some members of </w:t>
      </w:r>
      <w:r>
        <w:t>the tech sector, the T</w:t>
      </w:r>
      <w:r w:rsidR="006B7E20">
        <w:t>CA</w:t>
      </w:r>
      <w:r>
        <w:t xml:space="preserve"> acknowledged that the revised software guidance must work with the bounds of the current legislation. The </w:t>
      </w:r>
      <w:r w:rsidR="00D74D1D">
        <w:t>main objective was to identify the areas requiring clarity and use plain English to improve understanding and self-assessment.</w:t>
      </w:r>
    </w:p>
    <w:p w14:paraId="7A07C57C" w14:textId="0B722C6E" w:rsidR="00D74D1D" w:rsidRDefault="00F518BC" w:rsidP="00F12D3F">
      <w:pPr>
        <w:pStyle w:val="ListParagraph"/>
        <w:numPr>
          <w:ilvl w:val="1"/>
          <w:numId w:val="7"/>
        </w:numPr>
      </w:pPr>
      <w:r>
        <w:t>It was suggested</w:t>
      </w:r>
      <w:r w:rsidR="00F12D3F">
        <w:t xml:space="preserve"> that the </w:t>
      </w:r>
      <w:r w:rsidR="006C583D">
        <w:t xml:space="preserve">definition of R&amp;D </w:t>
      </w:r>
      <w:r>
        <w:t xml:space="preserve">activities may </w:t>
      </w:r>
      <w:r w:rsidR="00F12D3F">
        <w:t>ha</w:t>
      </w:r>
      <w:r>
        <w:t>ve</w:t>
      </w:r>
      <w:r w:rsidR="00F12D3F">
        <w:t xml:space="preserve"> aged </w:t>
      </w:r>
      <w:r w:rsidR="00ED1A2D">
        <w:t xml:space="preserve">since it was </w:t>
      </w:r>
      <w:r w:rsidR="00F12D3F">
        <w:t xml:space="preserve">introduced </w:t>
      </w:r>
      <w:r w:rsidR="00ED1A2D">
        <w:t>10 years ago and</w:t>
      </w:r>
      <w:r w:rsidR="00F12D3F">
        <w:t xml:space="preserve"> </w:t>
      </w:r>
      <w:r>
        <w:t xml:space="preserve">that it </w:t>
      </w:r>
      <w:r w:rsidR="00F12D3F">
        <w:t>can</w:t>
      </w:r>
      <w:r w:rsidR="006C583D">
        <w:t xml:space="preserve"> </w:t>
      </w:r>
      <w:r w:rsidR="00F12D3F">
        <w:t>be</w:t>
      </w:r>
      <w:r w:rsidR="006C583D">
        <w:t xml:space="preserve"> challeng</w:t>
      </w:r>
      <w:r w:rsidR="00F12D3F">
        <w:t>ing</w:t>
      </w:r>
      <w:r w:rsidR="006C583D">
        <w:t xml:space="preserve"> to </w:t>
      </w:r>
      <w:r w:rsidR="00F12D3F">
        <w:t xml:space="preserve">apply to </w:t>
      </w:r>
      <w:r w:rsidR="004A1899">
        <w:t>evolving technologies and development methods</w:t>
      </w:r>
      <w:r w:rsidR="006C583D">
        <w:t xml:space="preserve">. </w:t>
      </w:r>
      <w:r w:rsidR="00F12D3F">
        <w:t xml:space="preserve">Nevertheless, it is generally possible to identify a systematic progression of work for eligible </w:t>
      </w:r>
      <w:r w:rsidR="00D74D1D">
        <w:t xml:space="preserve">R&amp;D </w:t>
      </w:r>
      <w:r w:rsidR="00F12D3F">
        <w:t xml:space="preserve">activities. </w:t>
      </w:r>
      <w:r w:rsidR="004A1899">
        <w:t>A</w:t>
      </w:r>
      <w:r w:rsidR="00712ADB">
        <w:t xml:space="preserve"> </w:t>
      </w:r>
      <w:r w:rsidR="00F12D3F">
        <w:t xml:space="preserve">more </w:t>
      </w:r>
      <w:r w:rsidR="00712ADB">
        <w:t xml:space="preserve">significant area of focus </w:t>
      </w:r>
      <w:r w:rsidR="00D74D1D">
        <w:t xml:space="preserve">in determining eligibility can often be </w:t>
      </w:r>
      <w:r w:rsidR="00712ADB">
        <w:t>whether the activities meet the ‘unknown outcome</w:t>
      </w:r>
      <w:r w:rsidR="00F12D3F">
        <w:t>’</w:t>
      </w:r>
      <w:r w:rsidR="00712ADB">
        <w:t xml:space="preserve"> test. </w:t>
      </w:r>
    </w:p>
    <w:p w14:paraId="4F18B7B4" w14:textId="1BA32C19" w:rsidR="00D74D1D" w:rsidRDefault="00D74D1D" w:rsidP="00D74D1D">
      <w:pPr>
        <w:pStyle w:val="ListParagraph"/>
        <w:numPr>
          <w:ilvl w:val="1"/>
          <w:numId w:val="7"/>
        </w:numPr>
      </w:pPr>
      <w:r>
        <w:t xml:space="preserve">While the potential for reform is of interest to the tech sector, </w:t>
      </w:r>
      <w:r w:rsidR="00ED1A2D">
        <w:t>stakeholders</w:t>
      </w:r>
      <w:r>
        <w:t xml:space="preserve"> acknowledged that the revised software guidance must work with the bounds of the current legislation.</w:t>
      </w:r>
    </w:p>
    <w:p w14:paraId="27F51169" w14:textId="3DF68C15" w:rsidR="006C583D" w:rsidRDefault="006C583D" w:rsidP="006C583D">
      <w:pPr>
        <w:pStyle w:val="ListParagraph"/>
        <w:ind w:left="1440"/>
      </w:pPr>
      <w:r>
        <w:t xml:space="preserve">More </w:t>
      </w:r>
      <w:r w:rsidR="00153902">
        <w:t>clarification was sought by companies</w:t>
      </w:r>
      <w:r>
        <w:t xml:space="preserve"> in the manufacturing sector </w:t>
      </w:r>
      <w:r w:rsidR="00153902">
        <w:t xml:space="preserve">to guide them on </w:t>
      </w:r>
      <w:r>
        <w:t>the acceptable length of production trials undertaken to t</w:t>
      </w:r>
      <w:r w:rsidR="00153902">
        <w:t>est</w:t>
      </w:r>
      <w:r>
        <w:t xml:space="preserve"> repeatability and consistency.</w:t>
      </w:r>
    </w:p>
    <w:p w14:paraId="0F32D690" w14:textId="6B3F233E" w:rsidR="00B17E75" w:rsidRDefault="00082993" w:rsidP="00B17E75">
      <w:pPr>
        <w:pStyle w:val="Heading2"/>
      </w:pPr>
      <w:r>
        <w:t>Open Discussion (Jade Hawkins &amp; Tim Myatt)</w:t>
      </w:r>
    </w:p>
    <w:p w14:paraId="2F98AF0A" w14:textId="718167B3" w:rsidR="00082993" w:rsidRDefault="00082993" w:rsidP="00E66D74">
      <w:pPr>
        <w:pStyle w:val="ListParagraph"/>
        <w:numPr>
          <w:ilvl w:val="0"/>
          <w:numId w:val="7"/>
        </w:numPr>
      </w:pPr>
      <w:r>
        <w:t xml:space="preserve">The co-chairs facilitated a discussion on the impact </w:t>
      </w:r>
      <w:r w:rsidR="008A1E6D">
        <w:t xml:space="preserve">of </w:t>
      </w:r>
      <w:r>
        <w:t>COVID-19 on business R&amp;D and innovation</w:t>
      </w:r>
      <w:r w:rsidR="00327BBC">
        <w:t>. A summary of points raised by members:</w:t>
      </w:r>
    </w:p>
    <w:p w14:paraId="5315A60D" w14:textId="0C743AB6" w:rsidR="006C583D" w:rsidRDefault="006C583D" w:rsidP="00E66D74">
      <w:pPr>
        <w:pStyle w:val="ListParagraph"/>
        <w:numPr>
          <w:ilvl w:val="1"/>
          <w:numId w:val="7"/>
        </w:numPr>
      </w:pPr>
      <w:r>
        <w:t>In</w:t>
      </w:r>
      <w:r w:rsidR="001D5223">
        <w:t>novations in in</w:t>
      </w:r>
      <w:r>
        <w:t xml:space="preserve">formation technology has allowed </w:t>
      </w:r>
      <w:r w:rsidR="001D5223">
        <w:t>many</w:t>
      </w:r>
      <w:r>
        <w:t xml:space="preserve"> organisations to survive, if not thrive</w:t>
      </w:r>
      <w:r w:rsidR="001D5223">
        <w:t xml:space="preserve"> in pandemic conditions</w:t>
      </w:r>
      <w:r>
        <w:t xml:space="preserve">. </w:t>
      </w:r>
    </w:p>
    <w:p w14:paraId="7992D313" w14:textId="6BE35578" w:rsidR="006C583D" w:rsidRDefault="006C583D" w:rsidP="00E66D74">
      <w:pPr>
        <w:pStyle w:val="ListParagraph"/>
        <w:numPr>
          <w:ilvl w:val="1"/>
          <w:numId w:val="7"/>
        </w:numPr>
      </w:pPr>
      <w:r>
        <w:t xml:space="preserve">The skills shortage has massively impacted many </w:t>
      </w:r>
      <w:r w:rsidR="001D5223">
        <w:t xml:space="preserve">industry </w:t>
      </w:r>
      <w:r>
        <w:t>sectors</w:t>
      </w:r>
      <w:r w:rsidR="001D5223">
        <w:t xml:space="preserve">. </w:t>
      </w:r>
      <w:r w:rsidR="00E73034">
        <w:t>Restrictions to</w:t>
      </w:r>
      <w:r w:rsidR="001D5223">
        <w:t xml:space="preserve"> </w:t>
      </w:r>
      <w:r>
        <w:t xml:space="preserve">skilled migration </w:t>
      </w:r>
      <w:r w:rsidR="001D5223">
        <w:t>have exacerbated existing issues</w:t>
      </w:r>
      <w:r>
        <w:t xml:space="preserve">. The resulting issues </w:t>
      </w:r>
      <w:r w:rsidR="001D5223">
        <w:t>include</w:t>
      </w:r>
      <w:r>
        <w:t>:</w:t>
      </w:r>
    </w:p>
    <w:p w14:paraId="7052CA2E" w14:textId="77777777" w:rsidR="006C583D" w:rsidRDefault="006C583D" w:rsidP="00E66D74">
      <w:pPr>
        <w:pStyle w:val="ListParagraph"/>
        <w:numPr>
          <w:ilvl w:val="2"/>
          <w:numId w:val="7"/>
        </w:numPr>
      </w:pPr>
      <w:r>
        <w:t>Many projects have been stalled</w:t>
      </w:r>
    </w:p>
    <w:p w14:paraId="197E13A2" w14:textId="074CBDDD" w:rsidR="006C583D" w:rsidRDefault="006C583D" w:rsidP="00E66D74">
      <w:pPr>
        <w:pStyle w:val="ListParagraph"/>
        <w:numPr>
          <w:ilvl w:val="2"/>
          <w:numId w:val="7"/>
        </w:numPr>
      </w:pPr>
      <w:r>
        <w:t xml:space="preserve">High </w:t>
      </w:r>
      <w:r w:rsidR="001D5223">
        <w:t xml:space="preserve">labour </w:t>
      </w:r>
      <w:r>
        <w:t xml:space="preserve">costs </w:t>
      </w:r>
      <w:r w:rsidR="001D5223">
        <w:t xml:space="preserve">have applied significant </w:t>
      </w:r>
      <w:r>
        <w:t>pressure to SMEs</w:t>
      </w:r>
    </w:p>
    <w:p w14:paraId="3AAAD98C" w14:textId="3CFD7ABF" w:rsidR="006C583D" w:rsidRDefault="006C583D" w:rsidP="00E66D74">
      <w:pPr>
        <w:pStyle w:val="ListParagraph"/>
        <w:numPr>
          <w:ilvl w:val="2"/>
          <w:numId w:val="7"/>
        </w:numPr>
      </w:pPr>
      <w:r>
        <w:t>Job</w:t>
      </w:r>
      <w:r w:rsidR="001D5223">
        <w:t xml:space="preserve"> vacancie</w:t>
      </w:r>
      <w:r>
        <w:t>s cannot be filled</w:t>
      </w:r>
      <w:r w:rsidR="001D5223">
        <w:t xml:space="preserve"> creating an intense </w:t>
      </w:r>
      <w:r>
        <w:t xml:space="preserve"> competition for talent </w:t>
      </w:r>
      <w:r w:rsidR="001D5223">
        <w:t>prompting</w:t>
      </w:r>
      <w:r>
        <w:t xml:space="preserve"> some industries </w:t>
      </w:r>
      <w:r w:rsidR="001D5223">
        <w:t xml:space="preserve">to </w:t>
      </w:r>
      <w:r>
        <w:t>offering incentives like free accommodation</w:t>
      </w:r>
    </w:p>
    <w:p w14:paraId="5817F7E6" w14:textId="19D44994" w:rsidR="001D5223" w:rsidRDefault="001D5223" w:rsidP="00E66D74">
      <w:pPr>
        <w:pStyle w:val="ListParagraph"/>
        <w:numPr>
          <w:ilvl w:val="2"/>
          <w:numId w:val="7"/>
        </w:numPr>
      </w:pPr>
      <w:r>
        <w:t>Talent shortages have placed emphasis on skill development, cross-skilling and micro-credentials to get people into the workforce.</w:t>
      </w:r>
    </w:p>
    <w:p w14:paraId="7BCF5B31" w14:textId="056C4C63" w:rsidR="006C583D" w:rsidRDefault="00E66D74" w:rsidP="00026EC9">
      <w:pPr>
        <w:pStyle w:val="ListParagraph"/>
        <w:numPr>
          <w:ilvl w:val="1"/>
          <w:numId w:val="7"/>
        </w:numPr>
      </w:pPr>
      <w:r>
        <w:t xml:space="preserve">Supply chain issues have </w:t>
      </w:r>
      <w:r w:rsidR="001D5223">
        <w:t xml:space="preserve">significantly </w:t>
      </w:r>
      <w:r>
        <w:t>impacted industry</w:t>
      </w:r>
      <w:r w:rsidR="001D5223">
        <w:t xml:space="preserve"> particularly when equipment and material is required from overseas. </w:t>
      </w:r>
      <w:r w:rsidR="00026EC9">
        <w:t xml:space="preserve">The conflict in Europe has exacerbated pandemic pressures. </w:t>
      </w:r>
      <w:r w:rsidR="001D5223">
        <w:t>Domestic supply chains</w:t>
      </w:r>
      <w:r>
        <w:t xml:space="preserve"> </w:t>
      </w:r>
      <w:r w:rsidR="001D5223">
        <w:t xml:space="preserve">have </w:t>
      </w:r>
      <w:r>
        <w:t xml:space="preserve">also been impacted by </w:t>
      </w:r>
      <w:r w:rsidR="001D5223">
        <w:t xml:space="preserve">recent </w:t>
      </w:r>
      <w:r>
        <w:t>flooding in Australia</w:t>
      </w:r>
      <w:r w:rsidR="00026EC9">
        <w:t>.</w:t>
      </w:r>
    </w:p>
    <w:p w14:paraId="3FC6780F" w14:textId="26BB303B" w:rsidR="006C583D" w:rsidRDefault="006C583D" w:rsidP="00E66D74">
      <w:pPr>
        <w:pStyle w:val="ListParagraph"/>
        <w:numPr>
          <w:ilvl w:val="1"/>
          <w:numId w:val="7"/>
        </w:numPr>
      </w:pPr>
      <w:r>
        <w:t>There is a level of fatigue in the healthcare system and that is impacting businesses</w:t>
      </w:r>
      <w:r w:rsidR="00026EC9">
        <w:t xml:space="preserve"> that rely on surgical capacity and hospital services. At the same time, this has been a catalyst to direct R&amp;D resources to cloud-based customer support and interaction with the medical industry.</w:t>
      </w:r>
    </w:p>
    <w:p w14:paraId="54D914C4" w14:textId="396E5402" w:rsidR="00E66D74" w:rsidRDefault="00E66D74" w:rsidP="00E66D74">
      <w:pPr>
        <w:pStyle w:val="ListParagraph"/>
        <w:numPr>
          <w:ilvl w:val="1"/>
          <w:numId w:val="7"/>
        </w:numPr>
      </w:pPr>
      <w:r>
        <w:t>The impact of COVID</w:t>
      </w:r>
      <w:r w:rsidR="00026EC9">
        <w:t>-19 is still a concern</w:t>
      </w:r>
      <w:r>
        <w:t xml:space="preserve"> to be managed, </w:t>
      </w:r>
      <w:r w:rsidR="00026EC9">
        <w:t xml:space="preserve">especially </w:t>
      </w:r>
      <w:r>
        <w:t>heading into win</w:t>
      </w:r>
      <w:r w:rsidR="00026EC9">
        <w:t>t</w:t>
      </w:r>
      <w:r>
        <w:t xml:space="preserve">er and </w:t>
      </w:r>
      <w:r w:rsidR="00026EC9">
        <w:t xml:space="preserve">with the potential impacts </w:t>
      </w:r>
      <w:r w:rsidR="00E73034">
        <w:t>of a</w:t>
      </w:r>
      <w:r w:rsidR="00026EC9">
        <w:t xml:space="preserve"> </w:t>
      </w:r>
      <w:r>
        <w:t>flu season.</w:t>
      </w:r>
    </w:p>
    <w:p w14:paraId="143BC256" w14:textId="77777777" w:rsidR="00260176" w:rsidRDefault="00260176" w:rsidP="00B17E75">
      <w:pPr>
        <w:pStyle w:val="Heading2"/>
      </w:pPr>
      <w:r>
        <w:t>Action Items</w:t>
      </w:r>
    </w:p>
    <w:p w14:paraId="7E225CEB" w14:textId="7146D835" w:rsidR="00260176" w:rsidRDefault="00F518BC" w:rsidP="00AE093A">
      <w:pPr>
        <w:pStyle w:val="ListParagraph"/>
        <w:numPr>
          <w:ilvl w:val="0"/>
          <w:numId w:val="6"/>
        </w:numPr>
      </w:pPr>
      <w:r>
        <w:t xml:space="preserve">ATO representatives </w:t>
      </w:r>
      <w:r w:rsidR="00260176">
        <w:t xml:space="preserve">from the </w:t>
      </w:r>
      <w:r w:rsidR="007D1456">
        <w:t>J</w:t>
      </w:r>
      <w:r w:rsidR="00260176">
        <w:t xml:space="preserve">ustified </w:t>
      </w:r>
      <w:r w:rsidR="007D1456">
        <w:t>T</w:t>
      </w:r>
      <w:r w:rsidR="00260176">
        <w:t xml:space="preserve">rust </w:t>
      </w:r>
      <w:r w:rsidR="007D1456">
        <w:t>P</w:t>
      </w:r>
      <w:r w:rsidR="00260176">
        <w:t xml:space="preserve">rogram to attend </w:t>
      </w:r>
      <w:r w:rsidR="007D1456">
        <w:t xml:space="preserve">the next meeting to </w:t>
      </w:r>
      <w:r w:rsidR="00260176">
        <w:t>provid</w:t>
      </w:r>
      <w:r w:rsidR="007D1456">
        <w:t>e</w:t>
      </w:r>
      <w:r w:rsidR="00260176">
        <w:t xml:space="preserve"> information  and answer related questions</w:t>
      </w:r>
    </w:p>
    <w:p w14:paraId="79A618D5" w14:textId="45E159B9" w:rsidR="00260176" w:rsidRDefault="00B926D5" w:rsidP="00AE093A">
      <w:pPr>
        <w:pStyle w:val="ListParagraph"/>
        <w:numPr>
          <w:ilvl w:val="0"/>
          <w:numId w:val="6"/>
        </w:numPr>
      </w:pPr>
      <w:r>
        <w:t>AusIndustry</w:t>
      </w:r>
      <w:r w:rsidR="00260176">
        <w:t xml:space="preserve"> to include observations on registrations </w:t>
      </w:r>
      <w:r w:rsidR="007D1456">
        <w:t>and</w:t>
      </w:r>
      <w:r w:rsidR="00260176">
        <w:t xml:space="preserve"> claims</w:t>
      </w:r>
      <w:r w:rsidR="007D1456">
        <w:t xml:space="preserve"> at the next meeting</w:t>
      </w:r>
    </w:p>
    <w:p w14:paraId="1ACF34F4" w14:textId="539B0BD9" w:rsidR="00B17E75" w:rsidRDefault="00082993" w:rsidP="00B17E75">
      <w:pPr>
        <w:pStyle w:val="Heading2"/>
      </w:pPr>
      <w:r>
        <w:lastRenderedPageBreak/>
        <w:t>Other business and close</w:t>
      </w:r>
    </w:p>
    <w:p w14:paraId="6DCD0186" w14:textId="06255781" w:rsidR="00B17E75" w:rsidRPr="00082993" w:rsidRDefault="00082993" w:rsidP="00E66D74">
      <w:pPr>
        <w:pStyle w:val="ListParagraph"/>
        <w:numPr>
          <w:ilvl w:val="0"/>
          <w:numId w:val="6"/>
        </w:numPr>
      </w:pPr>
      <w:r w:rsidRPr="00082993">
        <w:t xml:space="preserve">ATO and AusIndustry thanked members for attending </w:t>
      </w:r>
      <w:r w:rsidR="00026EC9">
        <w:t>and sharing valuable insights on their</w:t>
      </w:r>
      <w:r w:rsidR="007D1456">
        <w:t xml:space="preserve"> Covid-19 experiences</w:t>
      </w:r>
    </w:p>
    <w:p w14:paraId="073BBD8B" w14:textId="1F4AA919" w:rsidR="00B17E75" w:rsidRDefault="00082993" w:rsidP="00E66D74">
      <w:pPr>
        <w:pStyle w:val="ListParagraph"/>
        <w:numPr>
          <w:ilvl w:val="0"/>
          <w:numId w:val="6"/>
        </w:numPr>
      </w:pPr>
      <w:r>
        <w:t>Members we</w:t>
      </w:r>
      <w:r w:rsidR="00B17E75">
        <w:t xml:space="preserve">re encouraged to propose agenda items or topics for discussion for </w:t>
      </w:r>
      <w:r>
        <w:t>future Roundtable meetings</w:t>
      </w:r>
    </w:p>
    <w:p w14:paraId="209CE16C" w14:textId="71532D2A" w:rsidR="007D1456" w:rsidRDefault="007D1456" w:rsidP="00E66D74">
      <w:pPr>
        <w:pStyle w:val="ListParagraph"/>
        <w:numPr>
          <w:ilvl w:val="0"/>
          <w:numId w:val="6"/>
        </w:numPr>
      </w:pPr>
      <w:r>
        <w:t>Feedback is welcome at rdti.engagement@industry.gov.au</w:t>
      </w:r>
    </w:p>
    <w:p w14:paraId="78FD74AE" w14:textId="77777777" w:rsidR="00082993" w:rsidRDefault="00082993" w:rsidP="00082993">
      <w:pPr>
        <w:ind w:left="360"/>
        <w:jc w:val="center"/>
      </w:pPr>
    </w:p>
    <w:p w14:paraId="5315A386" w14:textId="548E7A7A" w:rsidR="00082993" w:rsidRDefault="00082993" w:rsidP="00082993">
      <w:pPr>
        <w:ind w:left="360"/>
        <w:jc w:val="center"/>
      </w:pPr>
      <w:r>
        <w:t>End of Summary</w:t>
      </w:r>
    </w:p>
    <w:p w14:paraId="77482004" w14:textId="30721A94" w:rsidR="003A0820" w:rsidRDefault="003A0820" w:rsidP="003A0820">
      <w:pPr>
        <w:pStyle w:val="Heading2"/>
      </w:pPr>
      <w:r>
        <w:t xml:space="preserve">Appendix A </w:t>
      </w:r>
    </w:p>
    <w:p w14:paraId="0A14BE93" w14:textId="77777777" w:rsidR="00260176" w:rsidRPr="00260176" w:rsidRDefault="00260176" w:rsidP="00AE093A"/>
    <w:p w14:paraId="6219BFF0" w14:textId="052C412E" w:rsidR="00C453DA" w:rsidRDefault="00B926D5">
      <w:r>
        <w:object w:dxaOrig="1562" w:dyaOrig="1011" w14:anchorId="34F71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8.75pt;height:50.25pt" o:ole="">
            <v:imagedata r:id="rId12" o:title=""/>
          </v:shape>
          <o:OLEObject Type="Embed" ProgID="AcroExch.Document.DC" ShapeID="_x0000_i1029" DrawAspect="Icon" ObjectID="_1709639716" r:id="rId13"/>
        </w:obje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C453DA" w:rsidSect="00327BBC"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E77BB" w14:textId="77777777" w:rsidR="0018509B" w:rsidRDefault="0018509B" w:rsidP="00D560DC">
      <w:pPr>
        <w:spacing w:before="0" w:after="0" w:line="240" w:lineRule="auto"/>
      </w:pPr>
      <w:r>
        <w:separator/>
      </w:r>
    </w:p>
  </w:endnote>
  <w:endnote w:type="continuationSeparator" w:id="0">
    <w:p w14:paraId="71BB4FFD" w14:textId="77777777" w:rsidR="0018509B" w:rsidRDefault="0018509B" w:rsidP="00D560DC">
      <w:pPr>
        <w:spacing w:before="0" w:after="0" w:line="240" w:lineRule="auto"/>
      </w:pPr>
      <w:r>
        <w:continuationSeparator/>
      </w:r>
    </w:p>
  </w:endnote>
  <w:endnote w:type="continuationNotice" w:id="1">
    <w:p w14:paraId="0DB98103" w14:textId="77777777" w:rsidR="0018509B" w:rsidRDefault="001850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FA9D" w14:textId="77777777" w:rsidR="0018509B" w:rsidRDefault="0018509B" w:rsidP="0039793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87BB5A" wp14:editId="722B277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000" cy="468000"/>
              <wp:effectExtent l="0" t="0" r="0" b="0"/>
              <wp:wrapNone/>
              <wp:docPr id="21" name="Text Box 2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14="http://schemas.microsoft.com/office/drawing/2010/main" xmlns:pic="http://schemas.openxmlformats.org/drawingml/2006/pictur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304E10" w14:textId="77777777" w:rsidR="0018509B" w:rsidRDefault="0018509B" w:rsidP="0039793D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14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4800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7BB5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3.85pt;margin-top:0;width:85.05pt;height:36.8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l5XgIAAKIEAAAOAAAAZHJzL2Uyb0RvYy54bWysVEuP2jAQvlfqf7B8hyTAZrMRYcWjVJVW&#10;uytBtWfjOBAp8bi2IaFV/3vHToBq21NVDmbseX7fzGT62NYVOQltSpAZjYYhJUJyyEu5z+jX7XqQ&#10;UGIskzmrQIqMnoWhj7OPH6aNSsUIDlDlQhMMIk3aqIwerFVpEBh+EDUzQ1BCorIAXTOLV70Pcs0a&#10;jF5XwSgM46ABnSsNXBiDr6tOSWc+flEIbl+KwghLqoxibdaf2p87dwazKUv3mqlDyfsy2D9UUbNS&#10;YtJrqBWzjBx1+UeouuQaDBR2yKEOoChKLjwGRBOF79BsDkwJjwXJMepKk/l/Yfnz6VWTMs/oKKJE&#10;shp7tBWtJQtoCT45THh9MraXOlQ/llEyXt2v48Fi8pAMJuPFePAwSRaD6H6ULO5G83n8afLTsRvc&#10;/INGmdQndO3x4kZhdttiMhweZ+7eDT66bG2ha/ePLBHUY/vO15a5ErlzCpMQf5Rw1E1id+mzXryV&#10;NvazgJo4IaMaR8KjYicE1RV4MXHJJKzLqvJjUUnSZDQe34Xe4apBSJVEZLdanWTbXdsD2EF+Rlwa&#10;unEziq9LTP7EjH1lGucL68WdsS94FBVgEuglSg6gv//t3dlj21FLSYPzmlHz7ci0oKT6InEg3HBf&#10;BO2FeOLZIDt/i3qe5LFeAi4Ddhvr8iK6altdxEJD/YZLNXf5UMUkx6wZ3V3Epe32B5eSi/ncG+Ew&#10;K2af5EZxF9oR6Ujdtm9Mq555iz17hstMs/RdAzrbrgXzo4Wi9N1x1HZ89ozjIvip6pfWbdrvd291&#10;+7TMfgEAAP//AwBQSwMEFAAGAAgAAAAhAIDuFFbbAAAABAEAAA8AAABkcnMvZG93bnJldi54bWxM&#10;j0FLw0AQhe9C/8MyBW92NxUaidmUUiqiF7Eqxds0O2ZDs7Mhu23jv3frRS8Phje8971yObpOnGgI&#10;rWcN2UyBIK69abnR8P72cHMHIkRkg51n0vBNAZbV5KrEwvgzv9JpGxuRQjgUqMHG2BdShtqSwzDz&#10;PXHyvvzgMKZzaKQZ8JzCXSfnSi2kw5ZTg8We1pbqw/boUu96N7cblT2bxYv9eFzlT9bsPrW+no6r&#10;exCRxvj3DBf8hA5VYtr7I5sgOg1pSPzVi5erDMReQ36bg6xK+R+++gEAAP//AwBQSwECLQAUAAYA&#10;CAAAACEAtoM4kv4AAADhAQAAEwAAAAAAAAAAAAAAAAAAAAAAW0NvbnRlbnRfVHlwZXNdLnhtbFBL&#10;AQItABQABgAIAAAAIQA4/SH/1gAAAJQBAAALAAAAAAAAAAAAAAAAAC8BAABfcmVscy8ucmVsc1BL&#10;AQItABQABgAIAAAAIQDGgul5XgIAAKIEAAAOAAAAAAAAAAAAAAAAAC4CAABkcnMvZTJvRG9jLnht&#10;bFBLAQItABQABgAIAAAAIQCA7hRW2wAAAAQBAAAPAAAAAAAAAAAAAAAAALgEAABkcnMvZG93bnJl&#10;di54bWxQSwUGAAAAAAQABADzAAAAwAUAAAAA&#10;" filled="f" stroked="f" strokeweight=".5pt">
              <v:textbox inset="0,0,18mm,5mm">
                <w:txbxContent>
                  <w:p w14:paraId="45304E10" w14:textId="77777777" w:rsidR="0018509B" w:rsidRDefault="0018509B" w:rsidP="0039793D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92143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C96BE4D" wp14:editId="3E0F77E6">
          <wp:extent cx="6912000" cy="110015"/>
          <wp:effectExtent l="0" t="0" r="0" b="4445"/>
          <wp:docPr id="7" name="Picture 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11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C2550" w14:textId="01EC3142" w:rsidR="0018509B" w:rsidRPr="0039793D" w:rsidRDefault="00D92143" w:rsidP="0039793D">
    <w:pPr>
      <w:pStyle w:val="Footer"/>
      <w:rPr>
        <w:color w:val="264F90" w:themeColor="accent2"/>
      </w:rPr>
    </w:pPr>
    <w:sdt>
      <w:sdtPr>
        <w:rPr>
          <w:color w:val="264F90" w:themeColor="accent2"/>
        </w:rPr>
        <w:alias w:val="Title"/>
        <w:tag w:val=""/>
        <w:id w:val="39725525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509B">
          <w:rPr>
            <w:color w:val="264F90" w:themeColor="accent2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64BC7" w14:textId="26A0D06C" w:rsidR="0018509B" w:rsidRDefault="0018509B" w:rsidP="00D560DC">
    <w:pPr>
      <w:pStyle w:val="Footer"/>
    </w:pPr>
    <w:r>
      <w:rPr>
        <w:noProof/>
        <w:lang w:eastAsia="en-AU"/>
      </w:rPr>
      <w:drawing>
        <wp:inline distT="0" distB="0" distL="0" distR="0" wp14:anchorId="1600DF1D" wp14:editId="02687902">
          <wp:extent cx="6912000" cy="110015"/>
          <wp:effectExtent l="0" t="0" r="0" b="4445"/>
          <wp:docPr id="9" name="Picture 9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Gs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11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5F060" w14:textId="053A9655" w:rsidR="0018509B" w:rsidRPr="0039793D" w:rsidRDefault="00D92143" w:rsidP="00D560DC">
    <w:pPr>
      <w:pStyle w:val="Footer"/>
      <w:rPr>
        <w:color w:val="264F90" w:themeColor="accent2"/>
      </w:rPr>
    </w:pPr>
    <w:sdt>
      <w:sdtPr>
        <w:rPr>
          <w:color w:val="264F90" w:themeColor="accent2"/>
        </w:rPr>
        <w:alias w:val="Title"/>
        <w:tag w:val=""/>
        <w:id w:val="151680911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509B">
          <w:rPr>
            <w:color w:val="264F90" w:themeColor="accent2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E2F0" w14:textId="77777777" w:rsidR="0018509B" w:rsidRDefault="0018509B" w:rsidP="00D560DC">
      <w:pPr>
        <w:spacing w:before="0" w:after="0" w:line="240" w:lineRule="auto"/>
      </w:pPr>
      <w:r>
        <w:separator/>
      </w:r>
    </w:p>
  </w:footnote>
  <w:footnote w:type="continuationSeparator" w:id="0">
    <w:p w14:paraId="5C820001" w14:textId="77777777" w:rsidR="0018509B" w:rsidRDefault="0018509B" w:rsidP="00D560DC">
      <w:pPr>
        <w:spacing w:before="0" w:after="0" w:line="240" w:lineRule="auto"/>
      </w:pPr>
      <w:r>
        <w:continuationSeparator/>
      </w:r>
    </w:p>
  </w:footnote>
  <w:footnote w:type="continuationNotice" w:id="1">
    <w:p w14:paraId="78360431" w14:textId="77777777" w:rsidR="0018509B" w:rsidRDefault="001850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26DA" w14:textId="31C14D88" w:rsidR="0018509B" w:rsidRDefault="0018509B" w:rsidP="00287994">
    <w:pPr>
      <w:pStyle w:val="Header"/>
      <w:tabs>
        <w:tab w:val="left" w:pos="6645"/>
        <w:tab w:val="left" w:pos="7155"/>
        <w:tab w:val="left" w:pos="781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562F67A" wp14:editId="5153339E">
          <wp:simplePos x="0" y="0"/>
          <wp:positionH relativeFrom="page">
            <wp:posOffset>4814628</wp:posOffset>
          </wp:positionH>
          <wp:positionV relativeFrom="paragraph">
            <wp:posOffset>4445</wp:posOffset>
          </wp:positionV>
          <wp:extent cx="1542313" cy="432000"/>
          <wp:effectExtent l="0" t="0" r="1270" b="6350"/>
          <wp:wrapNone/>
          <wp:docPr id="1" name="Picture 1" descr="Australian Government | Australian Taxation Office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-logo-sq - Strategic Transaction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2" t="33552" r="10600" b="26726"/>
                  <a:stretch/>
                </pic:blipFill>
                <pic:spPr bwMode="auto">
                  <a:xfrm>
                    <a:off x="0" y="0"/>
                    <a:ext cx="154231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5C6F304" wp14:editId="227ED004">
          <wp:extent cx="2833029" cy="432000"/>
          <wp:effectExtent l="0" t="0" r="5715" b="6350"/>
          <wp:docPr id="8" name="Picture 8" descr="Australian Government | Department of Industry, Science, Energy and Resources | AusIndustry| R and D Tax Incen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Gov_DISER_B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994">
      <w:rPr>
        <w:noProof/>
        <w:lang w:eastAsia="en-AU"/>
      </w:rPr>
      <w:tab/>
    </w:r>
    <w:r w:rsidR="00287994">
      <w:rPr>
        <w:noProof/>
        <w:lang w:eastAsia="en-AU"/>
      </w:rPr>
      <w:tab/>
    </w:r>
    <w:r w:rsidR="00287994">
      <w:rPr>
        <w:noProof/>
        <w:lang w:eastAsia="en-AU"/>
      </w:rPr>
      <w:tab/>
    </w:r>
  </w:p>
  <w:p w14:paraId="3D748546" w14:textId="5DDA6CCD" w:rsidR="0018509B" w:rsidRPr="00D560DC" w:rsidRDefault="0018509B" w:rsidP="000A1C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61CD2" wp14:editId="46E84229">
              <wp:simplePos x="0" y="0"/>
              <wp:positionH relativeFrom="margin">
                <wp:align>right</wp:align>
              </wp:positionH>
              <wp:positionV relativeFrom="page">
                <wp:posOffset>964206</wp:posOffset>
              </wp:positionV>
              <wp:extent cx="6845400" cy="0"/>
              <wp:effectExtent l="0" t="0" r="21590" b="19050"/>
              <wp:wrapNone/>
              <wp:docPr id="18" name="Straight Connector 1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a14="http://schemas.microsoft.com/office/drawing/2010/main" xmlns:pic="http://schemas.openxmlformats.org/drawingml/2006/pictur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8DC9270" id="Straight Connector 18" o:spid="_x0000_s1026" style="position:absolute;z-index:251658240;visibility:visible;mso-wrap-style:square;mso-width-percent:1000;mso-wrap-distance-left:9pt;mso-wrap-distance-top:0;mso-wrap-distance-right:9pt;mso-wrap-distance-bottom:0;mso-position-horizontal:right;mso-position-horizontal-relative:margin;mso-position-vertical:absolute;mso-position-vertical-relative:page;mso-width-percent:1000;mso-width-relative:margin" from="487.8pt,75.9pt" to="1026.8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EcDgIAAGgEAAAOAAAAZHJzL2Uyb0RvYy54bWysVNuO0zAQfUfiH6y8t2nSbJuNmq62LeUF&#10;QcXCB3gdu7Hkm2zTtEL8O2MnTVewQgLx4vgyZ+acM3ZWD2cp0Ilax7Wqk2w6SxBVRDdcHevk65f9&#10;pEyQ81g1WGhF6+RCXfKwfvtm1ZmK5rrVoqEWQRLlqs7USeu9qdLUkZZK7KbaUAWHTFuJPSztMW0s&#10;7iC7FGk+my3STtvGWE2oc7C76w+TdczPGCX+E2OOeiTqBLj5ONo4PocxXa9wdbTYtJwMNPA/sJCY&#10;Kyg6ptphj9E3y39LJTmx2mnmp0TLVDPGCY0aQE02+0XNU4sNjVrAHGdGm9z/S0s+ng4W8QZ6B51S&#10;WEKPnrzF/Nh6tNVKgYPaIjgM6ujZf3B+mPX6vm+zcr5b7heTTXFfTor5Zj65L8rNJFvm5eYuf3xc&#10;vCt+BJ/TGz7tjKti6dCoON2qg4WgsHLmYEONM7MyfMEldI4tu4wtAyaIwOaiLO6KGXSWXM+gzBVo&#10;rPPvqZYoTOpEcBXcxBU+gYqe0TUkbAuFOvAhX0K+sHZa8GbPhYiLcCPpVlh0wnCXMCFU+XzQ9SIS&#10;ygsFYm9C4sxfBO1rfKYM/AbqWV/ktbzZkFcoiA4wBixG4MDuT8AhPkBpfAV/Ax4RsbJWfgRLrrR9&#10;jbY/XymzPv7qQK87WPCsm0tscbQGrnO8EcPTC+/l5TrCbz+I9U8AAAD//wMAUEsDBBQABgAIAAAA&#10;IQBeHXLV3AAAAAkBAAAPAAAAZHJzL2Rvd25yZXYueG1sTI/NTsMwEITvSLyDtUjcqFNEoQpxqgqJ&#10;C5xaflRum3hJUux1FLttytOzlZDguN+MZmeKxeid2tMQu8AGppMMFHEdbMeNgdeXx6s5qJiQLbrA&#10;ZOBIERbl+VmBuQ0HXtF+nRolIRxzNNCm1Odax7olj3ESemLRPsPgMck5NNoOeJBw7/R1lt1qjx3L&#10;hxZ7emip/lrvvIHN27t//naV19uPzc12OXs6rio05vJiXN6DSjSmPzOc6kt1KKVTFXZso3IGZEgS&#10;OpvKgJOc3c0FVb9Il4X+v6D8AQAA//8DAFBLAQItABQABgAIAAAAIQC2gziS/gAAAOEBAAATAAAA&#10;AAAAAAAAAAAAAAAAAABbQ29udGVudF9UeXBlc10ueG1sUEsBAi0AFAAGAAgAAAAhADj9If/WAAAA&#10;lAEAAAsAAAAAAAAAAAAAAAAALwEAAF9yZWxzLy5yZWxzUEsBAi0AFAAGAAgAAAAhAHSi8RwOAgAA&#10;aAQAAA4AAAAAAAAAAAAAAAAALgIAAGRycy9lMm9Eb2MueG1sUEsBAi0AFAAGAAgAAAAhAF4dctXc&#10;AAAACQEAAA8AAAAAAAAAAAAAAAAAaAQAAGRycy9kb3ducmV2LnhtbFBLBQYAAAAABAAEAPMAAABx&#10;BQAAAAA=&#10;" strokecolor="#264f90 [3205]" strokeweight="1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584"/>
    <w:multiLevelType w:val="hybridMultilevel"/>
    <w:tmpl w:val="F146D410"/>
    <w:lvl w:ilvl="0" w:tplc="E6140D5C">
      <w:start w:val="1"/>
      <w:numFmt w:val="bullet"/>
      <w:pStyle w:val="IconBox1Bullet"/>
      <w:lvlText w:val=""/>
      <w:lvlJc w:val="left"/>
      <w:pPr>
        <w:ind w:left="4122" w:hanging="360"/>
      </w:pPr>
      <w:rPr>
        <w:rFonts w:ascii="Symbol" w:hAnsi="Symbol" w:hint="default"/>
        <w:color w:val="212A4C" w:themeColor="accent1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2E5B11D9"/>
    <w:multiLevelType w:val="hybridMultilevel"/>
    <w:tmpl w:val="A90EF66E"/>
    <w:lvl w:ilvl="0" w:tplc="621E83FA">
      <w:start w:val="1"/>
      <w:numFmt w:val="bullet"/>
      <w:pStyle w:val="IconBox2Bullet"/>
      <w:lvlText w:val=""/>
      <w:lvlJc w:val="left"/>
      <w:pPr>
        <w:ind w:left="3762" w:hanging="360"/>
      </w:pPr>
      <w:rPr>
        <w:rFonts w:ascii="Symbol" w:hAnsi="Symbol" w:hint="default"/>
        <w:color w:val="E6E6E6" w:themeColor="background2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308E64B1"/>
    <w:multiLevelType w:val="hybridMultilevel"/>
    <w:tmpl w:val="6510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4E93"/>
    <w:multiLevelType w:val="hybridMultilevel"/>
    <w:tmpl w:val="2AFC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30825"/>
    <w:multiLevelType w:val="multilevel"/>
    <w:tmpl w:val="8D9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ind w:left="510" w:hanging="17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02532"/>
    <w:multiLevelType w:val="multilevel"/>
    <w:tmpl w:val="E8DE46F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264F90" w:themeColor="accent2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264F90" w:themeColor="accent2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264F90" w:themeColor="accen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6DB45EFE"/>
    <w:multiLevelType w:val="hybridMultilevel"/>
    <w:tmpl w:val="13E6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2"/>
    <w:rsid w:val="00001A64"/>
    <w:rsid w:val="00017597"/>
    <w:rsid w:val="000200EB"/>
    <w:rsid w:val="00026EC9"/>
    <w:rsid w:val="00027E66"/>
    <w:rsid w:val="0003434C"/>
    <w:rsid w:val="0004484A"/>
    <w:rsid w:val="000455F2"/>
    <w:rsid w:val="00054078"/>
    <w:rsid w:val="00061D6A"/>
    <w:rsid w:val="00080578"/>
    <w:rsid w:val="00082993"/>
    <w:rsid w:val="000A1C04"/>
    <w:rsid w:val="000D58AE"/>
    <w:rsid w:val="000F4F2F"/>
    <w:rsid w:val="00110A6E"/>
    <w:rsid w:val="00153902"/>
    <w:rsid w:val="001571DE"/>
    <w:rsid w:val="00161711"/>
    <w:rsid w:val="00163226"/>
    <w:rsid w:val="00175401"/>
    <w:rsid w:val="00177D26"/>
    <w:rsid w:val="0018509B"/>
    <w:rsid w:val="001A3854"/>
    <w:rsid w:val="001B0967"/>
    <w:rsid w:val="001B5EBB"/>
    <w:rsid w:val="001C10C5"/>
    <w:rsid w:val="001D5223"/>
    <w:rsid w:val="001D5B62"/>
    <w:rsid w:val="0023421B"/>
    <w:rsid w:val="002355AD"/>
    <w:rsid w:val="00243175"/>
    <w:rsid w:val="00253CF0"/>
    <w:rsid w:val="00260176"/>
    <w:rsid w:val="00271222"/>
    <w:rsid w:val="00287994"/>
    <w:rsid w:val="002A294C"/>
    <w:rsid w:val="002A77A4"/>
    <w:rsid w:val="002B5E7A"/>
    <w:rsid w:val="00327BBC"/>
    <w:rsid w:val="00353EE2"/>
    <w:rsid w:val="0038113F"/>
    <w:rsid w:val="003932FC"/>
    <w:rsid w:val="00396512"/>
    <w:rsid w:val="0039793D"/>
    <w:rsid w:val="003A01BD"/>
    <w:rsid w:val="003A0820"/>
    <w:rsid w:val="003C5346"/>
    <w:rsid w:val="00406956"/>
    <w:rsid w:val="0041233C"/>
    <w:rsid w:val="00432A99"/>
    <w:rsid w:val="0046775E"/>
    <w:rsid w:val="00476733"/>
    <w:rsid w:val="00480CF0"/>
    <w:rsid w:val="004A1899"/>
    <w:rsid w:val="004B3D3F"/>
    <w:rsid w:val="004D3D10"/>
    <w:rsid w:val="00500289"/>
    <w:rsid w:val="005160C6"/>
    <w:rsid w:val="00527D37"/>
    <w:rsid w:val="00535C06"/>
    <w:rsid w:val="005434FA"/>
    <w:rsid w:val="00553DC9"/>
    <w:rsid w:val="00582A91"/>
    <w:rsid w:val="00612B63"/>
    <w:rsid w:val="00615A9C"/>
    <w:rsid w:val="00624672"/>
    <w:rsid w:val="00631E68"/>
    <w:rsid w:val="00633C41"/>
    <w:rsid w:val="00647D19"/>
    <w:rsid w:val="006B7E20"/>
    <w:rsid w:val="006C583D"/>
    <w:rsid w:val="00710E8D"/>
    <w:rsid w:val="00712ADB"/>
    <w:rsid w:val="00727ADB"/>
    <w:rsid w:val="007661CA"/>
    <w:rsid w:val="00783369"/>
    <w:rsid w:val="007D1456"/>
    <w:rsid w:val="007E4FBD"/>
    <w:rsid w:val="0080053F"/>
    <w:rsid w:val="00804003"/>
    <w:rsid w:val="008346FF"/>
    <w:rsid w:val="00853B77"/>
    <w:rsid w:val="008742DD"/>
    <w:rsid w:val="008A1E6D"/>
    <w:rsid w:val="008A340B"/>
    <w:rsid w:val="00901119"/>
    <w:rsid w:val="00901E6B"/>
    <w:rsid w:val="0091510F"/>
    <w:rsid w:val="009226A5"/>
    <w:rsid w:val="0093640A"/>
    <w:rsid w:val="009956E1"/>
    <w:rsid w:val="009B02F7"/>
    <w:rsid w:val="009B68AA"/>
    <w:rsid w:val="009D2A6D"/>
    <w:rsid w:val="00A531FD"/>
    <w:rsid w:val="00A907E3"/>
    <w:rsid w:val="00A91F9F"/>
    <w:rsid w:val="00A92564"/>
    <w:rsid w:val="00AB76A4"/>
    <w:rsid w:val="00AC2BE2"/>
    <w:rsid w:val="00AD4F65"/>
    <w:rsid w:val="00AE093A"/>
    <w:rsid w:val="00AF71F9"/>
    <w:rsid w:val="00B17E75"/>
    <w:rsid w:val="00B612DA"/>
    <w:rsid w:val="00B729E2"/>
    <w:rsid w:val="00B870E6"/>
    <w:rsid w:val="00B926D5"/>
    <w:rsid w:val="00BA3B57"/>
    <w:rsid w:val="00BA4643"/>
    <w:rsid w:val="00BC1743"/>
    <w:rsid w:val="00BC2448"/>
    <w:rsid w:val="00BF19D6"/>
    <w:rsid w:val="00BF5EA2"/>
    <w:rsid w:val="00C05DB9"/>
    <w:rsid w:val="00C453DA"/>
    <w:rsid w:val="00C82A34"/>
    <w:rsid w:val="00C83070"/>
    <w:rsid w:val="00CB5B1C"/>
    <w:rsid w:val="00CF40FC"/>
    <w:rsid w:val="00D06FDA"/>
    <w:rsid w:val="00D43D9C"/>
    <w:rsid w:val="00D548FC"/>
    <w:rsid w:val="00D560DC"/>
    <w:rsid w:val="00D62F62"/>
    <w:rsid w:val="00D7371A"/>
    <w:rsid w:val="00D74D1D"/>
    <w:rsid w:val="00D772DA"/>
    <w:rsid w:val="00D81344"/>
    <w:rsid w:val="00D864E7"/>
    <w:rsid w:val="00D92143"/>
    <w:rsid w:val="00DA7680"/>
    <w:rsid w:val="00DB5904"/>
    <w:rsid w:val="00DB786A"/>
    <w:rsid w:val="00DF2D1D"/>
    <w:rsid w:val="00DF7AB4"/>
    <w:rsid w:val="00E47880"/>
    <w:rsid w:val="00E47EE2"/>
    <w:rsid w:val="00E52775"/>
    <w:rsid w:val="00E66D74"/>
    <w:rsid w:val="00E73034"/>
    <w:rsid w:val="00E824E0"/>
    <w:rsid w:val="00E85681"/>
    <w:rsid w:val="00E87E90"/>
    <w:rsid w:val="00EA661D"/>
    <w:rsid w:val="00EB248E"/>
    <w:rsid w:val="00EC3DAC"/>
    <w:rsid w:val="00EC59B4"/>
    <w:rsid w:val="00ED1A2D"/>
    <w:rsid w:val="00F06FBC"/>
    <w:rsid w:val="00F12D3F"/>
    <w:rsid w:val="00F245B1"/>
    <w:rsid w:val="00F24C7A"/>
    <w:rsid w:val="00F44DBB"/>
    <w:rsid w:val="00F50658"/>
    <w:rsid w:val="00F518BC"/>
    <w:rsid w:val="00F52C02"/>
    <w:rsid w:val="00F57682"/>
    <w:rsid w:val="00F64FDB"/>
    <w:rsid w:val="00F73C04"/>
    <w:rsid w:val="00FA3109"/>
    <w:rsid w:val="00FA6269"/>
    <w:rsid w:val="00FC150C"/>
    <w:rsid w:val="00FD17C4"/>
    <w:rsid w:val="00FD4E53"/>
    <w:rsid w:val="15A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8D6FEE2"/>
  <w15:chartTrackingRefBased/>
  <w15:docId w15:val="{9F792E6E-5F5E-4948-B5A3-C95AA87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BC"/>
  </w:style>
  <w:style w:type="paragraph" w:styleId="Heading1">
    <w:name w:val="heading 1"/>
    <w:basedOn w:val="Normal"/>
    <w:next w:val="Normal"/>
    <w:link w:val="Heading1Char"/>
    <w:uiPriority w:val="4"/>
    <w:qFormat/>
    <w:rsid w:val="00F64FDB"/>
    <w:pPr>
      <w:keepNext/>
      <w:keepLines/>
      <w:spacing w:before="320" w:after="160" w:line="420" w:lineRule="atLeast"/>
      <w:outlineLvl w:val="0"/>
    </w:pPr>
    <w:rPr>
      <w:rFonts w:asciiTheme="majorHAnsi" w:eastAsiaTheme="majorEastAsia" w:hAnsiTheme="majorHAnsi" w:cstheme="majorBidi"/>
      <w:b/>
      <w:color w:val="264F90" w:themeColor="accent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F64FDB"/>
    <w:pPr>
      <w:spacing w:line="340" w:lineRule="atLeast"/>
      <w:outlineLvl w:val="1"/>
    </w:pPr>
    <w:rPr>
      <w:color w:val="212A4C" w:themeColor="tex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F64FDB"/>
    <w:pPr>
      <w:spacing w:line="280" w:lineRule="atLeast"/>
      <w:outlineLvl w:val="2"/>
    </w:pPr>
    <w:rPr>
      <w:b w:val="0"/>
      <w:color w:val="264F90" w:themeColor="accent2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F64FDB"/>
    <w:pPr>
      <w:outlineLvl w:val="3"/>
    </w:pPr>
    <w:rPr>
      <w:b/>
      <w:iCs/>
      <w:color w:val="212A4C" w:themeColor="text2"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 w:val="0"/>
      <w:i/>
      <w:color w:val="264F9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</w:style>
  <w:style w:type="paragraph" w:styleId="Footer">
    <w:name w:val="footer"/>
    <w:basedOn w:val="Normal"/>
    <w:link w:val="FooterChar"/>
    <w:uiPriority w:val="99"/>
    <w:unhideWhenUsed/>
    <w:rsid w:val="00D43D9C"/>
    <w:pPr>
      <w:tabs>
        <w:tab w:val="right" w:pos="9866"/>
      </w:tabs>
      <w:spacing w:after="0" w:line="32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D43D9C"/>
  </w:style>
  <w:style w:type="paragraph" w:styleId="Subtitle">
    <w:name w:val="Subtitle"/>
    <w:basedOn w:val="Heading1"/>
    <w:next w:val="Normal"/>
    <w:link w:val="SubtitleChar"/>
    <w:uiPriority w:val="11"/>
    <w:qFormat/>
    <w:rsid w:val="00F64FDB"/>
    <w:pPr>
      <w:numPr>
        <w:ilvl w:val="1"/>
      </w:numPr>
      <w:spacing w:before="0" w:after="320" w:line="560" w:lineRule="atLeast"/>
    </w:pPr>
    <w:rPr>
      <w:color w:val="212A4C" w:themeColor="text2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4FDB"/>
    <w:rPr>
      <w:rFonts w:asciiTheme="majorHAnsi" w:eastAsiaTheme="majorEastAsia" w:hAnsiTheme="majorHAnsi" w:cstheme="majorBidi"/>
      <w:b/>
      <w:color w:val="212A4C" w:themeColor="text2"/>
      <w:sz w:val="44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64FDB"/>
    <w:pPr>
      <w:spacing w:before="0" w:after="0" w:line="240" w:lineRule="auto"/>
      <w:contextualSpacing/>
    </w:pPr>
    <w:rPr>
      <w:b w:val="0"/>
      <w:color w:val="212A4C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FDB"/>
    <w:rPr>
      <w:rFonts w:asciiTheme="majorHAnsi" w:eastAsiaTheme="majorEastAsia" w:hAnsiTheme="majorHAnsi" w:cstheme="majorBidi"/>
      <w:color w:val="212A4C" w:themeColor="text2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8A340B"/>
    <w:rPr>
      <w:rFonts w:asciiTheme="majorHAnsi" w:eastAsiaTheme="majorEastAsia" w:hAnsiTheme="majorHAnsi" w:cstheme="majorBidi"/>
      <w:b/>
      <w:color w:val="212A4C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8A340B"/>
    <w:rPr>
      <w:rFonts w:asciiTheme="majorHAnsi" w:eastAsiaTheme="majorEastAsia" w:hAnsiTheme="majorHAnsi" w:cstheme="majorBidi"/>
      <w:b/>
      <w:color w:val="264F90" w:themeColor="accen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8A340B"/>
    <w:rPr>
      <w:rFonts w:asciiTheme="majorHAnsi" w:eastAsiaTheme="majorEastAsia" w:hAnsiTheme="majorHAnsi" w:cstheme="majorBidi"/>
      <w:color w:val="264F9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8A340B"/>
    <w:rPr>
      <w:rFonts w:asciiTheme="majorHAnsi" w:eastAsiaTheme="majorEastAsia" w:hAnsiTheme="majorHAnsi" w:cstheme="majorBidi"/>
      <w:b/>
      <w:iCs/>
      <w:color w:val="212A4C" w:themeColor="text2"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061D6A"/>
    <w:pPr>
      <w:numPr>
        <w:numId w:val="2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F64FDB"/>
    <w:pPr>
      <w:spacing w:before="320" w:after="320" w:line="340" w:lineRule="atLeast"/>
    </w:pPr>
    <w:rPr>
      <w:color w:val="176C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F24C7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FE7F6"/>
    </w:p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after="160"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061D6A"/>
    <w:pPr>
      <w:numPr>
        <w:numId w:val="2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D06FDA"/>
    <w:pPr>
      <w:spacing w:before="80" w:line="240" w:lineRule="auto"/>
    </w:pPr>
    <w:tblPr>
      <w:tblStyleRowBandSize w:val="1"/>
      <w:tblStyleColBandSize w:val="1"/>
      <w:tblBorders>
        <w:top w:val="single" w:sz="4" w:space="0" w:color="176CB5" w:themeColor="accent3"/>
        <w:bottom w:val="single" w:sz="4" w:space="0" w:color="176CB5" w:themeColor="accent3"/>
        <w:insideH w:val="single" w:sz="4" w:space="0" w:color="176CB5" w:themeColor="accent3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spacing w:after="160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customStyle="1" w:styleId="IconBox1Heading">
    <w:name w:val="Icon Box 1 Heading"/>
    <w:basedOn w:val="Heading1"/>
    <w:uiPriority w:val="15"/>
    <w:qFormat/>
    <w:rsid w:val="00BA4643"/>
    <w:pPr>
      <w:spacing w:before="480"/>
      <w:ind w:left="3402" w:right="284"/>
      <w:outlineLvl w:val="2"/>
    </w:pPr>
  </w:style>
  <w:style w:type="paragraph" w:customStyle="1" w:styleId="IconBox1Text">
    <w:name w:val="Icon Box 1 Text"/>
    <w:basedOn w:val="Normal"/>
    <w:uiPriority w:val="15"/>
    <w:qFormat/>
    <w:rsid w:val="004B3D3F"/>
    <w:pPr>
      <w:ind w:left="3402" w:right="283"/>
    </w:pPr>
  </w:style>
  <w:style w:type="paragraph" w:customStyle="1" w:styleId="IconBox1Bullet">
    <w:name w:val="Icon Box 1 Bullet"/>
    <w:basedOn w:val="IconBox1Text"/>
    <w:uiPriority w:val="16"/>
    <w:qFormat/>
    <w:rsid w:val="004B3D3F"/>
    <w:pPr>
      <w:numPr>
        <w:numId w:val="3"/>
      </w:numPr>
      <w:spacing w:before="80"/>
      <w:ind w:left="3686" w:hanging="284"/>
    </w:pPr>
  </w:style>
  <w:style w:type="paragraph" w:customStyle="1" w:styleId="IconBox2Heading">
    <w:name w:val="Icon Box 2 Heading"/>
    <w:basedOn w:val="IconBox1Heading"/>
    <w:uiPriority w:val="17"/>
    <w:qFormat/>
    <w:rsid w:val="00BA4643"/>
    <w:rPr>
      <w:color w:val="FFFFFF" w:themeColor="background1"/>
    </w:rPr>
  </w:style>
  <w:style w:type="paragraph" w:customStyle="1" w:styleId="IconBox2Text">
    <w:name w:val="Icon Box 2 Text"/>
    <w:basedOn w:val="IconBox1Text"/>
    <w:uiPriority w:val="17"/>
    <w:qFormat/>
    <w:rsid w:val="004B3D3F"/>
    <w:pPr>
      <w:spacing w:after="160" w:line="340" w:lineRule="atLeast"/>
      <w:ind w:right="284"/>
    </w:pPr>
    <w:rPr>
      <w:color w:val="FFFFFF" w:themeColor="background1"/>
      <w:sz w:val="28"/>
    </w:rPr>
  </w:style>
  <w:style w:type="paragraph" w:customStyle="1" w:styleId="IconBox2Bullet">
    <w:name w:val="Icon Box 2 Bullet"/>
    <w:basedOn w:val="IconBox1Bullet"/>
    <w:uiPriority w:val="18"/>
    <w:qFormat/>
    <w:rsid w:val="004B3D3F"/>
    <w:pPr>
      <w:numPr>
        <w:numId w:val="4"/>
      </w:numPr>
    </w:pPr>
    <w:rPr>
      <w:color w:val="FFFFFF" w:themeColor="background1"/>
    </w:r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8A340B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BA4643"/>
    <w:rPr>
      <w:color w:val="0046FF" w:themeColor="hyperlink"/>
      <w:u w:val="single"/>
    </w:rPr>
  </w:style>
  <w:style w:type="paragraph" w:styleId="ListParagraph">
    <w:name w:val="List Paragraph"/>
    <w:aliases w:val="Bullet point,L,List Paragraph - bullets,List Paragraph1,List Paragraph11,NFP GP Bulleted List,Recommendation,bullet point list,AR bullet 1,Bullet Point,Bullet Points,Bullet points,Bulletr List Paragraph,CV text,Content descriptions,Dot pt"/>
    <w:basedOn w:val="Normal"/>
    <w:link w:val="ListParagraphChar"/>
    <w:uiPriority w:val="34"/>
    <w:qFormat/>
    <w:rsid w:val="000F4F2F"/>
    <w:pPr>
      <w:ind w:left="720"/>
      <w:contextualSpacing/>
    </w:pPr>
  </w:style>
  <w:style w:type="character" w:customStyle="1" w:styleId="ListParagraphChar">
    <w:name w:val="List Paragraph Char"/>
    <w:aliases w:val="Bullet point Char,L Char,List Paragraph - bullets Char,List Paragraph1 Char,List Paragraph11 Char,NFP GP Bulleted List Char,Recommendation Char,bullet point list Char,AR bullet 1 Char,Bullet Point Char,Bullet Points Char,CV text Char"/>
    <w:basedOn w:val="DefaultParagraphFont"/>
    <w:link w:val="ListParagraph"/>
    <w:uiPriority w:val="34"/>
    <w:qFormat/>
    <w:locked/>
    <w:rsid w:val="009B68AA"/>
  </w:style>
  <w:style w:type="character" w:customStyle="1" w:styleId="normaltextrun1">
    <w:name w:val="normaltextrun1"/>
    <w:basedOn w:val="DefaultParagraphFont"/>
    <w:rsid w:val="009B68AA"/>
  </w:style>
  <w:style w:type="character" w:styleId="CommentReference">
    <w:name w:val="annotation reference"/>
    <w:basedOn w:val="DefaultParagraphFont"/>
    <w:uiPriority w:val="99"/>
    <w:semiHidden/>
    <w:unhideWhenUsed/>
    <w:rsid w:val="00C45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3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3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71D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ochub/div/ausindustry/templates/AusIndustry%20-%20RDTI%20-%20Portrait%20-%20No%20Cover.dotx" TargetMode="External"/></Relationship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73702B1C25647A67EAEBFEAC27B4F" ma:contentTypeVersion="14" ma:contentTypeDescription="Create a new document." ma:contentTypeScope="" ma:versionID="22ea1a3209ba10d08ced1d4ee48b406b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2a251b7e-61e4-4816-a71f-b295a9ad20fb" targetNamespace="http://schemas.microsoft.com/office/2006/metadata/properties" ma:root="true" ma:fieldsID="7abba91595f5474a5cd6d45a7a93bae5" ns1:_="" ns2:_="" ns3:_="">
    <xsd:import namespace="http://schemas.microsoft.com/sharepoint/v3"/>
    <xsd:import namespace="a36bd50b-1532-4c22-b385-5c082c960938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Meeting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MeetingDate" ma:index="23" nillable="true" ma:displayName="Meeting Date" ma:description="Date of the meeting (DD/MM/YYYY)" ma:format="DateOnly" ma:internalName="DocHub_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714b106c-1997-42bd-bc30-232239c4425a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ec7ec973-6a82-41b3-afed-ea5f06dc068a</TermId>
        </TermInfo>
      </Terms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a36bd50b-1532-4c22-b385-5c082c960938">
      <Value>472</Value>
      <Value>68</Value>
      <Value>18</Value>
      <Value>3</Value>
      <Value>3154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805ad0cb-164b-47a7-a552-b10534128590</TermId>
        </TermInfo>
      </Terms>
    </g7bcb40ba23249a78edca7d43a67c1c9>
    <_dlc_DocId xmlns="a36bd50b-1532-4c22-b385-5c082c960938">YZXQVS7QACYM-2114359073-9241</_dlc_DocId>
    <_dlc_DocIdUrl xmlns="a36bd50b-1532-4c22-b385-5c082c960938">
      <Url>https://dochub/div/ausindustry/programmesprojectstaskforces/rdti/_layouts/15/DocIdRedir.aspx?ID=YZXQVS7QACYM-2114359073-9241</Url>
      <Description>YZXQVS7QACYM-2114359073-9241</Description>
    </_dlc_DocIdUrl>
    <DocHub_MeetingDate xmlns="a36bd50b-1532-4c22-b385-5c082c96093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9A79-EB6D-4C71-A6F8-9A6854A03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FCFB8-E536-46BE-8C34-319E094B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9583C-D10C-4C9C-A0B6-A9D03710DF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7C6C70-35E8-421B-BB2C-6F13C83C472A}">
  <ds:schemaRefs>
    <ds:schemaRef ds:uri="a36bd50b-1532-4c22-b385-5c082c960938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a251b7e-61e4-4816-a71f-b295a9ad20f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980B93-849E-4B48-8DEB-7DCC42E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AusIndustry%20-%20RDTI%20-%20Portrait%20-%20No%20Cover</Template>
  <TotalTime>12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SRG</cp:keywords>
  <dc:description/>
  <cp:lastModifiedBy>Cooper, Colin</cp:lastModifiedBy>
  <cp:revision>6</cp:revision>
  <cp:lastPrinted>2022-03-24T04:04:00Z</cp:lastPrinted>
  <dcterms:created xsi:type="dcterms:W3CDTF">2022-03-23T22:50:00Z</dcterms:created>
  <dcterms:modified xsi:type="dcterms:W3CDTF">2022-03-24T04:09:00Z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0x0101000D073702B1C25647A67EAEBFEAC27B4F</vt:lpwstr>
  </property>
  <property fmtid="{D5CDD505-2E9C-101B-9397-08002B2CF9AE}" pid="3" name="_dlc_DocIdItemGuid">
    <vt:lpwstr>42a6ce0a-69ac-4913-9d62-e709c4e1706f</vt:lpwstr>
  </property>
  <property fmtid="{D5CDD505-2E9C-101B-9397-08002B2CF9AE}" pid="4" name="DocHub_Year">
    <vt:lpwstr>472;#2021|712d5b50-1b62-44de-9d3e-74234783b265</vt:lpwstr>
  </property>
  <property fmtid="{D5CDD505-2E9C-101B-9397-08002B2CF9AE}" pid="5" name="DocHub_DocumentType">
    <vt:lpwstr>68;#Agenda|714b106c-1997-42bd-bc30-232239c4425a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3154;#Communications|ec7ec973-6a82-41b3-afed-ea5f06dc068a</vt:lpwstr>
  </property>
  <property fmtid="{D5CDD505-2E9C-101B-9397-08002B2CF9AE}" pid="8" name="DocHub_Division">
    <vt:lpwstr>111;#Common|8a2f92e9-1da3-4088-a90a-dd57315f71b9</vt:lpwstr>
  </property>
  <property fmtid="{D5CDD505-2E9C-101B-9397-08002B2CF9AE}" pid="9" name="DocHub_WorkActivity">
    <vt:lpwstr>18;#Meetings|805ad0cb-164b-47a7-a552-b10534128590</vt:lpwstr>
  </property>
  <property fmtid="{D5CDD505-2E9C-101B-9397-08002B2CF9AE}" pid="10" name="DocHub_CommsTemplateTopics">
    <vt:lpwstr>41970;#R＆D Tax Incentive|2f96d19e-ff06-41a3-af8f-e31ddc169295</vt:lpwstr>
  </property>
  <property fmtid="{D5CDD505-2E9C-101B-9397-08002B2CF9AE}" pid="11" name="DocHub_EntityCustomer">
    <vt:lpwstr/>
  </property>
  <property fmtid="{D5CDD505-2E9C-101B-9397-08002B2CF9AE}" pid="12" name="DocHub_DSOSection">
    <vt:lpwstr/>
  </property>
</Properties>
</file>