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B" w:rsidRPr="0099122D" w:rsidRDefault="0099122D" w:rsidP="0099122D">
      <w:pPr>
        <w:pStyle w:val="Heading1"/>
      </w:pPr>
      <w:r>
        <w:t xml:space="preserve">FA </w:t>
      </w:r>
      <w:r w:rsidRPr="0099122D">
        <w:rPr>
          <w:color w:val="548DD4" w:themeColor="text2" w:themeTint="99"/>
          <w:sz w:val="32"/>
          <w:szCs w:val="32"/>
        </w:rPr>
        <w:t>FAQs Pooled Development Funds Programme</w:t>
      </w:r>
    </w:p>
    <w:p w:rsidR="006F683B" w:rsidRDefault="006F683B">
      <w:pPr>
        <w:sectPr w:rsidR="006F683B" w:rsidSect="003335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8" w:bottom="1987" w:left="1138" w:header="706" w:footer="57" w:gutter="0"/>
          <w:cols w:space="708"/>
          <w:docGrid w:linePitch="360"/>
        </w:sectPr>
      </w:pPr>
    </w:p>
    <w:p w:rsidR="00941B57" w:rsidRPr="003335D8" w:rsidRDefault="00941B57" w:rsidP="006F683B">
      <w:pPr>
        <w:pStyle w:val="Heading2"/>
        <w:rPr>
          <w:b w:val="0"/>
          <w:sz w:val="21"/>
          <w:szCs w:val="21"/>
        </w:rPr>
      </w:pPr>
      <w:r w:rsidRPr="003335D8">
        <w:rPr>
          <w:b w:val="0"/>
          <w:sz w:val="22"/>
          <w:szCs w:val="22"/>
        </w:rPr>
        <w:lastRenderedPageBreak/>
        <w:t xml:space="preserve">How do </w:t>
      </w:r>
      <w:r w:rsidRPr="003335D8">
        <w:rPr>
          <w:b w:val="0"/>
          <w:sz w:val="21"/>
          <w:szCs w:val="21"/>
        </w:rPr>
        <w:t>I apply?</w:t>
      </w:r>
    </w:p>
    <w:p w:rsidR="00941B57" w:rsidRPr="003335D8" w:rsidRDefault="00941B57" w:rsidP="00941B57">
      <w:pPr>
        <w:spacing w:before="80" w:after="0"/>
        <w:rPr>
          <w:sz w:val="21"/>
          <w:szCs w:val="21"/>
        </w:rPr>
      </w:pPr>
      <w:r w:rsidRPr="003335D8">
        <w:rPr>
          <w:i/>
          <w:sz w:val="21"/>
          <w:szCs w:val="21"/>
        </w:rPr>
        <w:t>Pooled Development Fund</w:t>
      </w:r>
      <w:r w:rsidRPr="003335D8">
        <w:rPr>
          <w:sz w:val="21"/>
          <w:szCs w:val="21"/>
        </w:rPr>
        <w:t xml:space="preserve"> registration is no longer available, however funds already registered as </w:t>
      </w:r>
      <w:r w:rsidRPr="003335D8">
        <w:rPr>
          <w:i/>
          <w:sz w:val="21"/>
          <w:szCs w:val="21"/>
        </w:rPr>
        <w:t>P</w:t>
      </w:r>
      <w:r w:rsidR="00BF166D" w:rsidRPr="003335D8">
        <w:rPr>
          <w:i/>
          <w:sz w:val="21"/>
          <w:szCs w:val="21"/>
        </w:rPr>
        <w:t xml:space="preserve">ooled </w:t>
      </w:r>
      <w:r w:rsidRPr="003335D8">
        <w:rPr>
          <w:i/>
          <w:sz w:val="21"/>
          <w:szCs w:val="21"/>
        </w:rPr>
        <w:t>D</w:t>
      </w:r>
      <w:r w:rsidR="00BF166D" w:rsidRPr="003335D8">
        <w:rPr>
          <w:i/>
          <w:sz w:val="21"/>
          <w:szCs w:val="21"/>
        </w:rPr>
        <w:t xml:space="preserve">evelopment </w:t>
      </w:r>
      <w:r w:rsidRPr="003335D8">
        <w:rPr>
          <w:i/>
          <w:sz w:val="21"/>
          <w:szCs w:val="21"/>
        </w:rPr>
        <w:t>F</w:t>
      </w:r>
      <w:r w:rsidR="00BF166D" w:rsidRPr="003335D8">
        <w:rPr>
          <w:i/>
          <w:sz w:val="21"/>
          <w:szCs w:val="21"/>
        </w:rPr>
        <w:t>und</w:t>
      </w:r>
      <w:r w:rsidRPr="003335D8">
        <w:rPr>
          <w:i/>
          <w:sz w:val="21"/>
          <w:szCs w:val="21"/>
        </w:rPr>
        <w:t>s</w:t>
      </w:r>
      <w:r w:rsidRPr="003335D8">
        <w:rPr>
          <w:sz w:val="21"/>
          <w:szCs w:val="21"/>
        </w:rPr>
        <w:t xml:space="preserve"> will continue to operate and invest in small Australian companies.</w:t>
      </w:r>
    </w:p>
    <w:p w:rsidR="00941B57" w:rsidRPr="003335D8" w:rsidRDefault="00941B57" w:rsidP="006F683B">
      <w:pPr>
        <w:pStyle w:val="Heading2"/>
        <w:rPr>
          <w:b w:val="0"/>
          <w:sz w:val="21"/>
          <w:szCs w:val="21"/>
        </w:rPr>
      </w:pPr>
      <w:r w:rsidRPr="003335D8">
        <w:rPr>
          <w:b w:val="0"/>
          <w:sz w:val="21"/>
          <w:szCs w:val="21"/>
        </w:rPr>
        <w:t>Who is it for?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 Funds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raise capital and make equity investments in Australian small and medium-sized enterprises (SMEs).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sz w:val="21"/>
          <w:szCs w:val="21"/>
        </w:rPr>
        <w:t xml:space="preserve">The aim of the </w:t>
      </w:r>
      <w:r w:rsidRPr="003335D8">
        <w:rPr>
          <w:i/>
          <w:iCs/>
          <w:sz w:val="21"/>
          <w:szCs w:val="21"/>
        </w:rPr>
        <w:t>Pooled Development Funds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program is to increase the supply of capital to growing Australian SMEs.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i/>
          <w:iCs/>
          <w:sz w:val="21"/>
          <w:szCs w:val="21"/>
        </w:rPr>
        <w:t>Funds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are venture capital funds registered under the </w:t>
      </w:r>
      <w:r w:rsidRPr="003335D8">
        <w:rPr>
          <w:i/>
          <w:iCs/>
          <w:sz w:val="21"/>
          <w:szCs w:val="21"/>
        </w:rPr>
        <w:t>Pooled Development Funds Act 1992</w:t>
      </w:r>
      <w:r w:rsidRPr="003335D8">
        <w:rPr>
          <w:i/>
          <w:sz w:val="21"/>
          <w:szCs w:val="21"/>
        </w:rPr>
        <w:t>.</w:t>
      </w:r>
      <w:r w:rsidRPr="003335D8">
        <w:rPr>
          <w:sz w:val="21"/>
          <w:szCs w:val="21"/>
        </w:rPr>
        <w:t xml:space="preserve"> </w:t>
      </w:r>
    </w:p>
    <w:p w:rsidR="00941B57" w:rsidRPr="003335D8" w:rsidRDefault="00941B57" w:rsidP="006F683B">
      <w:pPr>
        <w:pStyle w:val="Heading2"/>
        <w:rPr>
          <w:b w:val="0"/>
          <w:sz w:val="21"/>
          <w:szCs w:val="21"/>
        </w:rPr>
      </w:pPr>
      <w:r w:rsidRPr="003335D8">
        <w:rPr>
          <w:b w:val="0"/>
          <w:sz w:val="21"/>
          <w:szCs w:val="21"/>
        </w:rPr>
        <w:t>What does it offer?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 Funds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and their shareholders receive tax benefits on the income derived from their equity investments.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sz w:val="21"/>
          <w:szCs w:val="21"/>
        </w:rPr>
        <w:t xml:space="preserve">This is intended to compensate for the higher risk of investing in SMEs.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 Funds</w:t>
      </w:r>
      <w:r w:rsidRPr="003335D8">
        <w:rPr>
          <w:iCs/>
          <w:sz w:val="21"/>
          <w:szCs w:val="21"/>
        </w:rPr>
        <w:t xml:space="preserve"> </w:t>
      </w:r>
      <w:r w:rsidR="00BF166D" w:rsidRPr="003335D8">
        <w:rPr>
          <w:sz w:val="21"/>
          <w:szCs w:val="21"/>
        </w:rPr>
        <w:t>are taxed at 15 per cent</w:t>
      </w:r>
      <w:r w:rsidRPr="003335D8">
        <w:rPr>
          <w:sz w:val="21"/>
          <w:szCs w:val="21"/>
        </w:rPr>
        <w:t xml:space="preserve"> on the income and gains derived from equity investments in Australian SMEs.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>shareholders are exempt from tax on the income and gains derived from</w:t>
      </w:r>
      <w:r w:rsidRPr="003335D8">
        <w:rPr>
          <w:rFonts w:ascii="Arial" w:hAnsi="Arial" w:cs="Arial"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holding and disposing of </w:t>
      </w: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shares.  </w:t>
      </w:r>
    </w:p>
    <w:p w:rsidR="00941B57" w:rsidRPr="003335D8" w:rsidRDefault="00941B57" w:rsidP="00941B57">
      <w:pPr>
        <w:autoSpaceDE w:val="0"/>
        <w:autoSpaceDN w:val="0"/>
        <w:adjustRightInd w:val="0"/>
        <w:spacing w:before="120" w:after="0"/>
        <w:rPr>
          <w:sz w:val="21"/>
          <w:szCs w:val="21"/>
        </w:rPr>
      </w:pPr>
      <w:r w:rsidRPr="003335D8">
        <w:rPr>
          <w:sz w:val="21"/>
          <w:szCs w:val="21"/>
        </w:rPr>
        <w:lastRenderedPageBreak/>
        <w:t xml:space="preserve">The extent of the above tax benefits depends upon a number of factors. </w:t>
      </w:r>
      <w:r w:rsidRPr="003335D8">
        <w:rPr>
          <w:i/>
          <w:iCs/>
          <w:sz w:val="21"/>
          <w:szCs w:val="21"/>
        </w:rPr>
        <w:t>Pooled Development Funds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and their </w:t>
      </w:r>
      <w:r w:rsidR="003335D8" w:rsidRPr="003335D8">
        <w:rPr>
          <w:sz w:val="21"/>
          <w:szCs w:val="21"/>
        </w:rPr>
        <w:t>shareholders should seek professional tax advice.</w:t>
      </w:r>
    </w:p>
    <w:p w:rsidR="00941B57" w:rsidRPr="003335D8" w:rsidRDefault="00941B57" w:rsidP="006F683B">
      <w:pPr>
        <w:pStyle w:val="Heading2"/>
        <w:rPr>
          <w:b w:val="0"/>
          <w:sz w:val="21"/>
          <w:szCs w:val="21"/>
        </w:rPr>
      </w:pPr>
      <w:r w:rsidRPr="003335D8">
        <w:rPr>
          <w:b w:val="0"/>
          <w:sz w:val="21"/>
          <w:szCs w:val="21"/>
        </w:rPr>
        <w:t>What investments are eligible?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sz w:val="21"/>
          <w:szCs w:val="21"/>
        </w:rPr>
        <w:t xml:space="preserve">Eligible </w:t>
      </w: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investments are made by acquiring newly-issued shares in SMEs with total assets of not more than $50 million. </w:t>
      </w:r>
    </w:p>
    <w:p w:rsidR="00941B57" w:rsidRPr="003335D8" w:rsidRDefault="00941B57" w:rsidP="001D476A">
      <w:pPr>
        <w:autoSpaceDE w:val="0"/>
        <w:autoSpaceDN w:val="0"/>
        <w:adjustRightInd w:val="0"/>
        <w:spacing w:before="80" w:after="80"/>
        <w:rPr>
          <w:sz w:val="21"/>
          <w:szCs w:val="21"/>
        </w:rPr>
      </w:pPr>
      <w:r w:rsidRPr="003335D8">
        <w:rPr>
          <w:sz w:val="21"/>
          <w:szCs w:val="21"/>
        </w:rPr>
        <w:t xml:space="preserve">The investee company must have issued the shares for the purpose of raising capital to: </w:t>
      </w:r>
    </w:p>
    <w:p w:rsidR="00941B57" w:rsidRPr="003335D8" w:rsidRDefault="00941B57" w:rsidP="00465B28">
      <w:pPr>
        <w:numPr>
          <w:ilvl w:val="0"/>
          <w:numId w:val="5"/>
        </w:numPr>
        <w:tabs>
          <w:tab w:val="clear" w:pos="360"/>
          <w:tab w:val="num" w:pos="-120"/>
        </w:tabs>
        <w:autoSpaceDE w:val="0"/>
        <w:autoSpaceDN w:val="0"/>
        <w:adjustRightInd w:val="0"/>
        <w:spacing w:after="0" w:line="260" w:lineRule="atLeast"/>
        <w:ind w:hanging="327"/>
        <w:rPr>
          <w:sz w:val="21"/>
          <w:szCs w:val="21"/>
        </w:rPr>
      </w:pPr>
      <w:r w:rsidRPr="003335D8">
        <w:rPr>
          <w:sz w:val="21"/>
          <w:szCs w:val="21"/>
        </w:rPr>
        <w:t xml:space="preserve">establish a new business activity </w:t>
      </w:r>
    </w:p>
    <w:p w:rsidR="00941B57" w:rsidRPr="003335D8" w:rsidRDefault="00941B57" w:rsidP="00465B28">
      <w:pPr>
        <w:numPr>
          <w:ilvl w:val="0"/>
          <w:numId w:val="5"/>
        </w:numPr>
        <w:tabs>
          <w:tab w:val="clear" w:pos="360"/>
          <w:tab w:val="num" w:pos="-120"/>
        </w:tabs>
        <w:autoSpaceDE w:val="0"/>
        <w:autoSpaceDN w:val="0"/>
        <w:adjustRightInd w:val="0"/>
        <w:spacing w:after="0" w:line="260" w:lineRule="atLeast"/>
        <w:ind w:hanging="327"/>
        <w:rPr>
          <w:sz w:val="21"/>
          <w:szCs w:val="21"/>
        </w:rPr>
      </w:pPr>
      <w:r w:rsidRPr="003335D8">
        <w:rPr>
          <w:sz w:val="21"/>
          <w:szCs w:val="21"/>
        </w:rPr>
        <w:t xml:space="preserve">substantially expand production capacity or services </w:t>
      </w:r>
    </w:p>
    <w:p w:rsidR="00941B57" w:rsidRPr="003335D8" w:rsidRDefault="00941B57" w:rsidP="00465B28">
      <w:pPr>
        <w:numPr>
          <w:ilvl w:val="0"/>
          <w:numId w:val="5"/>
        </w:numPr>
        <w:tabs>
          <w:tab w:val="clear" w:pos="360"/>
          <w:tab w:val="num" w:pos="-120"/>
        </w:tabs>
        <w:autoSpaceDE w:val="0"/>
        <w:autoSpaceDN w:val="0"/>
        <w:adjustRightInd w:val="0"/>
        <w:spacing w:after="0" w:line="240" w:lineRule="auto"/>
        <w:ind w:hanging="327"/>
        <w:rPr>
          <w:sz w:val="21"/>
          <w:szCs w:val="21"/>
        </w:rPr>
      </w:pPr>
      <w:r w:rsidRPr="003335D8">
        <w:rPr>
          <w:sz w:val="21"/>
          <w:szCs w:val="21"/>
        </w:rPr>
        <w:t xml:space="preserve">expand or develop markets. </w:t>
      </w:r>
    </w:p>
    <w:p w:rsidR="00941B57" w:rsidRPr="003335D8" w:rsidRDefault="00941B57" w:rsidP="001D476A">
      <w:pPr>
        <w:autoSpaceDE w:val="0"/>
        <w:autoSpaceDN w:val="0"/>
        <w:adjustRightInd w:val="0"/>
        <w:spacing w:before="80" w:after="80"/>
        <w:rPr>
          <w:sz w:val="21"/>
          <w:szCs w:val="21"/>
        </w:rPr>
      </w:pPr>
      <w:r w:rsidRPr="003335D8">
        <w:rPr>
          <w:sz w:val="21"/>
          <w:szCs w:val="21"/>
        </w:rPr>
        <w:t xml:space="preserve">While a </w:t>
      </w: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holds an investment, it is allowed to enter into the following transactions with the investee company: </w:t>
      </w:r>
    </w:p>
    <w:p w:rsidR="00941B57" w:rsidRPr="003335D8" w:rsidRDefault="00941B57" w:rsidP="00465B28">
      <w:pPr>
        <w:numPr>
          <w:ilvl w:val="0"/>
          <w:numId w:val="7"/>
        </w:numPr>
        <w:tabs>
          <w:tab w:val="clear" w:pos="720"/>
          <w:tab w:val="num" w:pos="-120"/>
        </w:tabs>
        <w:autoSpaceDE w:val="0"/>
        <w:autoSpaceDN w:val="0"/>
        <w:adjustRightInd w:val="0"/>
        <w:spacing w:after="0" w:line="260" w:lineRule="atLeast"/>
        <w:ind w:left="360" w:hanging="327"/>
        <w:rPr>
          <w:sz w:val="21"/>
          <w:szCs w:val="21"/>
        </w:rPr>
      </w:pPr>
      <w:r w:rsidRPr="003335D8">
        <w:rPr>
          <w:sz w:val="21"/>
          <w:szCs w:val="21"/>
        </w:rPr>
        <w:t xml:space="preserve">acquiring non-transferable options to buy shares </w:t>
      </w:r>
    </w:p>
    <w:p w:rsidR="00941B57" w:rsidRPr="003335D8" w:rsidRDefault="00941B57" w:rsidP="00465B28">
      <w:pPr>
        <w:numPr>
          <w:ilvl w:val="0"/>
          <w:numId w:val="6"/>
        </w:numPr>
        <w:tabs>
          <w:tab w:val="clear" w:pos="1080"/>
          <w:tab w:val="num" w:pos="-120"/>
        </w:tabs>
        <w:autoSpaceDE w:val="0"/>
        <w:autoSpaceDN w:val="0"/>
        <w:adjustRightInd w:val="0"/>
        <w:spacing w:after="0" w:line="260" w:lineRule="atLeast"/>
        <w:ind w:left="360" w:hanging="327"/>
        <w:rPr>
          <w:sz w:val="21"/>
          <w:szCs w:val="21"/>
        </w:rPr>
      </w:pPr>
      <w:r w:rsidRPr="003335D8">
        <w:rPr>
          <w:sz w:val="21"/>
          <w:szCs w:val="21"/>
        </w:rPr>
        <w:t xml:space="preserve">lending money </w:t>
      </w:r>
    </w:p>
    <w:p w:rsidR="00941B57" w:rsidRPr="003335D8" w:rsidRDefault="00941B57" w:rsidP="00465B28">
      <w:pPr>
        <w:numPr>
          <w:ilvl w:val="0"/>
          <w:numId w:val="6"/>
        </w:numPr>
        <w:tabs>
          <w:tab w:val="clear" w:pos="1080"/>
          <w:tab w:val="num" w:pos="-120"/>
        </w:tabs>
        <w:autoSpaceDE w:val="0"/>
        <w:autoSpaceDN w:val="0"/>
        <w:adjustRightInd w:val="0"/>
        <w:spacing w:after="0" w:line="260" w:lineRule="atLeast"/>
        <w:ind w:left="360" w:hanging="327"/>
        <w:rPr>
          <w:rFonts w:ascii="Arial" w:hAnsi="Arial" w:cs="Arial"/>
          <w:sz w:val="21"/>
          <w:szCs w:val="21"/>
        </w:rPr>
      </w:pPr>
      <w:r w:rsidRPr="003335D8">
        <w:rPr>
          <w:sz w:val="21"/>
          <w:szCs w:val="21"/>
        </w:rPr>
        <w:t xml:space="preserve">charging management fees.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sz w:val="21"/>
          <w:szCs w:val="21"/>
        </w:rPr>
        <w:t xml:space="preserve">A </w:t>
      </w:r>
      <w:r w:rsidRPr="003335D8">
        <w:rPr>
          <w:i/>
          <w:iCs/>
          <w:sz w:val="21"/>
          <w:szCs w:val="21"/>
        </w:rPr>
        <w:t xml:space="preserve">Pooled Development Fund </w:t>
      </w:r>
      <w:r w:rsidRPr="003335D8">
        <w:rPr>
          <w:sz w:val="21"/>
          <w:szCs w:val="21"/>
        </w:rPr>
        <w:t xml:space="preserve">cannot invest in companies whose primary activities are retail operations or property development. </w:t>
      </w:r>
    </w:p>
    <w:p w:rsidR="00941B57" w:rsidRPr="003335D8" w:rsidRDefault="00941B57" w:rsidP="006F683B">
      <w:pPr>
        <w:pStyle w:val="Heading2"/>
        <w:rPr>
          <w:b w:val="0"/>
          <w:sz w:val="21"/>
          <w:szCs w:val="21"/>
        </w:rPr>
      </w:pPr>
      <w:r w:rsidRPr="003335D8">
        <w:rPr>
          <w:b w:val="0"/>
          <w:sz w:val="21"/>
          <w:szCs w:val="21"/>
        </w:rPr>
        <w:lastRenderedPageBreak/>
        <w:t>How does a Pooled Development Fund operate?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sz w:val="21"/>
          <w:szCs w:val="21"/>
        </w:rPr>
        <w:t xml:space="preserve">The operations of a </w:t>
      </w: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are governed by the </w:t>
      </w:r>
      <w:r w:rsidRPr="003335D8">
        <w:rPr>
          <w:i/>
          <w:iCs/>
          <w:sz w:val="21"/>
          <w:szCs w:val="21"/>
        </w:rPr>
        <w:t>Pooled Development Funds Act 1992</w:t>
      </w:r>
      <w:r w:rsidRPr="003335D8">
        <w:rPr>
          <w:iCs/>
          <w:sz w:val="21"/>
          <w:szCs w:val="21"/>
        </w:rPr>
        <w:t xml:space="preserve">. </w:t>
      </w:r>
      <w:r w:rsidRPr="003335D8">
        <w:rPr>
          <w:sz w:val="21"/>
          <w:szCs w:val="21"/>
        </w:rPr>
        <w:t xml:space="preserve">A </w:t>
      </w: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is required to self-assess its compliance with the legislation but guidance is provided by Innovation Australia (the Board) in a series of information papers. </w:t>
      </w:r>
    </w:p>
    <w:p w:rsidR="00941B57" w:rsidRPr="003335D8" w:rsidRDefault="00941B57" w:rsidP="00941B57">
      <w:pPr>
        <w:autoSpaceDE w:val="0"/>
        <w:autoSpaceDN w:val="0"/>
        <w:adjustRightInd w:val="0"/>
        <w:spacing w:before="80" w:after="0"/>
        <w:rPr>
          <w:sz w:val="21"/>
          <w:szCs w:val="21"/>
        </w:rPr>
      </w:pPr>
      <w:r w:rsidRPr="003335D8">
        <w:rPr>
          <w:i/>
          <w:iCs/>
          <w:sz w:val="21"/>
          <w:szCs w:val="21"/>
        </w:rPr>
        <w:t>Pooled Development Fund</w:t>
      </w:r>
      <w:r w:rsidRPr="003335D8">
        <w:rPr>
          <w:iCs/>
          <w:sz w:val="21"/>
          <w:szCs w:val="21"/>
        </w:rPr>
        <w:t xml:space="preserve"> </w:t>
      </w:r>
      <w:r w:rsidRPr="003335D8">
        <w:rPr>
          <w:sz w:val="21"/>
          <w:szCs w:val="21"/>
        </w:rPr>
        <w:t xml:space="preserve">reporting requirements consist of investment notifications and an annual report to the Board. </w:t>
      </w:r>
    </w:p>
    <w:sectPr w:rsidR="00941B57" w:rsidRPr="003335D8" w:rsidSect="003335D8">
      <w:headerReference w:type="even" r:id="rId14"/>
      <w:headerReference w:type="default" r:id="rId15"/>
      <w:type w:val="continuous"/>
      <w:pgSz w:w="11906" w:h="16838" w:code="9"/>
      <w:pgMar w:top="1253" w:right="1138" w:bottom="851" w:left="1138" w:header="706" w:footer="274" w:gutter="0"/>
      <w:cols w:num="2"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0A" w:rsidRDefault="00E6250A">
      <w:r>
        <w:separator/>
      </w:r>
    </w:p>
  </w:endnote>
  <w:endnote w:type="continuationSeparator" w:id="0">
    <w:p w:rsidR="00E6250A" w:rsidRDefault="00E6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Interstate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eSerifOffice">
    <w:altName w:val="Interstate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C" w:rsidRDefault="00403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B" w:rsidRPr="003335D8" w:rsidRDefault="003335D8" w:rsidP="003335D8">
    <w:pPr>
      <w:pStyle w:val="Footer"/>
      <w:jc w:val="center"/>
      <w:rPr>
        <w:b/>
      </w:rPr>
    </w:pPr>
    <w:r w:rsidRPr="003335D8">
      <w:rPr>
        <w:b/>
      </w:rPr>
      <w:t>May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C" w:rsidRDefault="00403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0A" w:rsidRDefault="00E6250A">
      <w:r>
        <w:separator/>
      </w:r>
    </w:p>
  </w:footnote>
  <w:footnote w:type="continuationSeparator" w:id="0">
    <w:p w:rsidR="00E6250A" w:rsidRDefault="00E6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C" w:rsidRDefault="00403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2D" w:rsidRDefault="00465B28">
    <w:pPr>
      <w:pStyle w:val="Header"/>
    </w:pPr>
    <w:bookmarkStart w:id="0" w:name="_GoBack"/>
    <w:r>
      <w:rPr>
        <w:noProof/>
      </w:rPr>
      <w:drawing>
        <wp:inline distT="0" distB="0" distL="0" distR="0">
          <wp:extent cx="6257925" cy="800100"/>
          <wp:effectExtent l="0" t="0" r="9525" b="0"/>
          <wp:docPr id="2" name="Picture 2" descr="departmental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C" w:rsidRDefault="00403B2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B" w:rsidRDefault="006F683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B" w:rsidRDefault="006F68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3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83"/>
    <w:multiLevelType w:val="singleLevel"/>
    <w:tmpl w:val="A5542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750E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B"/>
    <w:multiLevelType w:val="multilevel"/>
    <w:tmpl w:val="13D0597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754"/>
        </w:tabs>
        <w:ind w:left="754" w:firstLine="720"/>
      </w:pPr>
      <w:rPr>
        <w:rFonts w:cs="Times New Roman" w:hint="default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cs="Times New Roman"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5" w:hanging="7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cs="Times New Roman" w:hint="default"/>
      </w:rPr>
    </w:lvl>
  </w:abstractNum>
  <w:abstractNum w:abstractNumId="4">
    <w:nsid w:val="0E422D03"/>
    <w:multiLevelType w:val="hybridMultilevel"/>
    <w:tmpl w:val="314CBE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80B58"/>
    <w:multiLevelType w:val="hybridMultilevel"/>
    <w:tmpl w:val="E0B65D9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8C3FDA"/>
    <w:multiLevelType w:val="hybridMultilevel"/>
    <w:tmpl w:val="86223A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57"/>
    <w:rsid w:val="00021B2D"/>
    <w:rsid w:val="00180192"/>
    <w:rsid w:val="001D476A"/>
    <w:rsid w:val="003335D8"/>
    <w:rsid w:val="00365C03"/>
    <w:rsid w:val="00403B2C"/>
    <w:rsid w:val="00465B28"/>
    <w:rsid w:val="005663D3"/>
    <w:rsid w:val="006F683B"/>
    <w:rsid w:val="00780301"/>
    <w:rsid w:val="008C4048"/>
    <w:rsid w:val="00930F59"/>
    <w:rsid w:val="00941B57"/>
    <w:rsid w:val="0099122D"/>
    <w:rsid w:val="00A8072B"/>
    <w:rsid w:val="00B65FC2"/>
    <w:rsid w:val="00BF166D"/>
    <w:rsid w:val="00E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0" w:line="280" w:lineRule="atLeast"/>
    </w:pPr>
    <w:rPr>
      <w:rFonts w:ascii="TheSansOffice" w:hAnsi="TheSansOffice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spacing w:before="160" w:line="400" w:lineRule="exact"/>
      <w:ind w:left="288"/>
      <w:outlineLvl w:val="0"/>
    </w:pPr>
    <w:rPr>
      <w:rFonts w:ascii="TheSerifOffice" w:hAnsi="TheSerifOffice"/>
      <w:color w:val="FFFFFF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before="320" w:after="80" w:line="320" w:lineRule="exact"/>
      <w:outlineLvl w:val="1"/>
    </w:pPr>
    <w:rPr>
      <w:rFonts w:ascii="TheSerifOffice" w:hAnsi="TheSerifOffice" w:cs="Arial"/>
      <w:b/>
      <w:bCs/>
      <w:iCs/>
      <w:color w:val="0052A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00" w:after="40" w:line="280" w:lineRule="exact"/>
      <w:outlineLvl w:val="2"/>
    </w:pPr>
    <w:rPr>
      <w:rFonts w:ascii="TheSerifOffice" w:hAnsi="TheSerifOffice"/>
      <w:b/>
      <w:bCs/>
      <w:color w:val="0052A4"/>
      <w:sz w:val="2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numPr>
        <w:ilvl w:val="3"/>
        <w:numId w:val="1"/>
      </w:numPr>
      <w:tabs>
        <w:tab w:val="num" w:pos="754"/>
      </w:tabs>
      <w:spacing w:after="120"/>
      <w:ind w:left="754" w:firstLine="720"/>
      <w:jc w:val="both"/>
      <w:outlineLvl w:val="3"/>
    </w:pPr>
    <w:rPr>
      <w:rFonts w:ascii="TimesNewRoman" w:eastAsia="MS Mincho" w:hAnsi="TimesNewRoman" w:cs="TimesNew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heSerifOffice" w:hAnsi="TheSerifOffice" w:cs="Times New Roman"/>
      <w:color w:val="FFFFFF"/>
      <w:sz w:val="24"/>
      <w:szCs w:val="24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heSerifOffice" w:hAnsi="TheSerifOffice" w:cs="Arial"/>
      <w:b/>
      <w:bCs/>
      <w:iCs/>
      <w:color w:val="0052A4"/>
      <w:sz w:val="28"/>
      <w:szCs w:val="28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NewRoman" w:eastAsia="MS Mincho" w:hAnsi="TimesNewRoman" w:cs="TimesNewRoman"/>
      <w:sz w:val="20"/>
      <w:szCs w:val="20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360"/>
        <w:tab w:val="num" w:pos="284"/>
        <w:tab w:val="num" w:pos="737"/>
      </w:tabs>
      <w:spacing w:line="280" w:lineRule="exact"/>
      <w:ind w:left="284" w:hanging="284"/>
    </w:pPr>
    <w:rPr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heSansOffice" w:hAnsi="TheSansOffic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heSansOffice" w:hAnsi="TheSansOffice" w:cs="Times New Roman"/>
      <w:sz w:val="24"/>
      <w:szCs w:val="24"/>
    </w:rPr>
  </w:style>
  <w:style w:type="paragraph" w:styleId="ListNumber">
    <w:name w:val="List Number"/>
    <w:basedOn w:val="Normal"/>
    <w:uiPriority w:val="99"/>
    <w:pPr>
      <w:numPr>
        <w:numId w:val="3"/>
      </w:numPr>
      <w:tabs>
        <w:tab w:val="num" w:pos="284"/>
        <w:tab w:val="num" w:pos="926"/>
      </w:tabs>
      <w:ind w:left="360" w:hanging="360"/>
    </w:pPr>
  </w:style>
  <w:style w:type="character" w:styleId="Hyperlink">
    <w:name w:val="Hyperlink"/>
    <w:basedOn w:val="DefaultParagraphFont"/>
    <w:uiPriority w:val="99"/>
    <w:rPr>
      <w:rFonts w:cs="Times New Roman"/>
      <w:color w:val="3366CC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heSansOffice" w:hAnsi="TheSansOffice" w:cs="Times New Roman"/>
      <w:sz w:val="24"/>
      <w:szCs w:val="24"/>
      <w:lang w:val="en-AU" w:eastAsia="en-AU" w:bidi="ar-SA"/>
    </w:rPr>
  </w:style>
  <w:style w:type="paragraph" w:styleId="ListBullet2">
    <w:name w:val="List Bullet 2"/>
    <w:basedOn w:val="ListBullet"/>
    <w:uiPriority w:val="99"/>
    <w:pPr>
      <w:numPr>
        <w:numId w:val="4"/>
      </w:numPr>
      <w:tabs>
        <w:tab w:val="clear" w:pos="737"/>
        <w:tab w:val="num" w:pos="284"/>
        <w:tab w:val="left" w:pos="7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0" w:line="280" w:lineRule="atLeast"/>
    </w:pPr>
    <w:rPr>
      <w:rFonts w:ascii="TheSansOffice" w:hAnsi="TheSansOffice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spacing w:before="160" w:line="400" w:lineRule="exact"/>
      <w:ind w:left="288"/>
      <w:outlineLvl w:val="0"/>
    </w:pPr>
    <w:rPr>
      <w:rFonts w:ascii="TheSerifOffice" w:hAnsi="TheSerifOffice"/>
      <w:color w:val="FFFFFF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before="320" w:after="80" w:line="320" w:lineRule="exact"/>
      <w:outlineLvl w:val="1"/>
    </w:pPr>
    <w:rPr>
      <w:rFonts w:ascii="TheSerifOffice" w:hAnsi="TheSerifOffice" w:cs="Arial"/>
      <w:b/>
      <w:bCs/>
      <w:iCs/>
      <w:color w:val="0052A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00" w:after="40" w:line="280" w:lineRule="exact"/>
      <w:outlineLvl w:val="2"/>
    </w:pPr>
    <w:rPr>
      <w:rFonts w:ascii="TheSerifOffice" w:hAnsi="TheSerifOffice"/>
      <w:b/>
      <w:bCs/>
      <w:color w:val="0052A4"/>
      <w:sz w:val="2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numPr>
        <w:ilvl w:val="3"/>
        <w:numId w:val="1"/>
      </w:numPr>
      <w:tabs>
        <w:tab w:val="num" w:pos="754"/>
      </w:tabs>
      <w:spacing w:after="120"/>
      <w:ind w:left="754" w:firstLine="720"/>
      <w:jc w:val="both"/>
      <w:outlineLvl w:val="3"/>
    </w:pPr>
    <w:rPr>
      <w:rFonts w:ascii="TimesNewRoman" w:eastAsia="MS Mincho" w:hAnsi="TimesNewRoman" w:cs="TimesNew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heSerifOffice" w:hAnsi="TheSerifOffice" w:cs="Times New Roman"/>
      <w:color w:val="FFFFFF"/>
      <w:sz w:val="24"/>
      <w:szCs w:val="24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heSerifOffice" w:hAnsi="TheSerifOffice" w:cs="Arial"/>
      <w:b/>
      <w:bCs/>
      <w:iCs/>
      <w:color w:val="0052A4"/>
      <w:sz w:val="28"/>
      <w:szCs w:val="28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NewRoman" w:eastAsia="MS Mincho" w:hAnsi="TimesNewRoman" w:cs="TimesNewRoman"/>
      <w:sz w:val="20"/>
      <w:szCs w:val="20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360"/>
        <w:tab w:val="num" w:pos="284"/>
        <w:tab w:val="num" w:pos="737"/>
      </w:tabs>
      <w:spacing w:line="280" w:lineRule="exact"/>
      <w:ind w:left="284" w:hanging="284"/>
    </w:pPr>
    <w:rPr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heSansOffice" w:hAnsi="TheSansOffic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heSansOffice" w:hAnsi="TheSansOffice" w:cs="Times New Roman"/>
      <w:sz w:val="24"/>
      <w:szCs w:val="24"/>
    </w:rPr>
  </w:style>
  <w:style w:type="paragraph" w:styleId="ListNumber">
    <w:name w:val="List Number"/>
    <w:basedOn w:val="Normal"/>
    <w:uiPriority w:val="99"/>
    <w:pPr>
      <w:numPr>
        <w:numId w:val="3"/>
      </w:numPr>
      <w:tabs>
        <w:tab w:val="num" w:pos="284"/>
        <w:tab w:val="num" w:pos="926"/>
      </w:tabs>
      <w:ind w:left="360" w:hanging="360"/>
    </w:pPr>
  </w:style>
  <w:style w:type="character" w:styleId="Hyperlink">
    <w:name w:val="Hyperlink"/>
    <w:basedOn w:val="DefaultParagraphFont"/>
    <w:uiPriority w:val="99"/>
    <w:rPr>
      <w:rFonts w:cs="Times New Roman"/>
      <w:color w:val="3366CC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heSansOffice" w:hAnsi="TheSansOffice" w:cs="Times New Roman"/>
      <w:sz w:val="24"/>
      <w:szCs w:val="24"/>
      <w:lang w:val="en-AU" w:eastAsia="en-AU" w:bidi="ar-SA"/>
    </w:rPr>
  </w:style>
  <w:style w:type="paragraph" w:styleId="ListBullet2">
    <w:name w:val="List Bullet 2"/>
    <w:basedOn w:val="ListBullet"/>
    <w:uiPriority w:val="99"/>
    <w:pPr>
      <w:numPr>
        <w:numId w:val="4"/>
      </w:numPr>
      <w:tabs>
        <w:tab w:val="clear" w:pos="737"/>
        <w:tab w:val="num" w:pos="284"/>
        <w:tab w:val="left" w:pos="7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tirvine\Local%20Settings\Temporary%20Internet%20Files\OLKCF\Template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Template-FactSheet</Template>
  <TotalTime>0</TotalTime>
  <Pages>2</Pages>
  <Words>364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• Green Building Fund</vt:lpstr>
    </vt:vector>
  </TitlesOfParts>
  <Company>DIISR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• Green Building Fund</dc:title>
  <dc:creator>Chelsea St-Irvine</dc:creator>
  <cp:lastModifiedBy>Maroya, Anthony</cp:lastModifiedBy>
  <cp:revision>4</cp:revision>
  <dcterms:created xsi:type="dcterms:W3CDTF">2016-05-25T01:39:00Z</dcterms:created>
  <dcterms:modified xsi:type="dcterms:W3CDTF">2016-05-25T01:39:00Z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