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13" w:rsidRDefault="002014E4" w:rsidP="002467BE">
      <w:bookmarkStart w:id="0" w:name="_GoBack"/>
      <w:bookmarkEnd w:id="0"/>
      <w:r>
        <w:rPr>
          <w:noProof/>
        </w:rPr>
        <w:drawing>
          <wp:inline distT="0" distB="0" distL="0" distR="0">
            <wp:extent cx="5953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742950"/>
                    </a:xfrm>
                    <a:prstGeom prst="rect">
                      <a:avLst/>
                    </a:prstGeom>
                    <a:noFill/>
                    <a:ln>
                      <a:noFill/>
                    </a:ln>
                  </pic:spPr>
                </pic:pic>
              </a:graphicData>
            </a:graphic>
          </wp:inline>
        </w:drawing>
      </w:r>
    </w:p>
    <w:p w:rsidR="009E7328" w:rsidRDefault="009E7328" w:rsidP="009E7328">
      <w:pPr>
        <w:jc w:val="center"/>
        <w:rPr>
          <w:rFonts w:ascii="Arial" w:hAnsi="Arial" w:cs="Arial"/>
          <w:b/>
          <w:bCs/>
          <w:sz w:val="20"/>
          <w:szCs w:val="20"/>
        </w:rPr>
      </w:pPr>
    </w:p>
    <w:p w:rsidR="00AC64FF" w:rsidRPr="00A15A6A" w:rsidRDefault="00AC64FF" w:rsidP="009E7328">
      <w:pPr>
        <w:pStyle w:val="Heading1"/>
        <w:jc w:val="center"/>
        <w:rPr>
          <w:color w:val="128DD4"/>
        </w:rPr>
      </w:pPr>
      <w:r w:rsidRPr="00A15A6A">
        <w:rPr>
          <w:color w:val="128DD4"/>
        </w:rPr>
        <w:t xml:space="preserve">Taxation of </w:t>
      </w:r>
      <w:r w:rsidR="00E82C81" w:rsidRPr="00A15A6A">
        <w:rPr>
          <w:color w:val="128DD4"/>
        </w:rPr>
        <w:t>P</w:t>
      </w:r>
      <w:r w:rsidR="00647AB2" w:rsidRPr="00A15A6A">
        <w:rPr>
          <w:color w:val="128DD4"/>
        </w:rPr>
        <w:t>ooled Development Funds</w:t>
      </w:r>
      <w:r w:rsidRPr="00A15A6A">
        <w:rPr>
          <w:color w:val="128DD4"/>
        </w:rPr>
        <w:t xml:space="preserve"> and their shareholders</w:t>
      </w:r>
    </w:p>
    <w:p w:rsidR="00647AB2" w:rsidRPr="002F65B9" w:rsidRDefault="00647AB2" w:rsidP="002F65B9">
      <w:pPr>
        <w:autoSpaceDE w:val="0"/>
        <w:autoSpaceDN w:val="0"/>
        <w:adjustRightInd w:val="0"/>
        <w:spacing w:line="280" w:lineRule="atLeast"/>
        <w:rPr>
          <w:rFonts w:ascii="TheSansOffice" w:hAnsi="TheSansOffice"/>
          <w:sz w:val="21"/>
          <w:szCs w:val="21"/>
        </w:rPr>
        <w:sectPr w:rsidR="00647AB2" w:rsidRPr="002F65B9">
          <w:headerReference w:type="default" r:id="rId10"/>
          <w:footerReference w:type="default" r:id="rId11"/>
          <w:headerReference w:type="first" r:id="rId12"/>
          <w:footerReference w:type="first" r:id="rId13"/>
          <w:pgSz w:w="11907" w:h="16840" w:code="9"/>
          <w:pgMar w:top="568" w:right="1134" w:bottom="568" w:left="1418" w:header="397" w:footer="397" w:gutter="0"/>
          <w:cols w:space="720"/>
          <w:titlePg/>
        </w:sectPr>
      </w:pPr>
      <w:r w:rsidRPr="002F65B9">
        <w:rPr>
          <w:rFonts w:ascii="TheSansOffice" w:hAnsi="TheSansOffice"/>
          <w:sz w:val="21"/>
          <w:szCs w:val="21"/>
        </w:rPr>
        <w:t xml:space="preserve"> </w:t>
      </w:r>
      <w:r w:rsidR="00A952C9" w:rsidRPr="002F65B9">
        <w:rPr>
          <w:rFonts w:ascii="TheSansOffice" w:hAnsi="TheSansOffice"/>
          <w:sz w:val="21"/>
          <w:szCs w:val="21"/>
        </w:rPr>
        <w:t xml:space="preserve"> </w:t>
      </w:r>
    </w:p>
    <w:p w:rsidR="00C8411E" w:rsidRPr="004B48AE" w:rsidRDefault="00AC64FF" w:rsidP="00C8411E">
      <w:pPr>
        <w:autoSpaceDE w:val="0"/>
        <w:autoSpaceDN w:val="0"/>
        <w:adjustRightInd w:val="0"/>
        <w:spacing w:line="280" w:lineRule="atLeast"/>
        <w:rPr>
          <w:rFonts w:ascii="TheSansOffice" w:hAnsi="TheSansOffice"/>
          <w:sz w:val="21"/>
          <w:szCs w:val="21"/>
        </w:rPr>
      </w:pPr>
      <w:r w:rsidRPr="004B48AE">
        <w:rPr>
          <w:rFonts w:ascii="TheSansOffice" w:hAnsi="TheSansOffice"/>
          <w:sz w:val="21"/>
          <w:szCs w:val="21"/>
        </w:rPr>
        <w:lastRenderedPageBreak/>
        <w:t xml:space="preserve">A company registered as </w:t>
      </w:r>
      <w:r w:rsidR="00647AB2" w:rsidRPr="004B48AE">
        <w:rPr>
          <w:rFonts w:ascii="TheSansOffice" w:hAnsi="TheSansOffice"/>
          <w:sz w:val="21"/>
          <w:szCs w:val="21"/>
        </w:rPr>
        <w:t xml:space="preserve">a </w:t>
      </w:r>
      <w:r w:rsidR="00497913" w:rsidRPr="004B48AE">
        <w:rPr>
          <w:rFonts w:ascii="TheSansOffice" w:hAnsi="TheSansOffice"/>
          <w:sz w:val="21"/>
          <w:szCs w:val="21"/>
        </w:rPr>
        <w:t>Pooled Development F</w:t>
      </w:r>
      <w:r w:rsidRPr="004B48AE">
        <w:rPr>
          <w:rFonts w:ascii="TheSansOffice" w:hAnsi="TheSansOffice"/>
          <w:sz w:val="21"/>
          <w:szCs w:val="21"/>
        </w:rPr>
        <w:t>und (PDF)</w:t>
      </w:r>
      <w:r w:rsidR="00647AB2" w:rsidRPr="004B48AE">
        <w:rPr>
          <w:rFonts w:ascii="TheSansOffice" w:hAnsi="TheSansOffice"/>
          <w:sz w:val="21"/>
          <w:szCs w:val="21"/>
        </w:rPr>
        <w:t>,</w:t>
      </w:r>
      <w:r w:rsidRPr="004B48AE">
        <w:rPr>
          <w:rFonts w:ascii="TheSansOffice" w:hAnsi="TheSansOffice"/>
          <w:sz w:val="21"/>
          <w:szCs w:val="21"/>
        </w:rPr>
        <w:t xml:space="preserve"> and its shareholders, </w:t>
      </w:r>
      <w:r w:rsidR="000E551F" w:rsidRPr="004B48AE">
        <w:rPr>
          <w:rFonts w:ascii="TheSansOffice" w:hAnsi="TheSansOffice"/>
          <w:sz w:val="21"/>
          <w:szCs w:val="21"/>
        </w:rPr>
        <w:t>are</w:t>
      </w:r>
      <w:r w:rsidRPr="004B48AE">
        <w:rPr>
          <w:rFonts w:ascii="TheSansOffice" w:hAnsi="TheSansOffice"/>
          <w:sz w:val="21"/>
          <w:szCs w:val="21"/>
        </w:rPr>
        <w:t xml:space="preserve"> entitled to certain tax concessions on income derived from investments.  </w:t>
      </w:r>
    </w:p>
    <w:p w:rsidR="00C8411E" w:rsidRDefault="00C8411E" w:rsidP="00C8411E">
      <w:pPr>
        <w:autoSpaceDE w:val="0"/>
        <w:autoSpaceDN w:val="0"/>
        <w:adjustRightInd w:val="0"/>
        <w:spacing w:line="280" w:lineRule="atLeast"/>
        <w:rPr>
          <w:rFonts w:ascii="TheSansOffice" w:hAnsi="TheSansOffice"/>
          <w:sz w:val="21"/>
          <w:szCs w:val="21"/>
        </w:rPr>
      </w:pPr>
    </w:p>
    <w:p w:rsidR="00AC64FF" w:rsidRPr="00C8411E" w:rsidRDefault="00AC64FF" w:rsidP="00C8411E">
      <w:pPr>
        <w:autoSpaceDE w:val="0"/>
        <w:autoSpaceDN w:val="0"/>
        <w:adjustRightInd w:val="0"/>
        <w:spacing w:line="280" w:lineRule="atLeast"/>
        <w:rPr>
          <w:rFonts w:ascii="TheSansOffice" w:hAnsi="TheSansOffice"/>
          <w:sz w:val="21"/>
          <w:szCs w:val="21"/>
        </w:rPr>
      </w:pPr>
      <w:r w:rsidRPr="00375448">
        <w:rPr>
          <w:rFonts w:ascii="TheSerifOffice" w:hAnsi="TheSerifOffice" w:cs="Arial"/>
          <w:b/>
          <w:iCs/>
          <w:color w:val="0052A4"/>
          <w:sz w:val="26"/>
          <w:szCs w:val="26"/>
        </w:rPr>
        <w:t xml:space="preserve">Taxation treatment of dividends paid by PDFs to their shareholders </w:t>
      </w:r>
    </w:p>
    <w:p w:rsidR="00BB13D7" w:rsidRDefault="00AC64FF" w:rsidP="00BB13D7">
      <w:pPr>
        <w:autoSpaceDE w:val="0"/>
        <w:autoSpaceDN w:val="0"/>
        <w:adjustRightInd w:val="0"/>
        <w:spacing w:after="240" w:line="280" w:lineRule="atLeast"/>
        <w:rPr>
          <w:rFonts w:ascii="TheSansOffice" w:hAnsi="TheSansOffice"/>
          <w:sz w:val="21"/>
          <w:szCs w:val="21"/>
        </w:rPr>
      </w:pPr>
      <w:r w:rsidRPr="002F65B9">
        <w:rPr>
          <w:rFonts w:ascii="TheSansOffice" w:hAnsi="TheSansOffice"/>
          <w:sz w:val="21"/>
          <w:szCs w:val="21"/>
        </w:rPr>
        <w:t xml:space="preserve">Unfranked dividends paid by a PDF are tax exempt in the hands of shareholders.  Franked dividends paid by a </w:t>
      </w:r>
      <w:smartTag w:uri="urn:schemas-microsoft-com:office:smarttags" w:element="PersonName">
        <w:r w:rsidRPr="002F65B9">
          <w:rPr>
            <w:rFonts w:ascii="TheSansOffice" w:hAnsi="TheSansOffice"/>
            <w:sz w:val="21"/>
            <w:szCs w:val="21"/>
          </w:rPr>
          <w:t>PDF</w:t>
        </w:r>
      </w:smartTag>
      <w:r w:rsidRPr="002F65B9">
        <w:rPr>
          <w:rFonts w:ascii="TheSansOffice" w:hAnsi="TheSansOffice"/>
          <w:sz w:val="21"/>
          <w:szCs w:val="21"/>
        </w:rPr>
        <w:t xml:space="preserve"> are also tax exempt in the hands of shareholders, unless the shareholder elects to be taxed.  Where shareholders elect to be taxed, they can use the imputation credits attached to the franked dividend t</w:t>
      </w:r>
      <w:r w:rsidR="00BB13D7">
        <w:rPr>
          <w:rFonts w:ascii="TheSansOffice" w:hAnsi="TheSansOffice"/>
          <w:sz w:val="21"/>
          <w:szCs w:val="21"/>
        </w:rPr>
        <w:t>o offset other tax obligations.</w:t>
      </w:r>
    </w:p>
    <w:p w:rsidR="00AC64FF" w:rsidRPr="00BB13D7" w:rsidRDefault="00AC64FF" w:rsidP="00BB13D7">
      <w:pPr>
        <w:autoSpaceDE w:val="0"/>
        <w:autoSpaceDN w:val="0"/>
        <w:adjustRightInd w:val="0"/>
        <w:spacing w:after="240" w:line="280" w:lineRule="atLeast"/>
        <w:rPr>
          <w:rFonts w:ascii="TheSansOffice" w:hAnsi="TheSansOffice"/>
          <w:sz w:val="21"/>
          <w:szCs w:val="21"/>
        </w:rPr>
      </w:pPr>
      <w:r w:rsidRPr="00375448">
        <w:rPr>
          <w:rFonts w:ascii="TheSerifOffice" w:hAnsi="TheSerifOffice" w:cs="Arial"/>
          <w:b/>
          <w:iCs/>
          <w:color w:val="0052A4"/>
          <w:sz w:val="26"/>
          <w:szCs w:val="26"/>
        </w:rPr>
        <w:t>Taxation treatment of capital gains made on the sale of shares in PDFs</w:t>
      </w:r>
      <w:r w:rsidRPr="002F65B9">
        <w:rPr>
          <w:rFonts w:ascii="TheSerifOffice" w:hAnsi="TheSerifOffice" w:cs="Arial"/>
          <w:b/>
          <w:iCs/>
          <w:color w:val="0052A4"/>
          <w:szCs w:val="28"/>
        </w:rPr>
        <w:t xml:space="preserve"> </w:t>
      </w:r>
    </w:p>
    <w:p w:rsidR="00AC64FF" w:rsidRPr="00BB13D7" w:rsidRDefault="00AC64FF" w:rsidP="00BB13D7">
      <w:pPr>
        <w:autoSpaceDE w:val="0"/>
        <w:autoSpaceDN w:val="0"/>
        <w:adjustRightInd w:val="0"/>
        <w:spacing w:after="240" w:line="280" w:lineRule="atLeast"/>
        <w:rPr>
          <w:rFonts w:ascii="TheSansOffice" w:hAnsi="TheSansOffice"/>
          <w:sz w:val="21"/>
          <w:szCs w:val="21"/>
        </w:rPr>
      </w:pPr>
      <w:r w:rsidRPr="002F65B9">
        <w:rPr>
          <w:rFonts w:ascii="TheSansOffice" w:hAnsi="TheSansOffice"/>
          <w:sz w:val="21"/>
          <w:szCs w:val="21"/>
        </w:rPr>
        <w:t>The capital gains on realisation of shares held in a PDF</w:t>
      </w:r>
      <w:r w:rsidR="00BB13D7">
        <w:rPr>
          <w:rFonts w:ascii="TheSansOffice" w:hAnsi="TheSansOffice"/>
          <w:sz w:val="21"/>
          <w:szCs w:val="21"/>
        </w:rPr>
        <w:t xml:space="preserve"> are tax exempt.</w:t>
      </w:r>
    </w:p>
    <w:p w:rsidR="00AC64FF" w:rsidRPr="00375448" w:rsidRDefault="00AC64FF" w:rsidP="002F65B9">
      <w:pPr>
        <w:pStyle w:val="Heading2"/>
        <w:spacing w:after="200" w:line="320" w:lineRule="exact"/>
        <w:rPr>
          <w:rFonts w:ascii="TheSerifOffice" w:hAnsi="TheSerifOffice" w:cs="Arial"/>
          <w:b w:val="0"/>
          <w:iCs/>
          <w:color w:val="0052A4"/>
          <w:sz w:val="26"/>
          <w:szCs w:val="26"/>
        </w:rPr>
      </w:pPr>
      <w:r w:rsidRPr="00375448">
        <w:rPr>
          <w:rFonts w:ascii="TheSerifOffice" w:hAnsi="TheSerifOffice" w:cs="Arial"/>
          <w:b w:val="0"/>
          <w:iCs/>
          <w:color w:val="0052A4"/>
          <w:sz w:val="26"/>
          <w:szCs w:val="26"/>
        </w:rPr>
        <w:t xml:space="preserve">Taxation treatment of </w:t>
      </w:r>
      <w:smartTag w:uri="urn:schemas-microsoft-com:office:smarttags" w:element="PersonName">
        <w:r w:rsidRPr="00375448">
          <w:rPr>
            <w:rFonts w:ascii="TheSerifOffice" w:hAnsi="TheSerifOffice" w:cs="Arial"/>
            <w:b w:val="0"/>
            <w:iCs/>
            <w:color w:val="0052A4"/>
            <w:sz w:val="26"/>
            <w:szCs w:val="26"/>
          </w:rPr>
          <w:t>PDF</w:t>
        </w:r>
      </w:smartTag>
      <w:r w:rsidRPr="00375448">
        <w:rPr>
          <w:rFonts w:ascii="TheSerifOffice" w:hAnsi="TheSerifOffice" w:cs="Arial"/>
          <w:b w:val="0"/>
          <w:iCs/>
          <w:color w:val="0052A4"/>
          <w:sz w:val="26"/>
          <w:szCs w:val="26"/>
        </w:rPr>
        <w:t xml:space="preserve"> income </w:t>
      </w:r>
    </w:p>
    <w:p w:rsidR="00497913" w:rsidRPr="00BB13D7" w:rsidRDefault="00AC64FF" w:rsidP="00BB13D7">
      <w:pPr>
        <w:autoSpaceDE w:val="0"/>
        <w:autoSpaceDN w:val="0"/>
        <w:adjustRightInd w:val="0"/>
        <w:spacing w:after="240" w:line="280" w:lineRule="atLeast"/>
        <w:rPr>
          <w:rFonts w:ascii="TheSansOffice" w:hAnsi="TheSansOffice"/>
          <w:sz w:val="21"/>
          <w:szCs w:val="21"/>
        </w:rPr>
      </w:pPr>
      <w:r w:rsidRPr="002F65B9">
        <w:rPr>
          <w:rFonts w:ascii="TheSansOffice" w:hAnsi="TheSansOffice"/>
          <w:sz w:val="21"/>
          <w:szCs w:val="21"/>
        </w:rPr>
        <w:t xml:space="preserve">The income derived by </w:t>
      </w:r>
      <w:smartTag w:uri="urn:schemas-microsoft-com:office:smarttags" w:element="PersonName">
        <w:r w:rsidRPr="002F65B9">
          <w:rPr>
            <w:rFonts w:ascii="TheSansOffice" w:hAnsi="TheSansOffice"/>
            <w:sz w:val="21"/>
            <w:szCs w:val="21"/>
          </w:rPr>
          <w:t>PDF</w:t>
        </w:r>
      </w:smartTag>
      <w:r w:rsidRPr="002F65B9">
        <w:rPr>
          <w:rFonts w:ascii="TheSansOffice" w:hAnsi="TheSansOffice"/>
          <w:sz w:val="21"/>
          <w:szCs w:val="21"/>
        </w:rPr>
        <w:t xml:space="preserve">s from investments in companies, whether dividend, capital gains or other income, is taxed at 15 per cent rather than the full corporate tax rate.  </w:t>
      </w:r>
      <w:smartTag w:uri="urn:schemas-microsoft-com:office:smarttags" w:element="PersonName">
        <w:r w:rsidRPr="002F65B9">
          <w:rPr>
            <w:rFonts w:ascii="TheSansOffice" w:hAnsi="TheSansOffice"/>
            <w:sz w:val="21"/>
            <w:szCs w:val="21"/>
          </w:rPr>
          <w:t>PDF</w:t>
        </w:r>
      </w:smartTag>
      <w:r w:rsidRPr="002F65B9">
        <w:rPr>
          <w:rFonts w:ascii="TheSansOffice" w:hAnsi="TheSansOffice"/>
          <w:sz w:val="21"/>
          <w:szCs w:val="21"/>
        </w:rPr>
        <w:t>s credit their franking accounts for tax paid but may frank a distribution up to the general corporate rate of 30 per cent.  This enables them to pass on a greater franking benefit to their shareholders than would otherwise be warranted by the tax they have paid, where they have a sur</w:t>
      </w:r>
      <w:r w:rsidR="00BB13D7">
        <w:rPr>
          <w:rFonts w:ascii="TheSansOffice" w:hAnsi="TheSansOffice"/>
          <w:sz w:val="21"/>
          <w:szCs w:val="21"/>
        </w:rPr>
        <w:t>plus in their franking account.</w:t>
      </w:r>
    </w:p>
    <w:p w:rsidR="000E551F" w:rsidRPr="00375448" w:rsidRDefault="00A952C9" w:rsidP="002F65B9">
      <w:pPr>
        <w:pStyle w:val="Heading2"/>
        <w:spacing w:after="200" w:line="320" w:lineRule="exact"/>
        <w:rPr>
          <w:rFonts w:ascii="TheSerifOffice" w:hAnsi="TheSerifOffice" w:cs="Arial"/>
          <w:b w:val="0"/>
          <w:iCs/>
          <w:color w:val="0052A4"/>
          <w:sz w:val="26"/>
          <w:szCs w:val="26"/>
        </w:rPr>
      </w:pPr>
      <w:r w:rsidRPr="00375448">
        <w:rPr>
          <w:rFonts w:ascii="TheSerifOffice" w:hAnsi="TheSerifOffice" w:cs="Arial"/>
          <w:b w:val="0"/>
          <w:iCs/>
          <w:color w:val="0052A4"/>
          <w:sz w:val="26"/>
          <w:szCs w:val="26"/>
        </w:rPr>
        <w:t>Whe</w:t>
      </w:r>
      <w:r w:rsidR="009E7328" w:rsidRPr="00375448">
        <w:rPr>
          <w:rFonts w:ascii="TheSerifOffice" w:hAnsi="TheSerifOffice" w:cs="Arial"/>
          <w:b w:val="0"/>
          <w:iCs/>
          <w:color w:val="0052A4"/>
          <w:sz w:val="26"/>
          <w:szCs w:val="26"/>
        </w:rPr>
        <w:t>n a c</w:t>
      </w:r>
      <w:r w:rsidRPr="00375448">
        <w:rPr>
          <w:rFonts w:ascii="TheSerifOffice" w:hAnsi="TheSerifOffice" w:cs="Arial"/>
          <w:b w:val="0"/>
          <w:iCs/>
          <w:color w:val="0052A4"/>
          <w:sz w:val="26"/>
          <w:szCs w:val="26"/>
        </w:rPr>
        <w:t xml:space="preserve">ompany ceases to be a </w:t>
      </w:r>
      <w:smartTag w:uri="urn:schemas-microsoft-com:office:smarttags" w:element="PersonName">
        <w:r w:rsidRPr="00375448">
          <w:rPr>
            <w:rFonts w:ascii="TheSerifOffice" w:hAnsi="TheSerifOffice" w:cs="Arial"/>
            <w:b w:val="0"/>
            <w:iCs/>
            <w:color w:val="0052A4"/>
            <w:sz w:val="26"/>
            <w:szCs w:val="26"/>
          </w:rPr>
          <w:t>PDF</w:t>
        </w:r>
      </w:smartTag>
    </w:p>
    <w:p w:rsidR="000E551F" w:rsidRPr="002F65B9" w:rsidRDefault="000E551F" w:rsidP="002F65B9">
      <w:pPr>
        <w:autoSpaceDE w:val="0"/>
        <w:autoSpaceDN w:val="0"/>
        <w:adjustRightInd w:val="0"/>
        <w:spacing w:line="280" w:lineRule="atLeast"/>
        <w:rPr>
          <w:rFonts w:ascii="TheSansOffice" w:hAnsi="TheSansOffice"/>
          <w:sz w:val="21"/>
          <w:szCs w:val="21"/>
        </w:rPr>
      </w:pPr>
      <w:r w:rsidRPr="002F65B9">
        <w:rPr>
          <w:rFonts w:ascii="TheSansOffice" w:hAnsi="TheSansOffice"/>
          <w:sz w:val="21"/>
          <w:szCs w:val="21"/>
        </w:rPr>
        <w:t>The company is treated as</w:t>
      </w:r>
      <w:r w:rsidR="00647AB2" w:rsidRPr="002F65B9">
        <w:rPr>
          <w:rFonts w:ascii="TheSansOffice" w:hAnsi="TheSansOffice"/>
          <w:sz w:val="21"/>
          <w:szCs w:val="21"/>
        </w:rPr>
        <w:t xml:space="preserve"> if</w:t>
      </w:r>
      <w:r w:rsidRPr="002F65B9">
        <w:rPr>
          <w:rFonts w:ascii="TheSansOffice" w:hAnsi="TheSansOffice"/>
          <w:sz w:val="21"/>
          <w:szCs w:val="21"/>
        </w:rPr>
        <w:t xml:space="preserve"> it was an ordinary company for that entire income year.</w:t>
      </w:r>
    </w:p>
    <w:p w:rsidR="00A952C9" w:rsidRPr="002F65B9" w:rsidRDefault="000E551F" w:rsidP="002F65B9">
      <w:pPr>
        <w:autoSpaceDE w:val="0"/>
        <w:autoSpaceDN w:val="0"/>
        <w:adjustRightInd w:val="0"/>
        <w:spacing w:line="280" w:lineRule="atLeast"/>
        <w:rPr>
          <w:rFonts w:ascii="TheSansOffice" w:hAnsi="TheSansOffice"/>
          <w:sz w:val="21"/>
          <w:szCs w:val="21"/>
        </w:rPr>
      </w:pPr>
      <w:r w:rsidRPr="002F65B9">
        <w:rPr>
          <w:rFonts w:ascii="TheSansOffice" w:hAnsi="TheSansOffice"/>
          <w:sz w:val="21"/>
          <w:szCs w:val="21"/>
        </w:rPr>
        <w:t>I</w:t>
      </w:r>
      <w:r w:rsidR="00A952C9" w:rsidRPr="002F65B9">
        <w:rPr>
          <w:rFonts w:ascii="TheSansOffice" w:hAnsi="TheSansOffice"/>
          <w:sz w:val="21"/>
          <w:szCs w:val="21"/>
        </w:rPr>
        <w:t>t</w:t>
      </w:r>
      <w:r w:rsidRPr="002F65B9">
        <w:rPr>
          <w:rFonts w:ascii="TheSansOffice" w:hAnsi="TheSansOffice"/>
          <w:sz w:val="21"/>
          <w:szCs w:val="21"/>
        </w:rPr>
        <w:t>s</w:t>
      </w:r>
      <w:r w:rsidR="00A952C9" w:rsidRPr="002F65B9">
        <w:rPr>
          <w:rFonts w:ascii="TheSansOffice" w:hAnsi="TheSansOffice"/>
          <w:sz w:val="21"/>
          <w:szCs w:val="21"/>
        </w:rPr>
        <w:t xml:space="preserve"> </w:t>
      </w:r>
      <w:r w:rsidRPr="002F65B9">
        <w:rPr>
          <w:rFonts w:ascii="TheSansOffice" w:hAnsi="TheSansOffice"/>
          <w:sz w:val="21"/>
          <w:szCs w:val="21"/>
        </w:rPr>
        <w:t>s</w:t>
      </w:r>
      <w:r w:rsidR="00A952C9" w:rsidRPr="002F65B9">
        <w:rPr>
          <w:rFonts w:ascii="TheSansOffice" w:hAnsi="TheSansOffice"/>
          <w:sz w:val="21"/>
          <w:szCs w:val="21"/>
        </w:rPr>
        <w:t>hareholders are deemed to have:</w:t>
      </w:r>
    </w:p>
    <w:p w:rsidR="00A952C9" w:rsidRPr="002F65B9" w:rsidRDefault="000E551F" w:rsidP="002F65B9">
      <w:pPr>
        <w:numPr>
          <w:ilvl w:val="0"/>
          <w:numId w:val="21"/>
        </w:numPr>
        <w:tabs>
          <w:tab w:val="clear" w:pos="360"/>
          <w:tab w:val="num" w:pos="-120"/>
        </w:tabs>
        <w:autoSpaceDE w:val="0"/>
        <w:autoSpaceDN w:val="0"/>
        <w:adjustRightInd w:val="0"/>
        <w:spacing w:line="260" w:lineRule="atLeast"/>
        <w:ind w:hanging="327"/>
        <w:rPr>
          <w:rFonts w:ascii="TheSansOffice" w:hAnsi="TheSansOffice"/>
          <w:sz w:val="21"/>
          <w:szCs w:val="21"/>
        </w:rPr>
      </w:pPr>
      <w:r w:rsidRPr="002F65B9">
        <w:rPr>
          <w:rFonts w:ascii="TheSansOffice" w:hAnsi="TheSansOffice"/>
          <w:sz w:val="21"/>
          <w:szCs w:val="21"/>
        </w:rPr>
        <w:t>s</w:t>
      </w:r>
      <w:r w:rsidR="00A952C9" w:rsidRPr="002F65B9">
        <w:rPr>
          <w:rFonts w:ascii="TheSansOffice" w:hAnsi="TheSansOffice"/>
          <w:sz w:val="21"/>
          <w:szCs w:val="21"/>
        </w:rPr>
        <w:t>old the</w:t>
      </w:r>
      <w:r w:rsidR="00647AB2" w:rsidRPr="002F65B9">
        <w:rPr>
          <w:rFonts w:ascii="TheSansOffice" w:hAnsi="TheSansOffice"/>
          <w:sz w:val="21"/>
          <w:szCs w:val="21"/>
        </w:rPr>
        <w:t>ir</w:t>
      </w:r>
      <w:r w:rsidR="00A952C9" w:rsidRPr="002F65B9">
        <w:rPr>
          <w:rFonts w:ascii="TheSansOffice" w:hAnsi="TheSansOffice"/>
          <w:sz w:val="21"/>
          <w:szCs w:val="21"/>
        </w:rPr>
        <w:t xml:space="preserve"> shares immediately before the company ceased to be a </w:t>
      </w:r>
      <w:smartTag w:uri="urn:schemas-microsoft-com:office:smarttags" w:element="PersonName">
        <w:r w:rsidR="00A952C9" w:rsidRPr="002F65B9">
          <w:rPr>
            <w:rFonts w:ascii="TheSansOffice" w:hAnsi="TheSansOffice"/>
            <w:sz w:val="21"/>
            <w:szCs w:val="21"/>
          </w:rPr>
          <w:t>PDF</w:t>
        </w:r>
      </w:smartTag>
      <w:r w:rsidR="00A952C9" w:rsidRPr="002F65B9">
        <w:rPr>
          <w:rFonts w:ascii="TheSansOffice" w:hAnsi="TheSansOffice"/>
          <w:sz w:val="21"/>
          <w:szCs w:val="21"/>
        </w:rPr>
        <w:t>; and</w:t>
      </w:r>
    </w:p>
    <w:p w:rsidR="00A952C9" w:rsidRPr="002F65B9" w:rsidRDefault="000E551F" w:rsidP="002F65B9">
      <w:pPr>
        <w:numPr>
          <w:ilvl w:val="0"/>
          <w:numId w:val="21"/>
        </w:numPr>
        <w:tabs>
          <w:tab w:val="clear" w:pos="360"/>
          <w:tab w:val="num" w:pos="-120"/>
        </w:tabs>
        <w:autoSpaceDE w:val="0"/>
        <w:autoSpaceDN w:val="0"/>
        <w:adjustRightInd w:val="0"/>
        <w:spacing w:line="260" w:lineRule="atLeast"/>
        <w:ind w:hanging="327"/>
        <w:rPr>
          <w:rFonts w:ascii="TheSansOffice" w:hAnsi="TheSansOffice"/>
          <w:sz w:val="21"/>
          <w:szCs w:val="21"/>
        </w:rPr>
      </w:pPr>
      <w:r w:rsidRPr="002F65B9">
        <w:rPr>
          <w:rFonts w:ascii="TheSansOffice" w:hAnsi="TheSansOffice"/>
          <w:sz w:val="21"/>
          <w:szCs w:val="21"/>
        </w:rPr>
        <w:t>r</w:t>
      </w:r>
      <w:r w:rsidR="00A952C9" w:rsidRPr="002F65B9">
        <w:rPr>
          <w:rFonts w:ascii="TheSansOffice" w:hAnsi="TheSansOffice"/>
          <w:sz w:val="21"/>
          <w:szCs w:val="21"/>
        </w:rPr>
        <w:t>e</w:t>
      </w:r>
      <w:r w:rsidR="004653E7" w:rsidRPr="002F65B9">
        <w:rPr>
          <w:rFonts w:ascii="TheSansOffice" w:hAnsi="TheSansOffice"/>
          <w:sz w:val="21"/>
          <w:szCs w:val="21"/>
        </w:rPr>
        <w:t>-</w:t>
      </w:r>
      <w:r w:rsidR="00A952C9" w:rsidRPr="002F65B9">
        <w:rPr>
          <w:rFonts w:ascii="TheSansOffice" w:hAnsi="TheSansOffice"/>
          <w:sz w:val="21"/>
          <w:szCs w:val="21"/>
        </w:rPr>
        <w:t>bought the shares immediat</w:t>
      </w:r>
      <w:r w:rsidR="009E7328" w:rsidRPr="002F65B9">
        <w:rPr>
          <w:rFonts w:ascii="TheSansOffice" w:hAnsi="TheSansOffice"/>
          <w:sz w:val="21"/>
          <w:szCs w:val="21"/>
        </w:rPr>
        <w:t>ely after the company so ceased.</w:t>
      </w:r>
    </w:p>
    <w:p w:rsidR="009E7328" w:rsidRPr="000E551F" w:rsidRDefault="009E7328" w:rsidP="002F65B9">
      <w:pPr>
        <w:pStyle w:val="ListBullet"/>
        <w:numPr>
          <w:ilvl w:val="0"/>
          <w:numId w:val="0"/>
        </w:numPr>
      </w:pPr>
    </w:p>
    <w:p w:rsidR="00647AB2" w:rsidRPr="00BB13D7" w:rsidRDefault="00497913" w:rsidP="00BB13D7">
      <w:pPr>
        <w:autoSpaceDE w:val="0"/>
        <w:autoSpaceDN w:val="0"/>
        <w:adjustRightInd w:val="0"/>
        <w:spacing w:after="240" w:line="280" w:lineRule="atLeast"/>
        <w:rPr>
          <w:rFonts w:ascii="TheSansOffice" w:hAnsi="TheSansOffice"/>
          <w:sz w:val="21"/>
          <w:szCs w:val="21"/>
        </w:rPr>
      </w:pPr>
      <w:r w:rsidRPr="002F65B9">
        <w:rPr>
          <w:rFonts w:ascii="TheSansOffice" w:hAnsi="TheSansOffice"/>
          <w:sz w:val="21"/>
          <w:szCs w:val="21"/>
        </w:rPr>
        <w:t>F</w:t>
      </w:r>
      <w:r w:rsidR="00A952C9" w:rsidRPr="002F65B9">
        <w:rPr>
          <w:rFonts w:ascii="TheSansOffice" w:hAnsi="TheSansOffice"/>
          <w:sz w:val="21"/>
          <w:szCs w:val="21"/>
        </w:rPr>
        <w:t xml:space="preserve">or a consideration equal to the market value of the shares immediately after the company so ceased. </w:t>
      </w:r>
      <w:r w:rsidR="00A952C9" w:rsidRPr="002F65B9">
        <w:rPr>
          <w:rFonts w:ascii="TheSansOffice" w:hAnsi="TheSansOffice"/>
          <w:i/>
          <w:sz w:val="21"/>
          <w:szCs w:val="21"/>
        </w:rPr>
        <w:t>[Income Tax Assessment Act 1936 – Section 124ZR]</w:t>
      </w:r>
    </w:p>
    <w:p w:rsidR="00E82C81" w:rsidRPr="00375448" w:rsidRDefault="00E82C81" w:rsidP="002F65B9">
      <w:pPr>
        <w:pStyle w:val="Heading2"/>
        <w:spacing w:after="200" w:line="320" w:lineRule="exact"/>
        <w:rPr>
          <w:rFonts w:ascii="TheSerifOffice" w:hAnsi="TheSerifOffice" w:cs="Arial"/>
          <w:b w:val="0"/>
          <w:iCs/>
          <w:color w:val="0052A4"/>
          <w:sz w:val="26"/>
          <w:szCs w:val="26"/>
        </w:rPr>
      </w:pPr>
      <w:r w:rsidRPr="00375448">
        <w:rPr>
          <w:rFonts w:ascii="TheSerifOffice" w:hAnsi="TheSerifOffice" w:cs="Arial"/>
          <w:b w:val="0"/>
          <w:iCs/>
          <w:color w:val="0052A4"/>
          <w:sz w:val="26"/>
          <w:szCs w:val="26"/>
        </w:rPr>
        <w:t>Further information</w:t>
      </w:r>
    </w:p>
    <w:p w:rsidR="00497913" w:rsidRPr="006B697A" w:rsidRDefault="000E551F" w:rsidP="006B697A">
      <w:pPr>
        <w:autoSpaceDE w:val="0"/>
        <w:autoSpaceDN w:val="0"/>
        <w:adjustRightInd w:val="0"/>
        <w:spacing w:line="280" w:lineRule="atLeast"/>
        <w:rPr>
          <w:rFonts w:ascii="Arial" w:hAnsi="Arial" w:cs="Arial"/>
          <w:b/>
          <w:bCs/>
          <w:sz w:val="22"/>
          <w:szCs w:val="22"/>
        </w:rPr>
      </w:pPr>
      <w:r w:rsidRPr="002F65B9">
        <w:rPr>
          <w:rFonts w:ascii="TheSansOffice" w:hAnsi="TheSansOffice"/>
          <w:sz w:val="21"/>
          <w:szCs w:val="21"/>
        </w:rPr>
        <w:t>For advice about the tax concessions which may be available to PDFs and shareholders in PDFs, you should contact</w:t>
      </w:r>
      <w:r w:rsidR="00497913" w:rsidRPr="002F65B9">
        <w:rPr>
          <w:rFonts w:ascii="TheSansOffice" w:hAnsi="TheSansOffice"/>
          <w:sz w:val="21"/>
          <w:szCs w:val="21"/>
        </w:rPr>
        <w:t xml:space="preserve"> the Australian Taxation Office at</w:t>
      </w:r>
      <w:r w:rsidR="002F65B9">
        <w:rPr>
          <w:rFonts w:ascii="TheSansOffice" w:hAnsi="TheSansOffice"/>
          <w:sz w:val="21"/>
          <w:szCs w:val="21"/>
        </w:rPr>
        <w:t xml:space="preserve"> </w:t>
      </w:r>
      <w:hyperlink r:id="rId14" w:history="1">
        <w:r w:rsidR="002F65B9" w:rsidRPr="00FF745B">
          <w:rPr>
            <w:rStyle w:val="Hyperlink"/>
            <w:rFonts w:ascii="TheSansOffice" w:hAnsi="TheSansOffice"/>
            <w:sz w:val="21"/>
            <w:szCs w:val="21"/>
          </w:rPr>
          <w:t>innovationtax@ato.gov.au</w:t>
        </w:r>
      </w:hyperlink>
      <w:r w:rsidR="002F65B9">
        <w:rPr>
          <w:rFonts w:ascii="TheSansOffice" w:hAnsi="TheSansOffice"/>
          <w:sz w:val="21"/>
          <w:szCs w:val="21"/>
        </w:rPr>
        <w:t xml:space="preserve"> </w:t>
      </w:r>
    </w:p>
    <w:sectPr w:rsidR="00497913" w:rsidRPr="006B697A">
      <w:type w:val="continuous"/>
      <w:pgSz w:w="11907" w:h="16840" w:code="9"/>
      <w:pgMar w:top="568" w:right="1134" w:bottom="1843" w:left="1134" w:header="397" w:footer="397" w:gutter="0"/>
      <w:cols w:space="283"/>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25" w:rsidRDefault="00AA7925">
      <w:r>
        <w:separator/>
      </w:r>
    </w:p>
  </w:endnote>
  <w:endnote w:type="continuationSeparator" w:id="0">
    <w:p w:rsidR="00AA7925" w:rsidRDefault="00AA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TheSansOffice">
    <w:altName w:val="Interstate Black"/>
    <w:panose1 w:val="020B0503040302060204"/>
    <w:charset w:val="00"/>
    <w:family w:val="swiss"/>
    <w:notTrueType/>
    <w:pitch w:val="variable"/>
    <w:sig w:usb0="00000003" w:usb1="00000000" w:usb2="00000000" w:usb3="00000000" w:csb0="00000001" w:csb1="00000000"/>
  </w:font>
  <w:font w:name="TheSerifOffice">
    <w:altName w:val="Interstate Black"/>
    <w:panose1 w:val="0206050304030206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97" w:rsidRDefault="001E4F97">
    <w:pPr>
      <w:pStyle w:val="Footer"/>
      <w:tabs>
        <w:tab w:val="clear" w:pos="4153"/>
        <w:tab w:val="clear" w:pos="8306"/>
        <w:tab w:val="right" w:pos="9214"/>
      </w:tabs>
      <w:jc w:val="left"/>
      <w:rPr>
        <w:sz w:val="12"/>
        <w:szCs w:val="12"/>
      </w:rPr>
    </w:pPr>
  </w:p>
  <w:p w:rsidR="001E4F97" w:rsidRPr="002A56E3" w:rsidRDefault="002A56E3">
    <w:pPr>
      <w:pStyle w:val="Footer"/>
      <w:tabs>
        <w:tab w:val="clear" w:pos="4153"/>
        <w:tab w:val="clear" w:pos="8306"/>
        <w:tab w:val="right" w:pos="9214"/>
      </w:tabs>
      <w:jc w:val="left"/>
      <w:rPr>
        <w:sz w:val="22"/>
        <w:szCs w:val="22"/>
      </w:rPr>
    </w:pPr>
    <w:r w:rsidRPr="002A56E3">
      <w:rPr>
        <w:sz w:val="22"/>
        <w:szCs w:val="22"/>
      </w:rPr>
      <w:t>May 2016</w:t>
    </w:r>
  </w:p>
  <w:p w:rsidR="001E4F97" w:rsidRDefault="001E4F97">
    <w:pPr>
      <w:pStyle w:val="Footer"/>
      <w:tabs>
        <w:tab w:val="right" w:pos="9356"/>
      </w:tabs>
      <w:rPr>
        <w:b/>
        <w:bCs/>
        <w:sz w:val="24"/>
        <w:szCs w:val="24"/>
      </w:rPr>
    </w:pPr>
    <w:r>
      <w:rPr>
        <w:b/>
        <w:bCs/>
        <w:sz w:val="24"/>
        <w:szCs w:val="24"/>
      </w:rPr>
      <w:fldChar w:fldCharType="begin"/>
    </w:r>
    <w:r>
      <w:rPr>
        <w:b/>
        <w:bCs/>
        <w:sz w:val="24"/>
        <w:szCs w:val="24"/>
      </w:rPr>
      <w:instrText xml:space="preserve"> DOCPROPERTY "ClassificationPty"  \* MERGEFORMAT </w:instrTex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6E3" w:rsidRDefault="002A56E3" w:rsidP="002A56E3">
    <w:pPr>
      <w:pStyle w:val="Footer"/>
      <w:jc w:val="right"/>
    </w:pPr>
    <w:r>
      <w:t>May 2016</w:t>
    </w:r>
  </w:p>
  <w:p w:rsidR="002A56E3" w:rsidRDefault="002A5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25" w:rsidRDefault="00AA7925">
      <w:r>
        <w:separator/>
      </w:r>
    </w:p>
  </w:footnote>
  <w:footnote w:type="continuationSeparator" w:id="0">
    <w:p w:rsidR="00AA7925" w:rsidRDefault="00AA7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F97" w:rsidRPr="002A56E3" w:rsidRDefault="001E4F97" w:rsidP="002A56E3">
    <w:pPr>
      <w:pStyle w:val="Header"/>
      <w:tabs>
        <w:tab w:val="clear" w:pos="4153"/>
        <w:tab w:val="center" w:pos="4678"/>
      </w:tabs>
    </w:pPr>
    <w:r>
      <w:rPr>
        <w:b/>
        <w:bCs/>
      </w:rPr>
      <w:fldChar w:fldCharType="begin"/>
    </w:r>
    <w:r>
      <w:rPr>
        <w:b/>
        <w:bCs/>
      </w:rPr>
      <w:instrText xml:space="preserve"> DOCPROPERTY "ClassificationPty"  \* MERGEFORMAT </w:instrTex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ClassificationHeadBM"/>
  <w:p w:rsidR="001E4F97" w:rsidRDefault="001E4F97">
    <w:pPr>
      <w:pStyle w:val="Footer"/>
      <w:tabs>
        <w:tab w:val="right" w:pos="9356"/>
      </w:tabs>
      <w:jc w:val="right"/>
      <w:rPr>
        <w:b/>
        <w:bCs/>
        <w:sz w:val="4"/>
        <w:szCs w:val="4"/>
      </w:rPr>
    </w:pPr>
    <w:r>
      <w:rPr>
        <w:b/>
        <w:bCs/>
        <w:sz w:val="4"/>
        <w:szCs w:val="4"/>
      </w:rPr>
      <w:fldChar w:fldCharType="begin"/>
    </w:r>
    <w:r>
      <w:rPr>
        <w:b/>
        <w:bCs/>
        <w:sz w:val="4"/>
        <w:szCs w:val="4"/>
      </w:rPr>
      <w:instrText xml:space="preserve"> DOCPROPERTY "ClassificationPty"  \* MERGEFORMAT </w:instrText>
    </w:r>
    <w:r>
      <w:rPr>
        <w:b/>
        <w:bCs/>
        <w:sz w:val="4"/>
        <w:szCs w:val="4"/>
      </w:rPr>
      <w:fldChar w:fldCharType="end"/>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2441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EF68F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E62A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548B3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FEB6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FC73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4E88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105A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B669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58E73F6"/>
    <w:lvl w:ilvl="0">
      <w:start w:val="1"/>
      <w:numFmt w:val="bullet"/>
      <w:lvlText w:val=""/>
      <w:lvlJc w:val="left"/>
      <w:pPr>
        <w:tabs>
          <w:tab w:val="num" w:pos="360"/>
        </w:tabs>
        <w:ind w:left="360" w:hanging="360"/>
      </w:pPr>
      <w:rPr>
        <w:rFonts w:ascii="Symbol" w:hAnsi="Symbol" w:hint="default"/>
      </w:rPr>
    </w:lvl>
  </w:abstractNum>
  <w:abstractNum w:abstractNumId="10">
    <w:nsid w:val="098D213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0AA05BBA"/>
    <w:multiLevelType w:val="singleLevel"/>
    <w:tmpl w:val="105E3686"/>
    <w:lvl w:ilvl="0">
      <w:start w:val="1"/>
      <w:numFmt w:val="bullet"/>
      <w:lvlText w:val=""/>
      <w:lvlJc w:val="left"/>
      <w:pPr>
        <w:tabs>
          <w:tab w:val="num" w:pos="360"/>
        </w:tabs>
        <w:ind w:left="357" w:hanging="357"/>
      </w:pPr>
      <w:rPr>
        <w:rFonts w:ascii="Symbol" w:hAnsi="Symbol" w:hint="default"/>
        <w:color w:val="auto"/>
      </w:rPr>
    </w:lvl>
  </w:abstractNum>
  <w:abstractNum w:abstractNumId="12">
    <w:nsid w:val="0BD406CF"/>
    <w:multiLevelType w:val="singleLevel"/>
    <w:tmpl w:val="105E3686"/>
    <w:lvl w:ilvl="0">
      <w:start w:val="1"/>
      <w:numFmt w:val="bullet"/>
      <w:lvlText w:val=""/>
      <w:lvlJc w:val="left"/>
      <w:pPr>
        <w:tabs>
          <w:tab w:val="num" w:pos="360"/>
        </w:tabs>
        <w:ind w:left="357" w:hanging="357"/>
      </w:pPr>
      <w:rPr>
        <w:rFonts w:ascii="Symbol" w:hAnsi="Symbol" w:hint="default"/>
        <w:color w:val="auto"/>
      </w:rPr>
    </w:lvl>
  </w:abstractNum>
  <w:abstractNum w:abstractNumId="13">
    <w:nsid w:val="12BA1D05"/>
    <w:multiLevelType w:val="multilevel"/>
    <w:tmpl w:val="F5960F2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1AD5191B"/>
    <w:multiLevelType w:val="multilevel"/>
    <w:tmpl w:val="A880E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49D484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275D616D"/>
    <w:multiLevelType w:val="singleLevel"/>
    <w:tmpl w:val="105E3686"/>
    <w:lvl w:ilvl="0">
      <w:start w:val="1"/>
      <w:numFmt w:val="bullet"/>
      <w:lvlText w:val=""/>
      <w:lvlJc w:val="left"/>
      <w:pPr>
        <w:tabs>
          <w:tab w:val="num" w:pos="360"/>
        </w:tabs>
        <w:ind w:left="357" w:hanging="357"/>
      </w:pPr>
      <w:rPr>
        <w:rFonts w:ascii="Symbol" w:hAnsi="Symbol" w:hint="default"/>
        <w:color w:val="auto"/>
      </w:rPr>
    </w:lvl>
  </w:abstractNum>
  <w:abstractNum w:abstractNumId="17">
    <w:nsid w:val="33601A9A"/>
    <w:multiLevelType w:val="singleLevel"/>
    <w:tmpl w:val="105E3686"/>
    <w:lvl w:ilvl="0">
      <w:start w:val="1"/>
      <w:numFmt w:val="bullet"/>
      <w:lvlText w:val=""/>
      <w:lvlJc w:val="left"/>
      <w:pPr>
        <w:tabs>
          <w:tab w:val="num" w:pos="360"/>
        </w:tabs>
        <w:ind w:left="357" w:hanging="357"/>
      </w:pPr>
      <w:rPr>
        <w:rFonts w:ascii="Symbol" w:hAnsi="Symbol" w:hint="default"/>
        <w:color w:val="auto"/>
      </w:rPr>
    </w:lvl>
  </w:abstractNum>
  <w:abstractNum w:abstractNumId="18">
    <w:nsid w:val="37A56E84"/>
    <w:multiLevelType w:val="multilevel"/>
    <w:tmpl w:val="AA1A3C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3D8C5D06"/>
    <w:multiLevelType w:val="multilevel"/>
    <w:tmpl w:val="AA1A3C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40803075"/>
    <w:multiLevelType w:val="multilevel"/>
    <w:tmpl w:val="AA1A3C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646245DC"/>
    <w:multiLevelType w:val="multilevel"/>
    <w:tmpl w:val="AA1A3C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7100EE1"/>
    <w:multiLevelType w:val="hybridMultilevel"/>
    <w:tmpl w:val="00BCA3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nsid w:val="69094B89"/>
    <w:multiLevelType w:val="multilevel"/>
    <w:tmpl w:val="AA1A3C4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18A02C4"/>
    <w:multiLevelType w:val="singleLevel"/>
    <w:tmpl w:val="8C0ACA26"/>
    <w:lvl w:ilvl="0">
      <w:start w:val="1"/>
      <w:numFmt w:val="bullet"/>
      <w:lvlText w:val=""/>
      <w:lvlJc w:val="left"/>
      <w:pPr>
        <w:tabs>
          <w:tab w:val="num" w:pos="567"/>
        </w:tabs>
        <w:ind w:left="567" w:hanging="567"/>
      </w:pPr>
      <w:rPr>
        <w:rFonts w:ascii="Symbol" w:hAnsi="Symbol" w:hint="default"/>
        <w:color w:val="auto"/>
      </w:rPr>
    </w:lvl>
  </w:abstractNum>
  <w:num w:numId="1">
    <w:abstractNumId w:val="9"/>
  </w:num>
  <w:num w:numId="2">
    <w:abstractNumId w:val="9"/>
  </w:num>
  <w:num w:numId="3">
    <w:abstractNumId w:val="9"/>
  </w:num>
  <w:num w:numId="4">
    <w:abstractNumId w:val="9"/>
  </w:num>
  <w:num w:numId="5">
    <w:abstractNumId w:val="13"/>
  </w:num>
  <w:num w:numId="6">
    <w:abstractNumId w:val="13"/>
  </w:num>
  <w:num w:numId="7">
    <w:abstractNumId w:val="15"/>
  </w:num>
  <w:num w:numId="8">
    <w:abstractNumId w:val="10"/>
  </w:num>
  <w:num w:numId="9">
    <w:abstractNumId w:val="21"/>
  </w:num>
  <w:num w:numId="10">
    <w:abstractNumId w:val="20"/>
  </w:num>
  <w:num w:numId="11">
    <w:abstractNumId w:val="24"/>
  </w:num>
  <w:num w:numId="12">
    <w:abstractNumId w:val="19"/>
  </w:num>
  <w:num w:numId="13">
    <w:abstractNumId w:val="12"/>
  </w:num>
  <w:num w:numId="14">
    <w:abstractNumId w:val="17"/>
  </w:num>
  <w:num w:numId="15">
    <w:abstractNumId w:val="18"/>
  </w:num>
  <w:num w:numId="16">
    <w:abstractNumId w:val="11"/>
  </w:num>
  <w:num w:numId="17">
    <w:abstractNumId w:val="16"/>
  </w:num>
  <w:num w:numId="18">
    <w:abstractNumId w:val="23"/>
  </w:num>
  <w:num w:numId="19">
    <w:abstractNumId w:val="14"/>
  </w:num>
  <w:num w:numId="20">
    <w:abstractNumId w:val="2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0B"/>
    <w:rsid w:val="000459D5"/>
    <w:rsid w:val="000706FF"/>
    <w:rsid w:val="000A0EAD"/>
    <w:rsid w:val="000B26F5"/>
    <w:rsid w:val="000E551F"/>
    <w:rsid w:val="001B15D4"/>
    <w:rsid w:val="001E4F97"/>
    <w:rsid w:val="002014E4"/>
    <w:rsid w:val="00221F94"/>
    <w:rsid w:val="00234335"/>
    <w:rsid w:val="00236B50"/>
    <w:rsid w:val="002467BE"/>
    <w:rsid w:val="00293854"/>
    <w:rsid w:val="002A56E3"/>
    <w:rsid w:val="002F65B9"/>
    <w:rsid w:val="003062AF"/>
    <w:rsid w:val="00314A4E"/>
    <w:rsid w:val="00375448"/>
    <w:rsid w:val="00394742"/>
    <w:rsid w:val="003C1612"/>
    <w:rsid w:val="003E3147"/>
    <w:rsid w:val="003E7C86"/>
    <w:rsid w:val="004102BE"/>
    <w:rsid w:val="00420E10"/>
    <w:rsid w:val="00423DE8"/>
    <w:rsid w:val="004653E7"/>
    <w:rsid w:val="00497913"/>
    <w:rsid w:val="004B48AE"/>
    <w:rsid w:val="004C1E06"/>
    <w:rsid w:val="004C559D"/>
    <w:rsid w:val="004F71D8"/>
    <w:rsid w:val="00521B53"/>
    <w:rsid w:val="00524BB8"/>
    <w:rsid w:val="005D7089"/>
    <w:rsid w:val="005E4D87"/>
    <w:rsid w:val="0062682D"/>
    <w:rsid w:val="00647AB2"/>
    <w:rsid w:val="00653045"/>
    <w:rsid w:val="006B697A"/>
    <w:rsid w:val="006D0EBA"/>
    <w:rsid w:val="006E3333"/>
    <w:rsid w:val="00716C80"/>
    <w:rsid w:val="0071725C"/>
    <w:rsid w:val="00734FD5"/>
    <w:rsid w:val="007548A8"/>
    <w:rsid w:val="00754CAA"/>
    <w:rsid w:val="00784534"/>
    <w:rsid w:val="007B07D0"/>
    <w:rsid w:val="007E31C7"/>
    <w:rsid w:val="007F3FD6"/>
    <w:rsid w:val="00801683"/>
    <w:rsid w:val="008226DC"/>
    <w:rsid w:val="008332BE"/>
    <w:rsid w:val="008A1F76"/>
    <w:rsid w:val="008B3599"/>
    <w:rsid w:val="008F2FAF"/>
    <w:rsid w:val="00934827"/>
    <w:rsid w:val="00970A7F"/>
    <w:rsid w:val="009B5D58"/>
    <w:rsid w:val="009D2A5F"/>
    <w:rsid w:val="009E7328"/>
    <w:rsid w:val="00A15A6A"/>
    <w:rsid w:val="00A952C9"/>
    <w:rsid w:val="00AA7925"/>
    <w:rsid w:val="00AC64FF"/>
    <w:rsid w:val="00AD0CB6"/>
    <w:rsid w:val="00AE69BA"/>
    <w:rsid w:val="00B66014"/>
    <w:rsid w:val="00B90229"/>
    <w:rsid w:val="00B95EF5"/>
    <w:rsid w:val="00BA2223"/>
    <w:rsid w:val="00BB13D7"/>
    <w:rsid w:val="00C8411E"/>
    <w:rsid w:val="00C95667"/>
    <w:rsid w:val="00CA21B2"/>
    <w:rsid w:val="00CA4993"/>
    <w:rsid w:val="00CB3DA9"/>
    <w:rsid w:val="00CE7D53"/>
    <w:rsid w:val="00CF05EA"/>
    <w:rsid w:val="00D24A34"/>
    <w:rsid w:val="00D44F0B"/>
    <w:rsid w:val="00D74572"/>
    <w:rsid w:val="00D76BB6"/>
    <w:rsid w:val="00DE272D"/>
    <w:rsid w:val="00E172A9"/>
    <w:rsid w:val="00E20AE3"/>
    <w:rsid w:val="00E62A8E"/>
    <w:rsid w:val="00E65AFA"/>
    <w:rsid w:val="00E82C81"/>
    <w:rsid w:val="00F17C26"/>
    <w:rsid w:val="00F21E9D"/>
    <w:rsid w:val="00FA3CB3"/>
    <w:rsid w:val="00FA7D24"/>
    <w:rsid w:val="00FC59CE"/>
    <w:rsid w:val="00FC66B0"/>
    <w:rsid w:val="00FE470E"/>
    <w:rsid w:val="00FF74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9E7328"/>
    <w:pPr>
      <w:keepNext/>
      <w:spacing w:after="240"/>
      <w:outlineLvl w:val="0"/>
    </w:pPr>
    <w:rPr>
      <w:rFonts w:ascii="Verdana" w:hAnsi="Verdana"/>
      <w:b/>
      <w:bCs/>
      <w:kern w:val="28"/>
      <w:sz w:val="32"/>
      <w:szCs w:val="28"/>
    </w:rPr>
  </w:style>
  <w:style w:type="paragraph" w:styleId="Heading2">
    <w:name w:val="heading 2"/>
    <w:basedOn w:val="Normal"/>
    <w:next w:val="Normal"/>
    <w:link w:val="Heading2Char"/>
    <w:uiPriority w:val="99"/>
    <w:qFormat/>
    <w:rsid w:val="009E7328"/>
    <w:pPr>
      <w:keepNext/>
      <w:spacing w:after="120"/>
      <w:outlineLvl w:val="1"/>
    </w:pPr>
    <w:rPr>
      <w:rFonts w:ascii="Verdana" w:hAnsi="Verdana"/>
      <w:b/>
      <w:bCs/>
      <w:sz w:val="28"/>
    </w:rPr>
  </w:style>
  <w:style w:type="paragraph" w:styleId="Heading3">
    <w:name w:val="heading 3"/>
    <w:basedOn w:val="Normal"/>
    <w:next w:val="Normal"/>
    <w:link w:val="Heading3Char"/>
    <w:uiPriority w:val="99"/>
    <w:qFormat/>
    <w:rsid w:val="009E7328"/>
    <w:pPr>
      <w:keepNext/>
      <w:spacing w:after="120"/>
      <w:outlineLvl w:val="2"/>
    </w:pPr>
    <w:rPr>
      <w:rFonts w:ascii="Verdana" w:hAnsi="Verdana"/>
      <w:b/>
      <w:iCs/>
    </w:rPr>
  </w:style>
  <w:style w:type="paragraph" w:styleId="Heading4">
    <w:name w:val="heading 4"/>
    <w:basedOn w:val="Normal"/>
    <w:next w:val="Normal"/>
    <w:link w:val="Heading4Char"/>
    <w:uiPriority w:val="99"/>
    <w:qFormat/>
    <w:pPr>
      <w:keepNext/>
      <w:spacing w:after="120"/>
      <w:outlineLvl w:val="3"/>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customStyle="1" w:styleId="NormalSpace">
    <w:name w:val="Normal + Space"/>
    <w:basedOn w:val="Normal"/>
    <w:uiPriority w:val="99"/>
    <w:pPr>
      <w:spacing w:after="24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jc w:val="center"/>
    </w:pPr>
    <w:rPr>
      <w:sz w:val="20"/>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20"/>
      <w:szCs w:val="20"/>
    </w:rPr>
  </w:style>
  <w:style w:type="paragraph" w:customStyle="1" w:styleId="plainnumberedchar">
    <w:name w:val="plainnumberedchar"/>
    <w:basedOn w:val="Normal"/>
    <w:uiPriority w:val="99"/>
    <w:pPr>
      <w:spacing w:before="100" w:beforeAutospacing="1" w:after="100" w:afterAutospacing="1" w:line="197" w:lineRule="atLeast"/>
    </w:pPr>
    <w:rPr>
      <w:rFonts w:ascii="Verdana" w:hAnsi="Verdana" w:cs="Verdana"/>
      <w:sz w:val="14"/>
      <w:szCs w:val="14"/>
    </w:rPr>
  </w:style>
  <w:style w:type="character" w:styleId="Hyperlink">
    <w:name w:val="Hyperlink"/>
    <w:basedOn w:val="DefaultParagraphFont"/>
    <w:uiPriority w:val="99"/>
    <w:rPr>
      <w:rFonts w:cs="Times New Roman"/>
      <w:color w:val="0000FF"/>
      <w:u w:val="single"/>
    </w:rPr>
  </w:style>
  <w:style w:type="paragraph" w:customStyle="1" w:styleId="BodyText22">
    <w:name w:val="Body Text 22"/>
    <w:basedOn w:val="Normal"/>
    <w:uiPriority w:val="99"/>
    <w:rsid w:val="00AC64FF"/>
    <w:pPr>
      <w:spacing w:after="120"/>
    </w:pPr>
    <w:rPr>
      <w:rFonts w:ascii="CG Times (WN)" w:hAnsi="CG Times (WN)"/>
      <w:color w:val="FF00FF"/>
      <w:szCs w:val="20"/>
    </w:rPr>
  </w:style>
  <w:style w:type="paragraph" w:styleId="ListBullet">
    <w:name w:val="List Bullet"/>
    <w:basedOn w:val="Normal"/>
    <w:uiPriority w:val="99"/>
    <w:rsid w:val="009E7328"/>
    <w:pPr>
      <w:numPr>
        <w:numId w:val="18"/>
      </w:numPr>
      <w:tabs>
        <w:tab w:val="clear" w:pos="360"/>
        <w:tab w:val="num" w:pos="72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9E7328"/>
    <w:pPr>
      <w:keepNext/>
      <w:spacing w:after="240"/>
      <w:outlineLvl w:val="0"/>
    </w:pPr>
    <w:rPr>
      <w:rFonts w:ascii="Verdana" w:hAnsi="Verdana"/>
      <w:b/>
      <w:bCs/>
      <w:kern w:val="28"/>
      <w:sz w:val="32"/>
      <w:szCs w:val="28"/>
    </w:rPr>
  </w:style>
  <w:style w:type="paragraph" w:styleId="Heading2">
    <w:name w:val="heading 2"/>
    <w:basedOn w:val="Normal"/>
    <w:next w:val="Normal"/>
    <w:link w:val="Heading2Char"/>
    <w:uiPriority w:val="99"/>
    <w:qFormat/>
    <w:rsid w:val="009E7328"/>
    <w:pPr>
      <w:keepNext/>
      <w:spacing w:after="120"/>
      <w:outlineLvl w:val="1"/>
    </w:pPr>
    <w:rPr>
      <w:rFonts w:ascii="Verdana" w:hAnsi="Verdana"/>
      <w:b/>
      <w:bCs/>
      <w:sz w:val="28"/>
    </w:rPr>
  </w:style>
  <w:style w:type="paragraph" w:styleId="Heading3">
    <w:name w:val="heading 3"/>
    <w:basedOn w:val="Normal"/>
    <w:next w:val="Normal"/>
    <w:link w:val="Heading3Char"/>
    <w:uiPriority w:val="99"/>
    <w:qFormat/>
    <w:rsid w:val="009E7328"/>
    <w:pPr>
      <w:keepNext/>
      <w:spacing w:after="120"/>
      <w:outlineLvl w:val="2"/>
    </w:pPr>
    <w:rPr>
      <w:rFonts w:ascii="Verdana" w:hAnsi="Verdana"/>
      <w:b/>
      <w:iCs/>
    </w:rPr>
  </w:style>
  <w:style w:type="paragraph" w:styleId="Heading4">
    <w:name w:val="heading 4"/>
    <w:basedOn w:val="Normal"/>
    <w:next w:val="Normal"/>
    <w:link w:val="Heading4Char"/>
    <w:uiPriority w:val="99"/>
    <w:qFormat/>
    <w:pPr>
      <w:keepNext/>
      <w:spacing w:after="120"/>
      <w:outlineLvl w:val="3"/>
    </w:pPr>
    <w:rPr>
      <w:rFonts w:ascii="Arial" w:hAnsi="Arial" w:cs="Arial"/>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customStyle="1" w:styleId="NormalSpace">
    <w:name w:val="Normal + Space"/>
    <w:basedOn w:val="Normal"/>
    <w:uiPriority w:val="99"/>
    <w:pPr>
      <w:spacing w:after="240"/>
    </w:p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153"/>
        <w:tab w:val="right" w:pos="8306"/>
      </w:tabs>
      <w:jc w:val="center"/>
    </w:pPr>
    <w:rPr>
      <w:sz w:val="20"/>
      <w:szCs w:val="20"/>
    </w:r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20"/>
      <w:szCs w:val="20"/>
    </w:rPr>
  </w:style>
  <w:style w:type="paragraph" w:customStyle="1" w:styleId="plainnumberedchar">
    <w:name w:val="plainnumberedchar"/>
    <w:basedOn w:val="Normal"/>
    <w:uiPriority w:val="99"/>
    <w:pPr>
      <w:spacing w:before="100" w:beforeAutospacing="1" w:after="100" w:afterAutospacing="1" w:line="197" w:lineRule="atLeast"/>
    </w:pPr>
    <w:rPr>
      <w:rFonts w:ascii="Verdana" w:hAnsi="Verdana" w:cs="Verdana"/>
      <w:sz w:val="14"/>
      <w:szCs w:val="14"/>
    </w:rPr>
  </w:style>
  <w:style w:type="character" w:styleId="Hyperlink">
    <w:name w:val="Hyperlink"/>
    <w:basedOn w:val="DefaultParagraphFont"/>
    <w:uiPriority w:val="99"/>
    <w:rPr>
      <w:rFonts w:cs="Times New Roman"/>
      <w:color w:val="0000FF"/>
      <w:u w:val="single"/>
    </w:rPr>
  </w:style>
  <w:style w:type="paragraph" w:customStyle="1" w:styleId="BodyText22">
    <w:name w:val="Body Text 22"/>
    <w:basedOn w:val="Normal"/>
    <w:uiPriority w:val="99"/>
    <w:rsid w:val="00AC64FF"/>
    <w:pPr>
      <w:spacing w:after="120"/>
    </w:pPr>
    <w:rPr>
      <w:rFonts w:ascii="CG Times (WN)" w:hAnsi="CG Times (WN)"/>
      <w:color w:val="FF00FF"/>
      <w:szCs w:val="20"/>
    </w:rPr>
  </w:style>
  <w:style w:type="paragraph" w:styleId="ListBullet">
    <w:name w:val="List Bullet"/>
    <w:basedOn w:val="Normal"/>
    <w:uiPriority w:val="99"/>
    <w:rsid w:val="009E7328"/>
    <w:pPr>
      <w:numPr>
        <w:numId w:val="18"/>
      </w:numPr>
      <w:tabs>
        <w:tab w:val="clear" w:pos="360"/>
        <w:tab w:val="num" w:pos="7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novationtax@ato.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4E282-6404-4DDE-A572-EBCD6536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Group 5</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VJakobasic</dc:creator>
  <cp:lastModifiedBy>St Irvine, Chelsea</cp:lastModifiedBy>
  <cp:revision>2</cp:revision>
  <cp:lastPrinted>2007-07-24T01:58:00Z</cp:lastPrinted>
  <dcterms:created xsi:type="dcterms:W3CDTF">2016-05-17T05:09:00Z</dcterms:created>
  <dcterms:modified xsi:type="dcterms:W3CDTF">2016-05-17T05:09:00Z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orporateTmplBased">
    <vt:lpwstr>No</vt:lpwstr>
  </property>
  <property fmtid="{D5CDD505-2E9C-101B-9397-08002B2CF9AE}" pid="4" name="ClassificationPty">
    <vt:lpwstr/>
  </property>
  <property fmtid="{D5CDD505-2E9C-101B-9397-08002B2CF9AE}" pid="5" name="FileNumberPty">
    <vt:lpwstr/>
  </property>
</Properties>
</file>