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6255E2">
          <w:rPr>
            <w:noProof/>
            <w:webHidden/>
          </w:rPr>
          <w:t>3</w:t>
        </w:r>
        <w:r w:rsidR="0097777E">
          <w:rPr>
            <w:noProof/>
            <w:webHidden/>
          </w:rPr>
          <w:fldChar w:fldCharType="end"/>
        </w:r>
      </w:hyperlink>
    </w:p>
    <w:p w14:paraId="5256440C" w14:textId="77777777" w:rsidR="0097777E" w:rsidRDefault="006255E2">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77777777" w:rsidR="0097777E" w:rsidRDefault="006255E2">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7777777" w:rsidR="0097777E" w:rsidRDefault="006255E2">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77777777" w:rsidR="0097777E" w:rsidRDefault="006255E2">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77777777" w:rsidR="0097777E" w:rsidRDefault="006255E2">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77777777" w:rsidR="0097777E" w:rsidRDefault="006255E2">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77777777" w:rsidR="0097777E" w:rsidRDefault="006255E2">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15</w:t>
        </w:r>
        <w:r w:rsidR="0097777E">
          <w:rPr>
            <w:noProof/>
            <w:webHidden/>
          </w:rPr>
          <w:fldChar w:fldCharType="end"/>
        </w:r>
      </w:hyperlink>
    </w:p>
    <w:p w14:paraId="482542BE" w14:textId="77777777" w:rsidR="0097777E" w:rsidRDefault="006255E2">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77777777" w:rsidR="0097777E" w:rsidRDefault="006255E2">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77777777" w:rsidR="0097777E" w:rsidRDefault="006255E2">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77777777" w:rsidR="0097777E" w:rsidRDefault="006255E2">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3FFC6318"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B21124">
        <w:t>Department of the Treasury.</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s and due dates for undertaking Activities."/>
      </w:tblPr>
      <w:tblGrid>
        <w:gridCol w:w="1139"/>
        <w:gridCol w:w="5804"/>
        <w:gridCol w:w="1838"/>
      </w:tblGrid>
      <w:tr w:rsidR="00FB082F" w:rsidRPr="003C437D" w14:paraId="11AD0D62" w14:textId="77777777" w:rsidTr="00AB7C34">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AB7C34">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2B67D9EE" w14:textId="49E3D235" w:rsidR="00496622" w:rsidRPr="00D43373" w:rsidRDefault="00496622" w:rsidP="00496622">
      <w:r w:rsidRPr="00D43373">
        <w:lastRenderedPageBreak/>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715ED1C6" w:rsidR="000E7D88" w:rsidRPr="00BF7835" w:rsidRDefault="00BF7835" w:rsidP="00BF7835">
      <w:pPr>
        <w:pStyle w:val="NormalIndent"/>
        <w:ind w:left="1247" w:hanging="567"/>
        <w:rPr>
          <w:rFonts w:eastAsiaTheme="minorHAnsi"/>
        </w:rPr>
      </w:pPr>
      <w:r w:rsidRPr="00657307">
        <w:t>(a)</w:t>
      </w:r>
      <w:r w:rsidRPr="00657307">
        <w:tab/>
      </w:r>
      <w:r w:rsidR="00B42D3C" w:rsidRPr="00657307">
        <w:t>by</w:t>
      </w:r>
      <w:r w:rsidR="00B42D3C" w:rsidRPr="00657307">
        <w:rPr>
          <w:rFonts w:eastAsiaTheme="minorHAnsi"/>
        </w:rPr>
        <w:t xml:space="preserve"> </w:t>
      </w:r>
      <w:r w:rsidR="000E7D88" w:rsidRPr="00657307">
        <w:rPr>
          <w:rFonts w:eastAsiaTheme="minorHAnsi"/>
        </w:rPr>
        <w:t xml:space="preserve">1 February each </w:t>
      </w:r>
      <w:r w:rsidR="00EF282A" w:rsidRPr="00657307">
        <w:rPr>
          <w:rFonts w:eastAsiaTheme="minorHAnsi"/>
        </w:rPr>
        <w:t>financial year</w:t>
      </w:r>
      <w:r w:rsidR="000E7D88" w:rsidRPr="00657307">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lastRenderedPageBreak/>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described;</w:t>
      </w:r>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lastRenderedPageBreak/>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1"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lastRenderedPageBreak/>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0CC7A8CE"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53E43">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2"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C0C13FA" w14:textId="2D872040"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4C1ED9EC" w:rsidR="0083039E" w:rsidRPr="00D43373" w:rsidRDefault="002C1D81" w:rsidP="002C1D81">
      <w:bookmarkStart w:id="47"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7"/>
    </w:p>
    <w:p w14:paraId="7BDE58F7" w14:textId="19A4A152"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7DB3F0B"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2AD3C23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1481EE31"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177BF459"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5503163"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0730795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07307959"/>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0730796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07307961"/>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5D0E0ACA" w14:textId="13BA2C0B" w:rsidR="001F68A8" w:rsidRPr="007402E6" w:rsidDel="0089336D" w:rsidRDefault="001F68A8" w:rsidP="001F68A8">
      <w:r w:rsidRPr="0036384E">
        <w:t xml:space="preserve">You must also answer any additional reporting questions as per the template provided on </w:t>
      </w:r>
      <w:hyperlink r:id="rId24" w:history="1">
        <w:r w:rsidRPr="0036384E">
          <w:rPr>
            <w:rStyle w:val="Hyperlink"/>
          </w:rPr>
          <w:t>business.gov.au</w:t>
        </w:r>
      </w:hyperlink>
      <w:r w:rsidRPr="0036384E">
        <w:t xml:space="preserve"> and submit as part of your progress report.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70B5D445" w14:textId="5287AD34" w:rsidR="001F68A8" w:rsidRPr="00C02D60" w:rsidRDefault="007402E6">
      <w:pPr>
        <w:pStyle w:val="ListNumber4"/>
      </w:pPr>
      <w:r w:rsidRPr="007402E6">
        <w:t>Is the overall project proceeding in line with your grant agreement?</w:t>
      </w:r>
      <w:r w:rsidR="001F68A8">
        <w:t xml:space="preserve"> </w:t>
      </w:r>
      <w:r w:rsidRPr="007402E6">
        <w:t xml:space="preserve">If no, </w:t>
      </w:r>
      <w:r w:rsidR="001F68A8">
        <w:t xml:space="preserve">briefly explain </w:t>
      </w:r>
      <w:r w:rsidR="001F68A8" w:rsidRPr="00C02D60">
        <w:t>the reason(s).</w:t>
      </w:r>
    </w:p>
    <w:p w14:paraId="5958523D" w14:textId="77777777" w:rsidR="001F68A8" w:rsidRPr="00C02D60" w:rsidRDefault="001F68A8" w:rsidP="001F68A8">
      <w:pPr>
        <w:pStyle w:val="ListNumber4"/>
      </w:pPr>
      <w:r w:rsidRPr="00C02D60">
        <w:t>How has the grant improved your digitalisation service capability? Where applicable, provide examples of how the grant funding has been used to enhance your capability to deliver low cost, high quality digitalisation advisory services.</w:t>
      </w:r>
    </w:p>
    <w:p w14:paraId="2C57D8DC" w14:textId="77777777" w:rsidR="001F68A8" w:rsidRDefault="001F68A8" w:rsidP="001F68A8">
      <w:pPr>
        <w:pStyle w:val="ListNumber4"/>
      </w:pPr>
      <w:r w:rsidRPr="00C02D60">
        <w:t>Describe how you have increased or enhanced the digital capabilities</w:t>
      </w:r>
      <w:r w:rsidRPr="004E57CF">
        <w:t xml:space="preserve"> of the small businesses you have worked with</w:t>
      </w:r>
      <w:r w:rsidRPr="00C02D60">
        <w:t>.  Specific detail should be given on how this has been achieved for the five priority digital capabilities under the program.</w:t>
      </w:r>
    </w:p>
    <w:p w14:paraId="41273C93" w14:textId="77777777" w:rsidR="001F68A8" w:rsidRPr="004E57CF" w:rsidRDefault="001F68A8" w:rsidP="001F68A8">
      <w:pPr>
        <w:pStyle w:val="ListNumber4"/>
      </w:pPr>
      <w:r w:rsidRPr="00C02D60">
        <w:t>Briefly describe the key activities undertaken in relation to your advisory service including t</w:t>
      </w:r>
      <w:r w:rsidRPr="004E57CF">
        <w:t xml:space="preserve">he assessment of digital needs and services to small businesses. </w:t>
      </w:r>
    </w:p>
    <w:p w14:paraId="194BA647" w14:textId="77777777" w:rsidR="001F68A8" w:rsidRDefault="001F68A8" w:rsidP="001F68A8">
      <w:pPr>
        <w:pStyle w:val="ListNumber4"/>
      </w:pPr>
      <w:r w:rsidRPr="004E57CF">
        <w:t xml:space="preserve">Provide a summary of your performance against the targets within the customer data sheet.  Highlighting factors that may have impacted your performance </w:t>
      </w:r>
      <w:r>
        <w:t xml:space="preserve">during the reporting </w:t>
      </w:r>
      <w:r w:rsidRPr="004E57CF">
        <w:t>period.</w:t>
      </w:r>
    </w:p>
    <w:p w14:paraId="0636A13A" w14:textId="77777777" w:rsidR="001F68A8" w:rsidRPr="0036384E" w:rsidRDefault="001F68A8" w:rsidP="001F68A8">
      <w:pPr>
        <w:pStyle w:val="ListNumber4"/>
      </w:pPr>
      <w:r>
        <w:t>How many business advisors w</w:t>
      </w:r>
      <w:r w:rsidRPr="005B7CAD">
        <w:t xml:space="preserve">ere </w:t>
      </w:r>
      <w:r>
        <w:t>employed in total</w:t>
      </w:r>
      <w:r w:rsidRPr="005B7CAD">
        <w:t xml:space="preserve"> to deliver the digital advisory services</w:t>
      </w:r>
      <w:r>
        <w:t xml:space="preserve"> during the reporting period</w:t>
      </w:r>
      <w:r w:rsidRPr="005B7CAD">
        <w:t>?</w:t>
      </w:r>
      <w:r>
        <w:t xml:space="preserve"> (FTE equivalent)</w:t>
      </w:r>
    </w:p>
    <w:p w14:paraId="768B7664" w14:textId="77777777" w:rsidR="007402E6" w:rsidRPr="007402E6" w:rsidRDefault="007402E6" w:rsidP="00A94AEF">
      <w:pPr>
        <w:pStyle w:val="Heading5schedule"/>
      </w:pPr>
      <w:bookmarkStart w:id="85" w:name="_Toc436041540"/>
      <w:r w:rsidRPr="007402E6">
        <w:lastRenderedPageBreak/>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Default="00F10CA9" w:rsidP="00F10CA9">
      <w:pPr>
        <w:pStyle w:val="ListNumber4"/>
      </w:pPr>
      <w:r w:rsidRPr="00B14F20">
        <w:t>Attach copies of any published reports and promotional material, relating to the project.</w:t>
      </w:r>
    </w:p>
    <w:p w14:paraId="2BCC6DE3" w14:textId="5130A073" w:rsidR="001F68A8" w:rsidRPr="00657307" w:rsidRDefault="001F68A8">
      <w:pPr>
        <w:pStyle w:val="ListNumber4"/>
      </w:pPr>
      <w:r w:rsidRPr="00657307">
        <w:t>Attach customer data sheet</w:t>
      </w:r>
      <w:r w:rsidR="00486994" w:rsidRPr="00657307">
        <w:t xml:space="preserve"> as per the t</w:t>
      </w:r>
      <w:r w:rsidRPr="00657307">
        <w:t>emplate provided</w:t>
      </w:r>
      <w:r w:rsidR="00486994" w:rsidRPr="00657307">
        <w:t xml:space="preserve"> on business.gov.au</w:t>
      </w:r>
      <w:r w:rsidRPr="00657307">
        <w: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1C4184EB" w14:textId="128914A2" w:rsidR="001F68A8" w:rsidRPr="007402E6" w:rsidDel="0089336D" w:rsidRDefault="001F68A8" w:rsidP="001F68A8">
      <w:r w:rsidRPr="0036384E">
        <w:t xml:space="preserve">You must also answer any additional reporting questions as per the template provided on </w:t>
      </w:r>
      <w:hyperlink r:id="rId26" w:history="1">
        <w:r w:rsidRPr="0036384E">
          <w:rPr>
            <w:rStyle w:val="Hyperlink"/>
          </w:rPr>
          <w:t>business.gov.au</w:t>
        </w:r>
      </w:hyperlink>
      <w:r w:rsidRPr="0036384E">
        <w:t xml:space="preserve"> and submit as part of your end of project report.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845234D" w14:textId="77777777" w:rsidR="001F68A8" w:rsidRPr="0036384E" w:rsidRDefault="001F68A8" w:rsidP="001F68A8">
      <w:pPr>
        <w:pStyle w:val="ListNumber4"/>
      </w:pPr>
      <w:r w:rsidRPr="00C02D60">
        <w:t xml:space="preserve">Briefly describe the key activities undertaken in relation to your advisory service including the assessment of digital needs and services to small businesses. </w:t>
      </w:r>
    </w:p>
    <w:p w14:paraId="2F680130" w14:textId="77777777" w:rsidR="001F68A8" w:rsidRPr="005B7CAD" w:rsidRDefault="001F68A8" w:rsidP="001F68A8">
      <w:pPr>
        <w:pStyle w:val="ListNumber4"/>
      </w:pPr>
      <w:r w:rsidRPr="00C02D60">
        <w:t>How many business advisors were employed in total to deliver the digital advisory</w:t>
      </w:r>
      <w:r w:rsidRPr="005B7CAD">
        <w:t xml:space="preserve"> services?</w:t>
      </w:r>
      <w:r>
        <w:t xml:space="preserve"> (FTE equivalent)</w:t>
      </w:r>
    </w:p>
    <w:p w14:paraId="7A125F42" w14:textId="77777777" w:rsidR="007402E6" w:rsidRPr="007402E6" w:rsidRDefault="007402E6" w:rsidP="00A94AEF">
      <w:pPr>
        <w:pStyle w:val="Heading5schedule"/>
      </w:pPr>
      <w:r w:rsidRPr="007402E6">
        <w:t>Project outcomes</w:t>
      </w:r>
    </w:p>
    <w:p w14:paraId="2DDD5ECA" w14:textId="789EF039" w:rsidR="007402E6" w:rsidRDefault="007402E6" w:rsidP="00A31C71">
      <w:pPr>
        <w:pStyle w:val="ListNumber4"/>
        <w:numPr>
          <w:ilvl w:val="0"/>
          <w:numId w:val="19"/>
        </w:numPr>
      </w:pPr>
      <w:r w:rsidRPr="007402E6">
        <w:t>Outline the project outcomes achieved by the project end date.</w:t>
      </w:r>
      <w:r w:rsidR="001F68A8">
        <w:t xml:space="preserve"> Stating:</w:t>
      </w:r>
    </w:p>
    <w:p w14:paraId="41FD50CC" w14:textId="77616AD2" w:rsidR="001F68A8" w:rsidRDefault="001F68A8" w:rsidP="001F68A8">
      <w:pPr>
        <w:pStyle w:val="ListNumber4"/>
        <w:numPr>
          <w:ilvl w:val="1"/>
          <w:numId w:val="19"/>
        </w:numPr>
      </w:pPr>
      <w:r>
        <w:t>How has the grant improved your service capability</w:t>
      </w:r>
      <w:r w:rsidR="001437EB">
        <w:t>.</w:t>
      </w:r>
      <w:r>
        <w:t xml:space="preserve"> </w:t>
      </w:r>
    </w:p>
    <w:p w14:paraId="2E118039" w14:textId="77777777" w:rsidR="001F68A8" w:rsidRDefault="001F68A8" w:rsidP="001F68A8">
      <w:pPr>
        <w:pStyle w:val="ListNumber4"/>
        <w:numPr>
          <w:ilvl w:val="1"/>
          <w:numId w:val="19"/>
        </w:numPr>
      </w:pPr>
      <w:r>
        <w:t>How the grant funding has been used to enhance your capability to deliver low cost, high quality digitalisation advisory services.</w:t>
      </w:r>
    </w:p>
    <w:p w14:paraId="700E88B1" w14:textId="69329D72" w:rsidR="001F68A8" w:rsidRPr="007402E6" w:rsidRDefault="001F68A8" w:rsidP="005B1035">
      <w:pPr>
        <w:pStyle w:val="ListNumber4"/>
        <w:numPr>
          <w:ilvl w:val="1"/>
          <w:numId w:val="19"/>
        </w:numPr>
      </w:pPr>
      <w:r w:rsidRPr="0081015E">
        <w:t>How you have increased or enhanced the digital capabilities of the small businesses you have worked with.  Specific detail should be given on how this has been achieved for the priority digital capabilities under the program.</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lastRenderedPageBreak/>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3FD4789F" w14:textId="77777777" w:rsidR="001F68A8" w:rsidRPr="006C2C13" w:rsidRDefault="001F68A8" w:rsidP="001F68A8">
      <w:pPr>
        <w:pStyle w:val="ListNumber4"/>
      </w:pPr>
      <w:r w:rsidRPr="006C2C13">
        <w:t xml:space="preserve">Have you conducted any client satisfaction surveys during the </w:t>
      </w:r>
      <w:r>
        <w:t>life of the service</w:t>
      </w:r>
      <w:r w:rsidRPr="006C2C13">
        <w:t xml:space="preserve">? </w:t>
      </w:r>
    </w:p>
    <w:p w14:paraId="5524387D" w14:textId="77777777" w:rsidR="001F68A8" w:rsidRPr="006C2C13" w:rsidRDefault="001F68A8" w:rsidP="001F68A8">
      <w:pPr>
        <w:pStyle w:val="ListNumber4"/>
        <w:numPr>
          <w:ilvl w:val="0"/>
          <w:numId w:val="0"/>
        </w:numPr>
        <w:ind w:left="720"/>
      </w:pPr>
      <w:r w:rsidRPr="006C2C13">
        <w:t>If so, summarise the results in relation to the percentage of participating small businesses that rated your advisory services as suitable (or higher)</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657307">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lastRenderedPageBreak/>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53EB2CED" w14:textId="5D3FEB2B" w:rsidR="001F68A8" w:rsidRPr="00BF4D45" w:rsidRDefault="001F68A8">
      <w:pPr>
        <w:pStyle w:val="ListNumber4"/>
      </w:pPr>
      <w:r w:rsidRPr="00657307">
        <w:t>Attach customer data sheet</w:t>
      </w:r>
      <w:r w:rsidR="00486994" w:rsidRPr="00657307">
        <w:t xml:space="preserve"> as per the template provided on business.gov.au</w:t>
      </w:r>
      <w:r w:rsidRPr="00BF4D45">
        <w:t xml:space="preserve">. </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0E73CF5" w:rsidR="005E540E" w:rsidRDefault="005E540E" w:rsidP="005357E9">
      <w:pPr>
        <w:pStyle w:val="Heading3schedule2"/>
      </w:pPr>
      <w:r>
        <w:lastRenderedPageBreak/>
        <w:t xml:space="preserve">Appendix </w:t>
      </w:r>
      <w:r w:rsidR="00605C5E">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0F9B2DE1" w:rsidR="00A31C71" w:rsidRDefault="00A31C71" w:rsidP="00AA71F9">
      <w:r>
        <w:t>Complete the following table for all cash [and in-kind] contributions for your project for the period in question, including</w:t>
      </w:r>
      <w:r w:rsidR="008B107B">
        <w:t>:</w:t>
      </w:r>
    </w:p>
    <w:p w14:paraId="6D8D3540" w14:textId="09B1CC20" w:rsidR="00A31C71" w:rsidRDefault="00A31C71" w:rsidP="00A31C71">
      <w:pPr>
        <w:pStyle w:val="ListBullet3"/>
      </w:pPr>
      <w:r>
        <w:t>the grant</w:t>
      </w:r>
      <w:r w:rsidR="008B107B">
        <w:t>;</w:t>
      </w:r>
    </w:p>
    <w:p w14:paraId="5D40BA1B" w14:textId="50EB4D4C" w:rsidR="00A31C71" w:rsidRDefault="00A31C71" w:rsidP="00A31C71">
      <w:pPr>
        <w:pStyle w:val="ListBullet3"/>
      </w:pPr>
      <w:r>
        <w:t>other government funding</w:t>
      </w:r>
      <w:r w:rsidR="008B107B">
        <w:t>;</w:t>
      </w:r>
    </w:p>
    <w:p w14:paraId="17308058" w14:textId="00258A36" w:rsidR="00A31C71" w:rsidRDefault="00A31C71" w:rsidP="00A31C71">
      <w:pPr>
        <w:pStyle w:val="ListBullet3"/>
      </w:pPr>
      <w:r>
        <w:t>your own contributions</w:t>
      </w:r>
      <w:r w:rsidR="008B107B">
        <w:t>;</w:t>
      </w:r>
    </w:p>
    <w:p w14:paraId="3AB85DFA" w14:textId="702FC14D" w:rsidR="00A31C71" w:rsidRDefault="00A31C71" w:rsidP="00A31C71">
      <w:pPr>
        <w:pStyle w:val="ListBullet3"/>
      </w:pPr>
      <w:r>
        <w:t>partner or other third party contributions</w:t>
      </w:r>
      <w:r w:rsidR="008B107B">
        <w:t>;</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w:t>
      </w:r>
      <w:bookmarkStart w:id="91" w:name="_GoBack"/>
      <w:r w:rsidRPr="00453B8F">
        <w:t>error</w:t>
      </w:r>
      <w:bookmarkEnd w:id="91"/>
      <w:r w:rsidRPr="00453B8F">
        <w:t xml:space="preserve">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E5F24" w:rsidRDefault="00EE5F24" w:rsidP="00685263">
      <w:pPr>
        <w:spacing w:after="0" w:line="240" w:lineRule="auto"/>
      </w:pPr>
      <w:r>
        <w:separator/>
      </w:r>
    </w:p>
  </w:endnote>
  <w:endnote w:type="continuationSeparator" w:id="0">
    <w:p w14:paraId="71FB79E2" w14:textId="77777777" w:rsidR="00EE5F24" w:rsidRDefault="00EE5F24" w:rsidP="00685263">
      <w:pPr>
        <w:spacing w:after="0" w:line="240" w:lineRule="auto"/>
      </w:pPr>
      <w:r>
        <w:continuationSeparator/>
      </w:r>
    </w:p>
  </w:endnote>
  <w:endnote w:type="continuationNotice" w:id="1">
    <w:p w14:paraId="5EA36007" w14:textId="77777777" w:rsidR="00EE5F24" w:rsidRDefault="00EE5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CAB8" w14:textId="77777777" w:rsidR="00EE5F24" w:rsidRDefault="00EE5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EE5F24" w:rsidRDefault="00EE5F24" w:rsidP="007B575F">
        <w:pPr>
          <w:pStyle w:val="Footer"/>
          <w:tabs>
            <w:tab w:val="clear" w:pos="3647"/>
            <w:tab w:val="clear" w:pos="4513"/>
            <w:tab w:val="center" w:pos="6804"/>
          </w:tabs>
        </w:pPr>
        <w:r>
          <w:t>&lt;Grant opportunity name&gt;</w:t>
        </w:r>
      </w:p>
    </w:sdtContent>
  </w:sdt>
  <w:p w14:paraId="2AB412F4" w14:textId="71C62EE7" w:rsidR="00EE5F24" w:rsidRDefault="006255E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E5F24">
          <w:t>Commonwealth Standard Grant Agreement</w:t>
        </w:r>
      </w:sdtContent>
    </w:sdt>
    <w:r w:rsidR="00EE5F24" w:rsidRPr="00694143">
      <w:tab/>
    </w:r>
    <w:r w:rsidR="00EE5F24">
      <w:t>August 2022</w:t>
    </w:r>
    <w:sdt>
      <w:sdtPr>
        <w:id w:val="-2050905157"/>
        <w:docPartObj>
          <w:docPartGallery w:val="Page Numbers (Top of Page)"/>
          <w:docPartUnique/>
        </w:docPartObj>
      </w:sdtPr>
      <w:sdtEndPr/>
      <w:sdtContent>
        <w:r w:rsidR="00EE5F24" w:rsidRPr="00694143">
          <w:tab/>
          <w:t xml:space="preserve">Page </w:t>
        </w:r>
        <w:r w:rsidR="00EE5F24" w:rsidRPr="00694143">
          <w:fldChar w:fldCharType="begin"/>
        </w:r>
        <w:r w:rsidR="00EE5F24" w:rsidRPr="00694143">
          <w:instrText xml:space="preserve"> PAGE </w:instrText>
        </w:r>
        <w:r w:rsidR="00EE5F24" w:rsidRPr="00694143">
          <w:fldChar w:fldCharType="separate"/>
        </w:r>
        <w:r>
          <w:rPr>
            <w:noProof/>
          </w:rPr>
          <w:t>21</w:t>
        </w:r>
        <w:r w:rsidR="00EE5F24" w:rsidRPr="00694143">
          <w:fldChar w:fldCharType="end"/>
        </w:r>
        <w:r w:rsidR="00EE5F24" w:rsidRPr="00694143">
          <w:t xml:space="preserve"> of </w:t>
        </w:r>
        <w:r w:rsidR="00EE5F24">
          <w:rPr>
            <w:noProof/>
          </w:rPr>
          <w:fldChar w:fldCharType="begin"/>
        </w:r>
        <w:r w:rsidR="00EE5F24">
          <w:rPr>
            <w:noProof/>
          </w:rPr>
          <w:instrText xml:space="preserve"> NUMPAGES  \* Arabic  \* MERGEFORMAT </w:instrText>
        </w:r>
        <w:r w:rsidR="00EE5F24">
          <w:rPr>
            <w:noProof/>
          </w:rPr>
          <w:fldChar w:fldCharType="separate"/>
        </w:r>
        <w:r>
          <w:rPr>
            <w:noProof/>
          </w:rPr>
          <w:t>41</w:t>
        </w:r>
        <w:r w:rsidR="00EE5F2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EEE7" w14:textId="77777777" w:rsidR="00EE5F24" w:rsidRDefault="00EE5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E5F24" w:rsidRDefault="00EE5F24" w:rsidP="00685263">
      <w:pPr>
        <w:spacing w:after="0" w:line="240" w:lineRule="auto"/>
      </w:pPr>
      <w:r>
        <w:separator/>
      </w:r>
    </w:p>
  </w:footnote>
  <w:footnote w:type="continuationSeparator" w:id="0">
    <w:p w14:paraId="124F60E2" w14:textId="77777777" w:rsidR="00EE5F24" w:rsidRDefault="00EE5F24" w:rsidP="00685263">
      <w:pPr>
        <w:spacing w:after="0" w:line="240" w:lineRule="auto"/>
      </w:pPr>
      <w:r>
        <w:continuationSeparator/>
      </w:r>
    </w:p>
  </w:footnote>
  <w:footnote w:type="continuationNotice" w:id="1">
    <w:p w14:paraId="7E182442" w14:textId="77777777" w:rsidR="00EE5F24" w:rsidRDefault="00EE5F24">
      <w:pPr>
        <w:spacing w:after="0" w:line="240" w:lineRule="auto"/>
      </w:pPr>
    </w:p>
  </w:footnote>
  <w:footnote w:id="2">
    <w:p w14:paraId="5B80ED41" w14:textId="77777777" w:rsidR="00EE5F24" w:rsidRPr="00ED1BAA" w:rsidRDefault="00EE5F24"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E5F24" w:rsidRDefault="006255E2">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4126C5E2" w:rsidR="00EE5F24" w:rsidRPr="0097777E" w:rsidRDefault="00EE5F24"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6255E2">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E5F24" w:rsidRDefault="006255E2">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E5F24" w:rsidRDefault="006255E2">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E5F24" w:rsidRPr="005056CD" w:rsidRDefault="006255E2"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E5F24" w:rsidRDefault="006255E2">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E5F24" w:rsidRDefault="006255E2">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E5F24" w:rsidRPr="00F301C1" w:rsidRDefault="006255E2"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E5F24"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E5F24" w:rsidRDefault="006255E2">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A9A519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4CA9"/>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7EB"/>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8A8"/>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3C86"/>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994"/>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37C"/>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1035"/>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C5E"/>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5E2"/>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57307"/>
    <w:rsid w:val="00660803"/>
    <w:rsid w:val="00661FDE"/>
    <w:rsid w:val="006647C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DCC"/>
    <w:rsid w:val="008A4F51"/>
    <w:rsid w:val="008A5AEF"/>
    <w:rsid w:val="008A73A2"/>
    <w:rsid w:val="008A7F9C"/>
    <w:rsid w:val="008B0087"/>
    <w:rsid w:val="008B00A1"/>
    <w:rsid w:val="008B107B"/>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B7C34"/>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1124"/>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4D45"/>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443"/>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E43"/>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5F24"/>
    <w:rsid w:val="00EE6133"/>
    <w:rsid w:val="00EE63FC"/>
    <w:rsid w:val="00EE6744"/>
    <w:rsid w:val="00EE6A40"/>
    <w:rsid w:val="00EF1A41"/>
    <w:rsid w:val="00EF282A"/>
    <w:rsid w:val="00EF2C4D"/>
    <w:rsid w:val="00EF2CFA"/>
    <w:rsid w:val="00EF2D13"/>
    <w:rsid w:val="00EF31D9"/>
    <w:rsid w:val="00EF3C95"/>
    <w:rsid w:val="00EF4A25"/>
    <w:rsid w:val="00EF4D29"/>
    <w:rsid w:val="00EF67C2"/>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3DF9"/>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54EE"/>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business.gov.au/ASBASDS-RD2" TargetMode="External"/><Relationship Id="rId3" Type="http://schemas.openxmlformats.org/officeDocument/2006/relationships/customXml" Target="../customXml/item3.xml"/><Relationship Id="rId21" Type="http://schemas.openxmlformats.org/officeDocument/2006/relationships/hyperlink" Target="http://www.ag.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ASBASDS-RD2"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business.gov.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www.business.gov.au/" TargetMode="Externa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0999"/>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1A9F"/>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02C8"/>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A568C33DB234B8241449FF7478939" ma:contentTypeVersion="17" ma:contentTypeDescription="Create a new document." ma:contentTypeScope="" ma:versionID="c15fb8634327d4ef3559a5e1376b678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df70e444ff2cda5dbd42ddd93f3952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element ref="ns2:m24ab1030655454fb17826e4d267b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element name="m24ab1030655454fb17826e4d267bade" ma:index="27" nillable="true" ma:taxonomy="true" ma:internalName="m24ab1030655454fb17826e4d267bade" ma:taxonomyFieldName="DocHub_ASBASSubPrograms" ma:displayName="Sub-Program" ma:indexed="true" ma:default="" ma:fieldId="{624ab103-0655-454f-b178-26e4d267bade}" ma:sspId="fb0313f7-9433-48c0-866e-9e0bbee59a50" ma:termSetId="66bd096a-66b5-4c34-adf4-8befe5b903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220621
-  include reference to Commonwealth of Australia
- ST9.2 (c)
- ST9.3 (f)
- Schedule 1, 1.3 (National Redress Scheme)
- Schedule 1, 19.3.1
Formatting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YZXQVS7QACYM-587105795-241</_dlc_DocId>
    <_dlc_DocIdUrl xmlns="2a251b7e-61e4-4816-a71f-b295a9ad20fb">
      <Url>https://dochub/div/ausindustry/programmesprojectstaskforces/asbas/_layouts/15/DocIdRedir.aspx?ID=YZXQVS7QACYM-587105795-241</Url>
      <Description>YZXQVS7QACYM-587105795-241</Description>
    </_dlc_DocIdUrl>
    <IconOverlay xmlns="http://schemas.microsoft.com/sharepoint/v4" xsi:nil="true"/>
    <DocHub_RoundNumber xmlns="2a251b7e-61e4-4816-a71f-b295a9ad20fb" xsi:nil="true"/>
    <m24ab1030655454fb17826e4d267bade xmlns="2a251b7e-61e4-4816-a71f-b295a9ad20fb">
      <Terms xmlns="http://schemas.microsoft.com/office/infopath/2007/PartnerControls"/>
    </m24ab1030655454fb17826e4d267ba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B821A-680C-4A27-B031-926BE8B6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36B4CD50-F2FF-4AEE-9C6B-16CA9AAF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11100</Words>
  <Characters>61797</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6</cp:revision>
  <cp:lastPrinted>2022-08-25T07:14:00Z</cp:lastPrinted>
  <dcterms:created xsi:type="dcterms:W3CDTF">2022-08-25T06:16:00Z</dcterms:created>
  <dcterms:modified xsi:type="dcterms:W3CDTF">2022-08-25T07:15:00Z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0x010100F0DA568C33DB234B8241449FF7478939</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d14563f5-e456-408a-a3a0-5ec1c96b0f24</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ASBASSubPrograms">
    <vt:lpwstr/>
  </property>
</Properties>
</file>