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30BD7D" w14:textId="33D4C8EA" w:rsidR="00F24E81" w:rsidRPr="00E9234E" w:rsidRDefault="00E9234E" w:rsidP="00E9234E">
      <w:pPr>
        <w:pStyle w:val="Heading1"/>
      </w:pPr>
      <w:r>
        <w:t>Boosting A</w:t>
      </w:r>
      <w:r w:rsidRPr="00E9234E">
        <w:t xml:space="preserve">ustralia’s </w:t>
      </w:r>
      <w:r>
        <w:t>D</w:t>
      </w:r>
      <w:r w:rsidRPr="00E9234E">
        <w:t xml:space="preserve">iesel </w:t>
      </w:r>
      <w:r>
        <w:t>S</w:t>
      </w:r>
      <w:r w:rsidRPr="00E9234E">
        <w:t xml:space="preserve">torage (BADSP) </w:t>
      </w:r>
      <w:r>
        <w:t>P</w:t>
      </w:r>
      <w:r w:rsidRPr="00E9234E">
        <w:t xml:space="preserve">rogram </w:t>
      </w:r>
      <w:r>
        <w:t>I</w:t>
      </w:r>
      <w:r w:rsidRPr="00E9234E">
        <w:t>ndustry w</w:t>
      </w:r>
      <w:bookmarkStart w:id="0" w:name="_GoBack"/>
      <w:bookmarkEnd w:id="0"/>
      <w:r w:rsidRPr="00E9234E">
        <w:t>ebinar</w:t>
      </w:r>
    </w:p>
    <w:p w14:paraId="15216E10" w14:textId="3F21D330" w:rsidR="00AE1BA8" w:rsidRPr="00E9234E" w:rsidRDefault="00E9234E" w:rsidP="00E9234E">
      <w:pPr>
        <w:pStyle w:val="Heading1"/>
      </w:pPr>
      <w:r w:rsidRPr="00E9234E">
        <w:t>Question and answer session</w:t>
      </w:r>
    </w:p>
    <w:p w14:paraId="15216E11" w14:textId="6CD7DFC6" w:rsidR="00792DF2" w:rsidRDefault="00792DF2" w:rsidP="00792DF2">
      <w:pPr>
        <w:spacing w:after="0"/>
        <w:jc w:val="center"/>
        <w:rPr>
          <w:rFonts w:asciiTheme="minorHAnsi" w:hAnsiTheme="minorHAnsi" w:cstheme="minorHAnsi"/>
          <w:sz w:val="22"/>
          <w:szCs w:val="22"/>
        </w:rPr>
      </w:pPr>
      <w:r w:rsidRPr="002E40BF">
        <w:rPr>
          <w:rFonts w:asciiTheme="minorHAnsi" w:hAnsiTheme="minorHAnsi" w:cstheme="minorHAnsi"/>
          <w:b/>
          <w:sz w:val="22"/>
          <w:szCs w:val="22"/>
        </w:rPr>
        <w:t>Date:</w:t>
      </w:r>
      <w:r w:rsidR="00C151CF" w:rsidRPr="002E40BF">
        <w:rPr>
          <w:rFonts w:asciiTheme="minorHAnsi" w:hAnsiTheme="minorHAnsi" w:cstheme="minorHAnsi"/>
          <w:sz w:val="22"/>
          <w:szCs w:val="22"/>
        </w:rPr>
        <w:t xml:space="preserve"> </w:t>
      </w:r>
      <w:r w:rsidR="00F24E81">
        <w:rPr>
          <w:rFonts w:asciiTheme="minorHAnsi" w:hAnsiTheme="minorHAnsi" w:cstheme="minorHAnsi"/>
          <w:sz w:val="22"/>
          <w:szCs w:val="22"/>
        </w:rPr>
        <w:t>Wednesday 10 February 2021</w:t>
      </w:r>
    </w:p>
    <w:p w14:paraId="3B325F28" w14:textId="3B7A2CF7" w:rsidR="00566B57" w:rsidRPr="002E40BF" w:rsidRDefault="00566B57" w:rsidP="00792DF2">
      <w:pPr>
        <w:spacing w:after="0"/>
        <w:jc w:val="center"/>
        <w:rPr>
          <w:rFonts w:asciiTheme="minorHAnsi" w:hAnsiTheme="minorHAnsi" w:cstheme="minorHAnsi"/>
          <w:sz w:val="22"/>
          <w:szCs w:val="22"/>
        </w:rPr>
      </w:pPr>
      <w:r>
        <w:rPr>
          <w:rFonts w:asciiTheme="minorHAnsi" w:hAnsiTheme="minorHAnsi" w:cstheme="minorHAnsi"/>
          <w:sz w:val="22"/>
          <w:szCs w:val="22"/>
        </w:rPr>
        <w:t>Time: 11:00am – 12:30pm</w:t>
      </w:r>
    </w:p>
    <w:p w14:paraId="15216E12" w14:textId="06C4228D" w:rsidR="0068504B" w:rsidRPr="002E40BF" w:rsidRDefault="00792DF2" w:rsidP="00792DF2">
      <w:pPr>
        <w:spacing w:after="0"/>
        <w:jc w:val="center"/>
        <w:rPr>
          <w:rFonts w:asciiTheme="minorHAnsi" w:hAnsiTheme="minorHAnsi" w:cstheme="minorHAnsi"/>
          <w:sz w:val="22"/>
          <w:szCs w:val="22"/>
        </w:rPr>
      </w:pPr>
      <w:r w:rsidRPr="002E40BF">
        <w:rPr>
          <w:rFonts w:asciiTheme="minorHAnsi" w:hAnsiTheme="minorHAnsi" w:cstheme="minorHAnsi"/>
          <w:b/>
          <w:sz w:val="22"/>
          <w:szCs w:val="22"/>
        </w:rPr>
        <w:t>Venue:</w:t>
      </w:r>
      <w:r w:rsidR="003F320E" w:rsidRPr="002E40BF">
        <w:rPr>
          <w:rFonts w:asciiTheme="minorHAnsi" w:hAnsiTheme="minorHAnsi" w:cstheme="minorHAnsi"/>
          <w:b/>
          <w:sz w:val="22"/>
          <w:szCs w:val="22"/>
        </w:rPr>
        <w:t xml:space="preserve"> </w:t>
      </w:r>
      <w:r w:rsidR="0083528D" w:rsidRPr="002E40BF">
        <w:rPr>
          <w:rFonts w:asciiTheme="minorHAnsi" w:hAnsiTheme="minorHAnsi" w:cstheme="minorHAnsi"/>
          <w:sz w:val="22"/>
          <w:szCs w:val="22"/>
        </w:rPr>
        <w:t>Virtual Meeting Only</w:t>
      </w:r>
    </w:p>
    <w:p w14:paraId="15216E13" w14:textId="7A421CB2" w:rsidR="00AF126E" w:rsidRDefault="004E109D" w:rsidP="004E109D">
      <w:pPr>
        <w:jc w:val="center"/>
        <w:rPr>
          <w:rFonts w:asciiTheme="minorHAnsi" w:hAnsiTheme="minorHAnsi" w:cstheme="minorHAnsi"/>
          <w:sz w:val="22"/>
          <w:szCs w:val="22"/>
        </w:rPr>
      </w:pPr>
      <w:r w:rsidRPr="002E40BF">
        <w:rPr>
          <w:rFonts w:asciiTheme="minorHAnsi" w:hAnsiTheme="minorHAnsi" w:cstheme="minorHAnsi"/>
          <w:b/>
          <w:sz w:val="22"/>
          <w:szCs w:val="22"/>
        </w:rPr>
        <w:t>Chair:</w:t>
      </w:r>
      <w:r w:rsidRPr="002E40BF">
        <w:rPr>
          <w:rFonts w:asciiTheme="minorHAnsi" w:hAnsiTheme="minorHAnsi" w:cstheme="minorHAnsi"/>
          <w:sz w:val="22"/>
          <w:szCs w:val="22"/>
        </w:rPr>
        <w:t xml:space="preserve"> </w:t>
      </w:r>
      <w:r w:rsidR="00F24E81">
        <w:rPr>
          <w:rFonts w:asciiTheme="minorHAnsi" w:hAnsiTheme="minorHAnsi" w:cstheme="minorHAnsi"/>
          <w:sz w:val="22"/>
          <w:szCs w:val="22"/>
        </w:rPr>
        <w:t xml:space="preserve">Mr. Shane Gaddes, Head of Division, Liquid Fuel Taskforce </w:t>
      </w:r>
    </w:p>
    <w:p w14:paraId="5B28B0F7" w14:textId="77777777" w:rsidR="00040000" w:rsidRDefault="00040000" w:rsidP="004E109D">
      <w:pPr>
        <w:jc w:val="center"/>
        <w:rPr>
          <w:rFonts w:asciiTheme="minorHAnsi" w:hAnsiTheme="minorHAnsi" w:cstheme="minorHAnsi"/>
          <w:sz w:val="22"/>
          <w:szCs w:val="22"/>
        </w:rPr>
      </w:pPr>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8651"/>
      </w:tblGrid>
      <w:tr w:rsidR="00040000" w:rsidRPr="0040118C" w14:paraId="555D7A75" w14:textId="77777777" w:rsidTr="00AC442B">
        <w:trPr>
          <w:trHeight w:val="656"/>
        </w:trPr>
        <w:tc>
          <w:tcPr>
            <w:tcW w:w="4957" w:type="dxa"/>
            <w:shd w:val="clear" w:color="auto" w:fill="D0CECE" w:themeFill="background2" w:themeFillShade="E6"/>
            <w:noWrap/>
            <w:vAlign w:val="center"/>
            <w:hideMark/>
          </w:tcPr>
          <w:p w14:paraId="5334A614" w14:textId="77777777" w:rsidR="00040000" w:rsidRPr="0040118C" w:rsidRDefault="00040000" w:rsidP="00AC442B">
            <w:pPr>
              <w:spacing w:after="0"/>
              <w:rPr>
                <w:rFonts w:ascii="Calibri" w:eastAsia="Times New Roman" w:hAnsi="Calibri" w:cs="Calibri"/>
                <w:b/>
                <w:bCs/>
                <w:lang w:eastAsia="en-AU"/>
              </w:rPr>
            </w:pPr>
            <w:r w:rsidRPr="0040118C">
              <w:rPr>
                <w:rFonts w:ascii="Calibri" w:eastAsia="Times New Roman" w:hAnsi="Calibri" w:cs="Calibri"/>
                <w:b/>
                <w:bCs/>
                <w:lang w:eastAsia="en-AU"/>
              </w:rPr>
              <w:t>Question</w:t>
            </w:r>
          </w:p>
        </w:tc>
        <w:tc>
          <w:tcPr>
            <w:tcW w:w="8651" w:type="dxa"/>
            <w:shd w:val="clear" w:color="auto" w:fill="D0CECE" w:themeFill="background2" w:themeFillShade="E6"/>
            <w:vAlign w:val="center"/>
          </w:tcPr>
          <w:p w14:paraId="25D41CB1" w14:textId="77777777" w:rsidR="00040000" w:rsidRPr="0040118C" w:rsidRDefault="00040000" w:rsidP="00AC442B">
            <w:pPr>
              <w:spacing w:after="0"/>
              <w:rPr>
                <w:rFonts w:ascii="Calibri" w:eastAsia="Times New Roman" w:hAnsi="Calibri" w:cs="Calibri"/>
                <w:b/>
                <w:bCs/>
                <w:lang w:eastAsia="en-AU"/>
              </w:rPr>
            </w:pPr>
            <w:r w:rsidRPr="0040118C">
              <w:rPr>
                <w:rFonts w:ascii="Calibri" w:eastAsia="Times New Roman" w:hAnsi="Calibri" w:cs="Calibri"/>
                <w:b/>
                <w:bCs/>
                <w:lang w:eastAsia="en-AU"/>
              </w:rPr>
              <w:t>Reply</w:t>
            </w:r>
          </w:p>
        </w:tc>
      </w:tr>
      <w:tr w:rsidR="00040000" w:rsidRPr="0040118C" w14:paraId="3DCF2887" w14:textId="77777777" w:rsidTr="00AC442B">
        <w:trPr>
          <w:trHeight w:val="290"/>
        </w:trPr>
        <w:tc>
          <w:tcPr>
            <w:tcW w:w="4957" w:type="dxa"/>
            <w:shd w:val="clear" w:color="auto" w:fill="auto"/>
            <w:noWrap/>
            <w:hideMark/>
          </w:tcPr>
          <w:p w14:paraId="7E2FB144" w14:textId="77777777" w:rsidR="00040000" w:rsidRPr="0040118C" w:rsidRDefault="00040000" w:rsidP="00AC442B">
            <w:pPr>
              <w:spacing w:before="100" w:after="100"/>
              <w:rPr>
                <w:rFonts w:ascii="Calibri" w:eastAsia="Times New Roman" w:hAnsi="Calibri" w:cs="Calibri"/>
                <w:color w:val="000000"/>
                <w:lang w:eastAsia="en-AU"/>
              </w:rPr>
            </w:pPr>
            <w:r w:rsidRPr="0040118C">
              <w:rPr>
                <w:rFonts w:ascii="Calibri" w:eastAsia="Times New Roman" w:hAnsi="Calibri" w:cs="Calibri"/>
                <w:color w:val="000000"/>
                <w:lang w:eastAsia="en-AU"/>
              </w:rPr>
              <w:t>Any further details on the proposed legislation to increase minimum diesel levels by 40% and how the market will deliver the</w:t>
            </w:r>
            <w:r>
              <w:rPr>
                <w:rFonts w:ascii="Calibri" w:eastAsia="Times New Roman" w:hAnsi="Calibri" w:cs="Calibri"/>
                <w:color w:val="000000"/>
                <w:lang w:eastAsia="en-AU"/>
              </w:rPr>
              <w:t xml:space="preserve"> additional diesel into tankage</w:t>
            </w:r>
            <w:r w:rsidRPr="0040118C">
              <w:rPr>
                <w:rFonts w:ascii="Calibri" w:eastAsia="Times New Roman" w:hAnsi="Calibri" w:cs="Calibri"/>
                <w:color w:val="000000"/>
                <w:lang w:eastAsia="en-AU"/>
              </w:rPr>
              <w:t xml:space="preserve">? </w:t>
            </w:r>
          </w:p>
        </w:tc>
        <w:tc>
          <w:tcPr>
            <w:tcW w:w="8651" w:type="dxa"/>
          </w:tcPr>
          <w:p w14:paraId="06B08AF2" w14:textId="6DF2C98C" w:rsidR="00040000" w:rsidRPr="0040118C" w:rsidRDefault="00040000" w:rsidP="00AC442B">
            <w:pPr>
              <w:spacing w:before="100" w:after="100"/>
              <w:rPr>
                <w:rFonts w:ascii="Calibri" w:eastAsia="Times New Roman" w:hAnsi="Calibri" w:cs="Calibri"/>
                <w:color w:val="000000"/>
                <w:lang w:eastAsia="en-AU"/>
              </w:rPr>
            </w:pPr>
            <w:r w:rsidRPr="0040118C">
              <w:rPr>
                <w:rFonts w:ascii="Calibri" w:eastAsia="Times New Roman" w:hAnsi="Calibri" w:cs="Calibri"/>
                <w:color w:val="000000"/>
                <w:lang w:eastAsia="en-AU"/>
              </w:rPr>
              <w:t>• Detailed design and consultation processes are underway for the Minimum Stockholding Obligation</w:t>
            </w:r>
            <w:r w:rsidRPr="0040118C">
              <w:rPr>
                <w:rFonts w:ascii="Calibri" w:eastAsia="Times New Roman" w:hAnsi="Calibri" w:cs="Calibri"/>
                <w:color w:val="000000"/>
                <w:lang w:eastAsia="en-AU"/>
              </w:rPr>
              <w:br/>
              <w:t>• Participation or otherwise in th</w:t>
            </w:r>
            <w:r w:rsidR="008F4524">
              <w:rPr>
                <w:rFonts w:ascii="Calibri" w:eastAsia="Times New Roman" w:hAnsi="Calibri" w:cs="Calibri"/>
                <w:color w:val="000000"/>
                <w:lang w:eastAsia="en-AU"/>
              </w:rPr>
              <w:t>e storage grants</w:t>
            </w:r>
            <w:r w:rsidRPr="0040118C">
              <w:rPr>
                <w:rFonts w:ascii="Calibri" w:eastAsia="Times New Roman" w:hAnsi="Calibri" w:cs="Calibri"/>
                <w:color w:val="000000"/>
                <w:lang w:eastAsia="en-AU"/>
              </w:rPr>
              <w:t xml:space="preserve"> program will not impact whether an entity is captured by future minimum stockholding requirements.</w:t>
            </w:r>
            <w:r w:rsidRPr="0040118C">
              <w:rPr>
                <w:rFonts w:ascii="Calibri" w:eastAsia="Times New Roman" w:hAnsi="Calibri" w:cs="Calibri"/>
                <w:color w:val="000000"/>
                <w:lang w:eastAsia="en-AU"/>
              </w:rPr>
              <w:br/>
              <w:t xml:space="preserve">• Open access arrangements for storage proposals are preferred, </w:t>
            </w:r>
            <w:r w:rsidR="00AC442B">
              <w:rPr>
                <w:rFonts w:ascii="Calibri" w:eastAsia="Times New Roman" w:hAnsi="Calibri" w:cs="Calibri"/>
                <w:color w:val="000000"/>
                <w:lang w:eastAsia="en-AU"/>
              </w:rPr>
              <w:t>to maintain flexibility for regulated entities to potentially access new storage</w:t>
            </w:r>
          </w:p>
        </w:tc>
      </w:tr>
      <w:tr w:rsidR="00040000" w:rsidRPr="0040118C" w14:paraId="0EB22384" w14:textId="77777777" w:rsidTr="00AC442B">
        <w:trPr>
          <w:trHeight w:val="290"/>
        </w:trPr>
        <w:tc>
          <w:tcPr>
            <w:tcW w:w="4957" w:type="dxa"/>
            <w:shd w:val="clear" w:color="auto" w:fill="auto"/>
            <w:noWrap/>
            <w:hideMark/>
          </w:tcPr>
          <w:p w14:paraId="4F5288E0" w14:textId="77777777" w:rsidR="00040000" w:rsidRPr="0040118C" w:rsidRDefault="00040000" w:rsidP="00AC442B">
            <w:pPr>
              <w:spacing w:before="100" w:after="100"/>
              <w:rPr>
                <w:rFonts w:ascii="Calibri" w:eastAsia="Times New Roman" w:hAnsi="Calibri" w:cs="Calibri"/>
                <w:color w:val="000000"/>
                <w:lang w:eastAsia="en-AU"/>
              </w:rPr>
            </w:pPr>
            <w:r w:rsidRPr="0040118C">
              <w:rPr>
                <w:rFonts w:ascii="Calibri" w:eastAsia="Times New Roman" w:hAnsi="Calibri" w:cs="Calibri"/>
                <w:color w:val="000000"/>
                <w:lang w:eastAsia="en-AU"/>
              </w:rPr>
              <w:t>Are projects in metropolitan areas eligible to apply?</w:t>
            </w:r>
          </w:p>
        </w:tc>
        <w:tc>
          <w:tcPr>
            <w:tcW w:w="8651" w:type="dxa"/>
          </w:tcPr>
          <w:p w14:paraId="2C59DE4E" w14:textId="7AAEE9D1" w:rsidR="00040000" w:rsidRPr="0040118C" w:rsidRDefault="00040000" w:rsidP="00AC442B">
            <w:pPr>
              <w:spacing w:before="100" w:after="100"/>
              <w:rPr>
                <w:rFonts w:ascii="Calibri" w:eastAsia="Times New Roman" w:hAnsi="Calibri" w:cs="Calibri"/>
                <w:color w:val="000000"/>
                <w:lang w:eastAsia="en-AU"/>
              </w:rPr>
            </w:pPr>
            <w:r w:rsidRPr="0040118C">
              <w:rPr>
                <w:rFonts w:ascii="Calibri" w:eastAsia="Times New Roman" w:hAnsi="Calibri" w:cs="Calibri"/>
                <w:color w:val="000000"/>
                <w:lang w:eastAsia="en-AU"/>
              </w:rPr>
              <w:t xml:space="preserve">• </w:t>
            </w:r>
            <w:r w:rsidR="006B2230">
              <w:rPr>
                <w:rFonts w:ascii="Calibri" w:eastAsia="Times New Roman" w:hAnsi="Calibri" w:cs="Calibri"/>
                <w:color w:val="000000"/>
                <w:lang w:eastAsia="en-AU"/>
              </w:rPr>
              <w:t xml:space="preserve">Yes. </w:t>
            </w:r>
            <w:r w:rsidR="00B4032C">
              <w:rPr>
                <w:rFonts w:ascii="Calibri" w:eastAsia="Times New Roman" w:hAnsi="Calibri" w:cs="Calibri"/>
                <w:color w:val="000000"/>
                <w:lang w:eastAsia="en-AU"/>
              </w:rPr>
              <w:t xml:space="preserve">The location of a project is not an eligibility condition for the program, rather location and proximity to existing fuel infrastructure and demand centres is part of the first assessment criteria. </w:t>
            </w:r>
            <w:r w:rsidRPr="0040118C">
              <w:rPr>
                <w:rFonts w:ascii="Calibri" w:eastAsia="Times New Roman" w:hAnsi="Calibri" w:cs="Calibri"/>
                <w:color w:val="000000"/>
                <w:lang w:eastAsia="en-AU"/>
              </w:rPr>
              <w:t>Storage proposals are not limited to regional areas</w:t>
            </w:r>
            <w:r w:rsidR="00B4032C">
              <w:rPr>
                <w:rFonts w:ascii="Calibri" w:eastAsia="Times New Roman" w:hAnsi="Calibri" w:cs="Calibri"/>
                <w:color w:val="000000"/>
                <w:lang w:eastAsia="en-AU"/>
              </w:rPr>
              <w:t>, we expect the program to involve a portfolio of projects that best meets our fuel security needs</w:t>
            </w:r>
            <w:r w:rsidRPr="0040118C">
              <w:rPr>
                <w:rFonts w:ascii="Calibri" w:eastAsia="Times New Roman" w:hAnsi="Calibri" w:cs="Calibri"/>
                <w:color w:val="000000"/>
                <w:lang w:eastAsia="en-AU"/>
              </w:rPr>
              <w:t xml:space="preserve">. </w:t>
            </w:r>
            <w:r w:rsidRPr="0040118C">
              <w:rPr>
                <w:rFonts w:ascii="Calibri" w:eastAsia="Times New Roman" w:hAnsi="Calibri" w:cs="Calibri"/>
                <w:color w:val="000000"/>
                <w:lang w:eastAsia="en-AU"/>
              </w:rPr>
              <w:br/>
              <w:t>• If your application is strong in every other aspect but does not service strategic regional areas, there is nothing stopping it from still being considered highly.</w:t>
            </w:r>
          </w:p>
        </w:tc>
      </w:tr>
      <w:tr w:rsidR="00040000" w:rsidRPr="0040118C" w14:paraId="79016235" w14:textId="77777777" w:rsidTr="00AC442B">
        <w:trPr>
          <w:trHeight w:val="290"/>
        </w:trPr>
        <w:tc>
          <w:tcPr>
            <w:tcW w:w="4957" w:type="dxa"/>
            <w:shd w:val="clear" w:color="auto" w:fill="auto"/>
            <w:noWrap/>
            <w:hideMark/>
          </w:tcPr>
          <w:p w14:paraId="630935E0" w14:textId="2787CBF1" w:rsidR="00040000" w:rsidRPr="0040118C" w:rsidRDefault="00040000" w:rsidP="00AC442B">
            <w:pPr>
              <w:spacing w:before="100" w:after="100"/>
              <w:rPr>
                <w:rFonts w:ascii="Calibri" w:eastAsia="Times New Roman" w:hAnsi="Calibri" w:cs="Calibri"/>
                <w:color w:val="000000"/>
                <w:lang w:eastAsia="en-AU"/>
              </w:rPr>
            </w:pPr>
            <w:r w:rsidRPr="0040118C">
              <w:rPr>
                <w:rFonts w:ascii="Calibri" w:eastAsia="Times New Roman" w:hAnsi="Calibri" w:cs="Calibri"/>
                <w:color w:val="000000"/>
                <w:lang w:eastAsia="en-AU"/>
              </w:rPr>
              <w:t>Can we get access to your slides?</w:t>
            </w:r>
          </w:p>
        </w:tc>
        <w:tc>
          <w:tcPr>
            <w:tcW w:w="8651" w:type="dxa"/>
          </w:tcPr>
          <w:p w14:paraId="7364B1AE" w14:textId="77777777" w:rsidR="00040000" w:rsidRPr="0040118C" w:rsidRDefault="00040000" w:rsidP="00AC442B">
            <w:pPr>
              <w:spacing w:before="100" w:after="100"/>
              <w:rPr>
                <w:rFonts w:ascii="Calibri" w:eastAsia="Times New Roman" w:hAnsi="Calibri" w:cs="Calibri"/>
                <w:color w:val="000000"/>
                <w:lang w:eastAsia="en-AU"/>
              </w:rPr>
            </w:pPr>
            <w:r w:rsidRPr="0040118C">
              <w:rPr>
                <w:rFonts w:ascii="Calibri" w:eastAsia="Times New Roman" w:hAnsi="Calibri" w:cs="Calibri"/>
                <w:color w:val="000000"/>
                <w:lang w:eastAsia="en-AU"/>
              </w:rPr>
              <w:t>Slides will be provided to attendees following this meeting.</w:t>
            </w:r>
          </w:p>
        </w:tc>
      </w:tr>
      <w:tr w:rsidR="00040000" w:rsidRPr="0040118C" w14:paraId="7355BC4C" w14:textId="77777777" w:rsidTr="00AC442B">
        <w:trPr>
          <w:trHeight w:val="290"/>
        </w:trPr>
        <w:tc>
          <w:tcPr>
            <w:tcW w:w="4957" w:type="dxa"/>
            <w:shd w:val="clear" w:color="auto" w:fill="auto"/>
            <w:noWrap/>
            <w:hideMark/>
          </w:tcPr>
          <w:p w14:paraId="45219127" w14:textId="77777777" w:rsidR="00040000" w:rsidRPr="0040118C" w:rsidRDefault="00040000" w:rsidP="00AC442B">
            <w:pPr>
              <w:spacing w:before="100" w:after="100"/>
              <w:rPr>
                <w:rFonts w:ascii="Calibri" w:eastAsia="Times New Roman" w:hAnsi="Calibri" w:cs="Calibri"/>
                <w:color w:val="000000"/>
                <w:lang w:eastAsia="en-AU"/>
              </w:rPr>
            </w:pPr>
            <w:r w:rsidRPr="0040118C">
              <w:rPr>
                <w:rFonts w:ascii="Calibri" w:eastAsia="Times New Roman" w:hAnsi="Calibri" w:cs="Calibri"/>
                <w:color w:val="000000"/>
                <w:lang w:eastAsia="en-AU"/>
              </w:rPr>
              <w:lastRenderedPageBreak/>
              <w:t xml:space="preserve">Clarification/timeframe when the legislation relating to the minimum stock holding; specific reference to how industry will fund the cost of holding inventory. </w:t>
            </w:r>
          </w:p>
        </w:tc>
        <w:tc>
          <w:tcPr>
            <w:tcW w:w="8651" w:type="dxa"/>
          </w:tcPr>
          <w:p w14:paraId="33CA4F6C" w14:textId="016A8C18" w:rsidR="00040000" w:rsidRPr="0040118C" w:rsidRDefault="00040000" w:rsidP="00AC442B">
            <w:pPr>
              <w:spacing w:before="100" w:after="100"/>
              <w:rPr>
                <w:rFonts w:ascii="Calibri" w:eastAsia="Times New Roman" w:hAnsi="Calibri" w:cs="Calibri"/>
                <w:color w:val="000000"/>
                <w:lang w:eastAsia="en-AU"/>
              </w:rPr>
            </w:pPr>
            <w:r w:rsidRPr="0040118C">
              <w:rPr>
                <w:rFonts w:ascii="Calibri" w:eastAsia="Times New Roman" w:hAnsi="Calibri" w:cs="Calibri"/>
                <w:color w:val="000000"/>
                <w:lang w:eastAsia="en-AU"/>
              </w:rPr>
              <w:t>• Once completed, the applicant will have ownership of the storage and have responsibility for ongoing costs of operation and the filling of storage</w:t>
            </w:r>
            <w:r w:rsidRPr="0040118C">
              <w:rPr>
                <w:rFonts w:ascii="Calibri" w:eastAsia="Times New Roman" w:hAnsi="Calibri" w:cs="Calibri"/>
                <w:color w:val="000000"/>
                <w:lang w:eastAsia="en-AU"/>
              </w:rPr>
              <w:br/>
              <w:t>• Funding is exclusively for the construction of new diesel storage.  Filling of the storage with diesel is not an eligible expense and will not be considered.</w:t>
            </w:r>
            <w:r w:rsidRPr="0040118C">
              <w:rPr>
                <w:rFonts w:ascii="Calibri" w:eastAsia="Times New Roman" w:hAnsi="Calibri" w:cs="Calibri"/>
                <w:color w:val="000000"/>
                <w:lang w:eastAsia="en-AU"/>
              </w:rPr>
              <w:br/>
              <w:t>• Detailed design and consultation processes are still underway for the Minimum Stockholding Obligation</w:t>
            </w:r>
          </w:p>
        </w:tc>
      </w:tr>
      <w:tr w:rsidR="00040000" w:rsidRPr="0040118C" w14:paraId="03599074" w14:textId="77777777" w:rsidTr="00AC442B">
        <w:trPr>
          <w:trHeight w:val="290"/>
        </w:trPr>
        <w:tc>
          <w:tcPr>
            <w:tcW w:w="4957" w:type="dxa"/>
            <w:shd w:val="clear" w:color="auto" w:fill="auto"/>
            <w:noWrap/>
            <w:hideMark/>
          </w:tcPr>
          <w:p w14:paraId="3B259630" w14:textId="77777777" w:rsidR="00040000" w:rsidRPr="0040118C" w:rsidRDefault="00040000" w:rsidP="00AC442B">
            <w:pPr>
              <w:spacing w:before="100" w:after="100"/>
              <w:rPr>
                <w:rFonts w:ascii="Calibri" w:eastAsia="Times New Roman" w:hAnsi="Calibri" w:cs="Calibri"/>
                <w:color w:val="000000"/>
                <w:lang w:eastAsia="en-AU"/>
              </w:rPr>
            </w:pPr>
            <w:r w:rsidRPr="0040118C">
              <w:rPr>
                <w:rFonts w:ascii="Calibri" w:eastAsia="Times New Roman" w:hAnsi="Calibri" w:cs="Calibri"/>
                <w:color w:val="000000"/>
                <w:lang w:eastAsia="en-AU"/>
              </w:rPr>
              <w:t>Does the refurbishment of an idle crude tank or out of service products tank into additional diesel storage qualify for the grants program?</w:t>
            </w:r>
          </w:p>
        </w:tc>
        <w:tc>
          <w:tcPr>
            <w:tcW w:w="8651" w:type="dxa"/>
          </w:tcPr>
          <w:p w14:paraId="2BFF7C8A" w14:textId="3F3E0C74" w:rsidR="00040000" w:rsidRPr="0040118C" w:rsidRDefault="00040000" w:rsidP="00AC442B">
            <w:pPr>
              <w:spacing w:before="100" w:after="100"/>
              <w:rPr>
                <w:rFonts w:ascii="Calibri" w:eastAsia="Times New Roman" w:hAnsi="Calibri" w:cs="Calibri"/>
                <w:color w:val="000000"/>
                <w:lang w:eastAsia="en-AU"/>
              </w:rPr>
            </w:pPr>
            <w:r w:rsidRPr="0040118C">
              <w:rPr>
                <w:rFonts w:ascii="Calibri" w:eastAsia="Times New Roman" w:hAnsi="Calibri" w:cs="Calibri"/>
                <w:color w:val="000000"/>
                <w:lang w:eastAsia="en-AU"/>
              </w:rPr>
              <w:t>• Applicants need t</w:t>
            </w:r>
            <w:r w:rsidR="00B61A16">
              <w:rPr>
                <w:rFonts w:ascii="Calibri" w:eastAsia="Times New Roman" w:hAnsi="Calibri" w:cs="Calibri"/>
                <w:color w:val="000000"/>
                <w:lang w:eastAsia="en-AU"/>
              </w:rPr>
              <w:t>o show, in their proposal, how</w:t>
            </w:r>
            <w:r w:rsidRPr="0040118C">
              <w:rPr>
                <w:rFonts w:ascii="Calibri" w:eastAsia="Times New Roman" w:hAnsi="Calibri" w:cs="Calibri"/>
                <w:color w:val="000000"/>
                <w:lang w:eastAsia="en-AU"/>
              </w:rPr>
              <w:t xml:space="preserve"> the project represents new construction and results in additional storage. </w:t>
            </w:r>
            <w:r w:rsidRPr="0040118C">
              <w:rPr>
                <w:rFonts w:ascii="Calibri" w:eastAsia="Times New Roman" w:hAnsi="Calibri" w:cs="Calibri"/>
                <w:color w:val="000000"/>
                <w:lang w:eastAsia="en-AU"/>
              </w:rPr>
              <w:br/>
              <w:t xml:space="preserve">• The list of ineligible expenditure at Appendix B of the guidelines indicates that renovations are not able to be funded by the grant. </w:t>
            </w:r>
            <w:r w:rsidR="00BE551B">
              <w:rPr>
                <w:rFonts w:ascii="Calibri" w:eastAsia="Times New Roman" w:hAnsi="Calibri" w:cs="Calibri"/>
                <w:color w:val="000000"/>
                <w:lang w:eastAsia="en-AU"/>
              </w:rPr>
              <w:t xml:space="preserve">You will need to show how your project expenses are not for renovation. </w:t>
            </w:r>
          </w:p>
        </w:tc>
      </w:tr>
      <w:tr w:rsidR="00040000" w:rsidRPr="0040118C" w14:paraId="69BFEDEE" w14:textId="77777777" w:rsidTr="00AC442B">
        <w:trPr>
          <w:trHeight w:val="290"/>
        </w:trPr>
        <w:tc>
          <w:tcPr>
            <w:tcW w:w="4957" w:type="dxa"/>
            <w:shd w:val="clear" w:color="auto" w:fill="auto"/>
            <w:noWrap/>
            <w:hideMark/>
          </w:tcPr>
          <w:p w14:paraId="1E076F36" w14:textId="3F1C3004" w:rsidR="00040000" w:rsidRPr="0040118C" w:rsidRDefault="006D26EE" w:rsidP="00AC442B">
            <w:pPr>
              <w:spacing w:before="100" w:after="100"/>
              <w:rPr>
                <w:rFonts w:ascii="Calibri" w:eastAsia="Times New Roman" w:hAnsi="Calibri" w:cs="Calibri"/>
                <w:color w:val="000000"/>
                <w:lang w:eastAsia="en-AU"/>
              </w:rPr>
            </w:pPr>
            <w:r>
              <w:rPr>
                <w:rFonts w:ascii="Calibri" w:eastAsia="Times New Roman" w:hAnsi="Calibri" w:cs="Calibri"/>
                <w:color w:val="000000"/>
                <w:lang w:eastAsia="en-AU"/>
              </w:rPr>
              <w:t>I</w:t>
            </w:r>
            <w:r w:rsidR="00040000" w:rsidRPr="0040118C">
              <w:rPr>
                <w:rFonts w:ascii="Calibri" w:eastAsia="Times New Roman" w:hAnsi="Calibri" w:cs="Calibri"/>
                <w:color w:val="000000"/>
                <w:lang w:eastAsia="en-AU"/>
              </w:rPr>
              <w:t>f submitting multiple projects - are these separate submissions or a single submission under the single ABN / entity?</w:t>
            </w:r>
          </w:p>
        </w:tc>
        <w:tc>
          <w:tcPr>
            <w:tcW w:w="8651" w:type="dxa"/>
          </w:tcPr>
          <w:p w14:paraId="37C74901" w14:textId="60CE0C49" w:rsidR="00254F36" w:rsidRPr="00254F36" w:rsidRDefault="00254F36" w:rsidP="00DD1F5A">
            <w:pPr>
              <w:pStyle w:val="ListParagraph"/>
              <w:numPr>
                <w:ilvl w:val="0"/>
                <w:numId w:val="6"/>
              </w:numPr>
              <w:spacing w:before="100" w:after="100"/>
              <w:rPr>
                <w:rFonts w:asciiTheme="minorHAnsi" w:hAnsiTheme="minorHAnsi" w:cstheme="minorHAnsi"/>
                <w:color w:val="auto"/>
                <w:sz w:val="24"/>
                <w:szCs w:val="24"/>
              </w:rPr>
            </w:pPr>
            <w:r w:rsidRPr="00254F36">
              <w:rPr>
                <w:rFonts w:asciiTheme="minorHAnsi" w:hAnsiTheme="minorHAnsi" w:cstheme="minorHAnsi"/>
                <w:color w:val="auto"/>
                <w:sz w:val="24"/>
                <w:szCs w:val="24"/>
              </w:rPr>
              <w:t>Applicants must be an entity incorporated in Australia and a trading corporation with an Australian Business Number (ABN).</w:t>
            </w:r>
          </w:p>
          <w:p w14:paraId="2B84C8DE" w14:textId="3EFCED1E" w:rsidR="000D3F5E" w:rsidRDefault="00254F36" w:rsidP="00254F36">
            <w:pPr>
              <w:pStyle w:val="ListParagraph"/>
              <w:numPr>
                <w:ilvl w:val="0"/>
                <w:numId w:val="6"/>
              </w:numPr>
              <w:spacing w:before="100" w:after="100"/>
              <w:rPr>
                <w:rFonts w:asciiTheme="minorHAnsi" w:hAnsiTheme="minorHAnsi" w:cstheme="minorHAnsi"/>
                <w:color w:val="auto"/>
                <w:sz w:val="24"/>
                <w:szCs w:val="24"/>
              </w:rPr>
            </w:pPr>
            <w:r w:rsidRPr="00254F36">
              <w:rPr>
                <w:rFonts w:asciiTheme="minorHAnsi" w:hAnsiTheme="minorHAnsi" w:cstheme="minorHAnsi"/>
                <w:color w:val="auto"/>
                <w:sz w:val="24"/>
                <w:szCs w:val="24"/>
              </w:rPr>
              <w:t xml:space="preserve">Applicant may submit an application with multiple projects or they may submit multiple applications. </w:t>
            </w:r>
          </w:p>
          <w:p w14:paraId="1E421F85" w14:textId="7CC5062E" w:rsidR="005A3ABC" w:rsidRPr="00254F36" w:rsidRDefault="00254F36" w:rsidP="00254F36">
            <w:pPr>
              <w:pStyle w:val="ListParagraph"/>
              <w:numPr>
                <w:ilvl w:val="0"/>
                <w:numId w:val="6"/>
              </w:numPr>
              <w:spacing w:before="100" w:after="100"/>
              <w:rPr>
                <w:rFonts w:asciiTheme="minorHAnsi" w:hAnsiTheme="minorHAnsi" w:cstheme="minorHAnsi"/>
                <w:color w:val="auto"/>
                <w:sz w:val="24"/>
                <w:szCs w:val="24"/>
              </w:rPr>
            </w:pPr>
            <w:r>
              <w:rPr>
                <w:rFonts w:asciiTheme="minorHAnsi" w:hAnsiTheme="minorHAnsi" w:cstheme="minorHAnsi"/>
                <w:color w:val="auto"/>
                <w:sz w:val="24"/>
                <w:szCs w:val="24"/>
              </w:rPr>
              <w:t xml:space="preserve">Applicants </w:t>
            </w:r>
            <w:r w:rsidRPr="00254F36">
              <w:rPr>
                <w:rFonts w:ascii="Calibri" w:hAnsi="Calibri" w:cs="Calibri"/>
                <w:color w:val="auto"/>
                <w:sz w:val="24"/>
                <w:szCs w:val="24"/>
              </w:rPr>
              <w:t>must demonstrate how your project will contribute to increasing fuel security (including taking account of any adverse effects that the proposal may have such as decreasing competition or supply chain diversity).</w:t>
            </w:r>
          </w:p>
        </w:tc>
      </w:tr>
      <w:tr w:rsidR="00040000" w:rsidRPr="0040118C" w14:paraId="7B5A844D" w14:textId="77777777" w:rsidTr="00AC442B">
        <w:trPr>
          <w:trHeight w:val="290"/>
        </w:trPr>
        <w:tc>
          <w:tcPr>
            <w:tcW w:w="4957" w:type="dxa"/>
            <w:shd w:val="clear" w:color="auto" w:fill="auto"/>
            <w:noWrap/>
            <w:hideMark/>
          </w:tcPr>
          <w:p w14:paraId="0317C1A5" w14:textId="734881C1" w:rsidR="00040000" w:rsidRPr="0040118C" w:rsidRDefault="00040000" w:rsidP="00AC442B">
            <w:pPr>
              <w:spacing w:before="100" w:after="100"/>
              <w:rPr>
                <w:rFonts w:ascii="Calibri" w:eastAsia="Times New Roman" w:hAnsi="Calibri" w:cs="Calibri"/>
                <w:color w:val="000000"/>
                <w:lang w:eastAsia="en-AU"/>
              </w:rPr>
            </w:pPr>
            <w:r w:rsidRPr="0040118C">
              <w:rPr>
                <w:rFonts w:ascii="Calibri" w:eastAsia="Times New Roman" w:hAnsi="Calibri" w:cs="Calibri"/>
                <w:color w:val="000000"/>
                <w:lang w:eastAsia="en-AU"/>
              </w:rPr>
              <w:t>If you have a site on a highway and you want access from both directions of travel , will the bridge costs be included as eligible costs</w:t>
            </w:r>
          </w:p>
        </w:tc>
        <w:tc>
          <w:tcPr>
            <w:tcW w:w="8651" w:type="dxa"/>
          </w:tcPr>
          <w:p w14:paraId="416C85EC" w14:textId="77777777" w:rsidR="00040000" w:rsidRPr="00254F36" w:rsidRDefault="00040000" w:rsidP="00AC442B">
            <w:pPr>
              <w:spacing w:before="100" w:after="100"/>
              <w:rPr>
                <w:rFonts w:ascii="Calibri" w:eastAsia="Times New Roman" w:hAnsi="Calibri" w:cs="Calibri"/>
                <w:color w:val="000000"/>
                <w:lang w:eastAsia="en-AU"/>
              </w:rPr>
            </w:pPr>
            <w:r w:rsidRPr="00254F36">
              <w:rPr>
                <w:rFonts w:ascii="Calibri" w:eastAsia="Times New Roman" w:hAnsi="Calibri" w:cs="Calibri"/>
                <w:color w:val="000000"/>
                <w:lang w:eastAsia="en-AU"/>
              </w:rPr>
              <w:t>• As per section five of the guidelines, Funding is only available for infrastructure directly relevant to the new storage project.</w:t>
            </w:r>
            <w:r w:rsidRPr="00254F36">
              <w:rPr>
                <w:rFonts w:ascii="Calibri" w:eastAsia="Times New Roman" w:hAnsi="Calibri" w:cs="Calibri"/>
                <w:color w:val="000000"/>
                <w:lang w:eastAsia="en-AU"/>
              </w:rPr>
              <w:br/>
              <w:t>• Infrastructure development costs, including development of road, rail, port or fuel delivery networks beyond the storage site are not eligible and will not be considered.</w:t>
            </w:r>
          </w:p>
        </w:tc>
      </w:tr>
      <w:tr w:rsidR="00040000" w:rsidRPr="0040118C" w14:paraId="7140DF58" w14:textId="77777777" w:rsidTr="00AC442B">
        <w:trPr>
          <w:trHeight w:val="290"/>
        </w:trPr>
        <w:tc>
          <w:tcPr>
            <w:tcW w:w="4957" w:type="dxa"/>
            <w:shd w:val="clear" w:color="auto" w:fill="auto"/>
            <w:noWrap/>
            <w:hideMark/>
          </w:tcPr>
          <w:p w14:paraId="5A927F73" w14:textId="77777777" w:rsidR="00040000" w:rsidRPr="0040118C" w:rsidRDefault="00040000" w:rsidP="00AC442B">
            <w:pPr>
              <w:spacing w:before="100" w:after="100"/>
              <w:rPr>
                <w:rFonts w:ascii="Calibri" w:eastAsia="Times New Roman" w:hAnsi="Calibri" w:cs="Calibri"/>
                <w:color w:val="000000"/>
                <w:lang w:eastAsia="en-AU"/>
              </w:rPr>
            </w:pPr>
            <w:r w:rsidRPr="0040118C">
              <w:rPr>
                <w:rFonts w:ascii="Calibri" w:eastAsia="Times New Roman" w:hAnsi="Calibri" w:cs="Calibri"/>
                <w:color w:val="000000"/>
                <w:lang w:eastAsia="en-AU"/>
              </w:rPr>
              <w:t>Is grant eligibility strictly limited to diesel or can the storage be for reduced crude?</w:t>
            </w:r>
          </w:p>
        </w:tc>
        <w:tc>
          <w:tcPr>
            <w:tcW w:w="8651" w:type="dxa"/>
          </w:tcPr>
          <w:p w14:paraId="413033D2" w14:textId="6F42138C" w:rsidR="00040000" w:rsidRPr="0040118C" w:rsidRDefault="00040000" w:rsidP="00AC442B">
            <w:pPr>
              <w:spacing w:before="100" w:after="100"/>
              <w:rPr>
                <w:rFonts w:ascii="Calibri" w:eastAsia="Times New Roman" w:hAnsi="Calibri" w:cs="Calibri"/>
                <w:color w:val="000000"/>
                <w:lang w:eastAsia="en-AU"/>
              </w:rPr>
            </w:pPr>
            <w:r w:rsidRPr="0040118C">
              <w:rPr>
                <w:rFonts w:ascii="Calibri" w:eastAsia="Times New Roman" w:hAnsi="Calibri" w:cs="Calibri"/>
                <w:color w:val="000000"/>
                <w:lang w:eastAsia="en-AU"/>
              </w:rPr>
              <w:t xml:space="preserve">• Only storage for fuel reported as diesel under the </w:t>
            </w:r>
            <w:r w:rsidRPr="006D26EE">
              <w:rPr>
                <w:rFonts w:ascii="Calibri" w:eastAsia="Times New Roman" w:hAnsi="Calibri" w:cs="Calibri"/>
                <w:i/>
                <w:color w:val="000000"/>
                <w:lang w:eastAsia="en-AU"/>
              </w:rPr>
              <w:t xml:space="preserve">Petroleum and Other Fuels Reporting Act </w:t>
            </w:r>
            <w:r w:rsidR="006D26EE" w:rsidRPr="006D26EE">
              <w:rPr>
                <w:rFonts w:ascii="Calibri" w:eastAsia="Times New Roman" w:hAnsi="Calibri" w:cs="Calibri"/>
                <w:i/>
                <w:color w:val="000000"/>
                <w:lang w:eastAsia="en-AU"/>
              </w:rPr>
              <w:t xml:space="preserve">2017 </w:t>
            </w:r>
            <w:r w:rsidRPr="0040118C">
              <w:rPr>
                <w:rFonts w:ascii="Calibri" w:eastAsia="Times New Roman" w:hAnsi="Calibri" w:cs="Calibri"/>
                <w:color w:val="000000"/>
                <w:lang w:eastAsia="en-AU"/>
              </w:rPr>
              <w:t>will be considered for this program.</w:t>
            </w:r>
          </w:p>
        </w:tc>
      </w:tr>
      <w:tr w:rsidR="00040000" w:rsidRPr="0040118C" w14:paraId="4A0721F2" w14:textId="77777777" w:rsidTr="00AC442B">
        <w:trPr>
          <w:trHeight w:val="290"/>
        </w:trPr>
        <w:tc>
          <w:tcPr>
            <w:tcW w:w="4957" w:type="dxa"/>
            <w:shd w:val="clear" w:color="auto" w:fill="auto"/>
            <w:noWrap/>
            <w:hideMark/>
          </w:tcPr>
          <w:p w14:paraId="60C52DED" w14:textId="77777777" w:rsidR="00040000" w:rsidRPr="0040118C" w:rsidRDefault="00040000" w:rsidP="00AC442B">
            <w:pPr>
              <w:spacing w:before="100" w:after="100"/>
              <w:rPr>
                <w:rFonts w:ascii="Calibri" w:eastAsia="Times New Roman" w:hAnsi="Calibri" w:cs="Calibri"/>
                <w:color w:val="000000"/>
                <w:lang w:eastAsia="en-AU"/>
              </w:rPr>
            </w:pPr>
            <w:r w:rsidRPr="0040118C">
              <w:rPr>
                <w:rFonts w:ascii="Calibri" w:eastAsia="Times New Roman" w:hAnsi="Calibri" w:cs="Calibri"/>
                <w:color w:val="000000"/>
                <w:lang w:eastAsia="en-AU"/>
              </w:rPr>
              <w:t xml:space="preserve">Is the maximum grant amount of $33M per ABN / entity or per project - </w:t>
            </w:r>
            <w:proofErr w:type="spellStart"/>
            <w:r w:rsidRPr="0040118C">
              <w:rPr>
                <w:rFonts w:ascii="Calibri" w:eastAsia="Times New Roman" w:hAnsi="Calibri" w:cs="Calibri"/>
                <w:color w:val="000000"/>
                <w:lang w:eastAsia="en-AU"/>
              </w:rPr>
              <w:t>ie</w:t>
            </w:r>
            <w:proofErr w:type="spellEnd"/>
            <w:r w:rsidRPr="0040118C">
              <w:rPr>
                <w:rFonts w:ascii="Calibri" w:eastAsia="Times New Roman" w:hAnsi="Calibri" w:cs="Calibri"/>
                <w:color w:val="000000"/>
                <w:lang w:eastAsia="en-AU"/>
              </w:rPr>
              <w:t xml:space="preserve">. </w:t>
            </w:r>
            <w:proofErr w:type="gramStart"/>
            <w:r w:rsidRPr="0040118C">
              <w:rPr>
                <w:rFonts w:ascii="Calibri" w:eastAsia="Times New Roman" w:hAnsi="Calibri" w:cs="Calibri"/>
                <w:color w:val="000000"/>
                <w:lang w:eastAsia="en-AU"/>
              </w:rPr>
              <w:t>can</w:t>
            </w:r>
            <w:proofErr w:type="gramEnd"/>
            <w:r w:rsidRPr="0040118C">
              <w:rPr>
                <w:rFonts w:ascii="Calibri" w:eastAsia="Times New Roman" w:hAnsi="Calibri" w:cs="Calibri"/>
                <w:color w:val="000000"/>
                <w:lang w:eastAsia="en-AU"/>
              </w:rPr>
              <w:t xml:space="preserve"> a single entity </w:t>
            </w:r>
            <w:r w:rsidRPr="0040118C">
              <w:rPr>
                <w:rFonts w:ascii="Calibri" w:eastAsia="Times New Roman" w:hAnsi="Calibri" w:cs="Calibri"/>
                <w:color w:val="000000"/>
                <w:lang w:eastAsia="en-AU"/>
              </w:rPr>
              <w:lastRenderedPageBreak/>
              <w:t xml:space="preserve">submitting say 5 projects receive up to A$33M per project? </w:t>
            </w:r>
          </w:p>
        </w:tc>
        <w:tc>
          <w:tcPr>
            <w:tcW w:w="8651" w:type="dxa"/>
          </w:tcPr>
          <w:p w14:paraId="6FED1B9C" w14:textId="77777777" w:rsidR="00254F36" w:rsidRPr="00254F36" w:rsidRDefault="00254F36" w:rsidP="00254F36">
            <w:pPr>
              <w:pStyle w:val="ListParagraph"/>
              <w:numPr>
                <w:ilvl w:val="0"/>
                <w:numId w:val="6"/>
              </w:numPr>
              <w:spacing w:before="100" w:after="100"/>
              <w:rPr>
                <w:rFonts w:asciiTheme="minorHAnsi" w:hAnsiTheme="minorHAnsi" w:cstheme="minorHAnsi"/>
                <w:color w:val="auto"/>
                <w:sz w:val="24"/>
                <w:szCs w:val="24"/>
              </w:rPr>
            </w:pPr>
            <w:r w:rsidRPr="00254F36">
              <w:rPr>
                <w:rFonts w:asciiTheme="minorHAnsi" w:hAnsiTheme="minorHAnsi" w:cstheme="minorHAnsi"/>
                <w:color w:val="auto"/>
                <w:sz w:val="24"/>
                <w:szCs w:val="24"/>
              </w:rPr>
              <w:lastRenderedPageBreak/>
              <w:t>Applicants must be an entity incorporated in Australia and a trading corporation with an Australian Business Number (ABN).</w:t>
            </w:r>
          </w:p>
          <w:p w14:paraId="5D83F0ED" w14:textId="7E6B283C" w:rsidR="00254F36" w:rsidRDefault="00254F36" w:rsidP="00254F36">
            <w:pPr>
              <w:pStyle w:val="ListParagraph"/>
              <w:numPr>
                <w:ilvl w:val="0"/>
                <w:numId w:val="6"/>
              </w:numPr>
              <w:spacing w:before="100" w:after="100"/>
              <w:rPr>
                <w:rFonts w:asciiTheme="minorHAnsi" w:hAnsiTheme="minorHAnsi" w:cstheme="minorHAnsi"/>
                <w:color w:val="auto"/>
                <w:sz w:val="24"/>
                <w:szCs w:val="24"/>
              </w:rPr>
            </w:pPr>
            <w:r w:rsidRPr="00254F36">
              <w:rPr>
                <w:rFonts w:asciiTheme="minorHAnsi" w:hAnsiTheme="minorHAnsi" w:cstheme="minorHAnsi"/>
                <w:color w:val="auto"/>
                <w:sz w:val="24"/>
                <w:szCs w:val="24"/>
              </w:rPr>
              <w:lastRenderedPageBreak/>
              <w:t>Applicant</w:t>
            </w:r>
            <w:r w:rsidR="009C15AD">
              <w:rPr>
                <w:rFonts w:asciiTheme="minorHAnsi" w:hAnsiTheme="minorHAnsi" w:cstheme="minorHAnsi"/>
                <w:color w:val="auto"/>
                <w:sz w:val="24"/>
                <w:szCs w:val="24"/>
              </w:rPr>
              <w:t>s</w:t>
            </w:r>
            <w:r w:rsidRPr="00254F36">
              <w:rPr>
                <w:rFonts w:asciiTheme="minorHAnsi" w:hAnsiTheme="minorHAnsi" w:cstheme="minorHAnsi"/>
                <w:color w:val="auto"/>
                <w:sz w:val="24"/>
                <w:szCs w:val="24"/>
              </w:rPr>
              <w:t xml:space="preserve"> may submit an application with multiple projects or they may submit multiple applications. </w:t>
            </w:r>
          </w:p>
          <w:p w14:paraId="566E4E1B" w14:textId="40F125BB" w:rsidR="00254F36" w:rsidRPr="00254F36" w:rsidRDefault="003E437D" w:rsidP="00254F36">
            <w:pPr>
              <w:pStyle w:val="ListParagraph"/>
              <w:numPr>
                <w:ilvl w:val="0"/>
                <w:numId w:val="6"/>
              </w:numPr>
              <w:spacing w:before="100" w:after="100"/>
              <w:rPr>
                <w:rFonts w:asciiTheme="minorHAnsi" w:hAnsiTheme="minorHAnsi" w:cstheme="minorHAnsi"/>
                <w:color w:val="auto"/>
                <w:sz w:val="24"/>
                <w:szCs w:val="24"/>
              </w:rPr>
            </w:pPr>
            <w:r>
              <w:rPr>
                <w:rFonts w:asciiTheme="minorHAnsi" w:hAnsiTheme="minorHAnsi" w:cstheme="minorHAnsi"/>
                <w:color w:val="auto"/>
                <w:sz w:val="24"/>
                <w:szCs w:val="24"/>
              </w:rPr>
              <w:t>The minimum and maximum grant value is determined for each successful application.</w:t>
            </w:r>
          </w:p>
          <w:p w14:paraId="077FB9CA" w14:textId="71A18BFA" w:rsidR="005A3ABC" w:rsidRPr="0040118C" w:rsidRDefault="00254F36" w:rsidP="00254F36">
            <w:pPr>
              <w:pStyle w:val="ListParagraph"/>
              <w:numPr>
                <w:ilvl w:val="0"/>
                <w:numId w:val="6"/>
              </w:numPr>
              <w:spacing w:before="100" w:after="100"/>
              <w:rPr>
                <w:rFonts w:ascii="Calibri" w:hAnsi="Calibri" w:cs="Calibri"/>
                <w:color w:val="000000"/>
              </w:rPr>
            </w:pPr>
            <w:r>
              <w:rPr>
                <w:rFonts w:asciiTheme="minorHAnsi" w:hAnsiTheme="minorHAnsi" w:cstheme="minorHAnsi"/>
                <w:color w:val="auto"/>
                <w:sz w:val="24"/>
                <w:szCs w:val="24"/>
              </w:rPr>
              <w:t xml:space="preserve">Applicants </w:t>
            </w:r>
            <w:r w:rsidRPr="00254F36">
              <w:rPr>
                <w:rFonts w:ascii="Calibri" w:hAnsi="Calibri" w:cs="Calibri"/>
                <w:color w:val="auto"/>
                <w:sz w:val="24"/>
                <w:szCs w:val="24"/>
              </w:rPr>
              <w:t>must demonstrate how your project will contribute to increasing fuel security (including taking account of any adverse effects that the proposal may have such as decreasing competition or supply chain diversity).</w:t>
            </w:r>
          </w:p>
        </w:tc>
      </w:tr>
      <w:tr w:rsidR="00040000" w:rsidRPr="0040118C" w14:paraId="741330A8" w14:textId="77777777" w:rsidTr="00AC442B">
        <w:trPr>
          <w:trHeight w:val="290"/>
        </w:trPr>
        <w:tc>
          <w:tcPr>
            <w:tcW w:w="4957" w:type="dxa"/>
            <w:shd w:val="clear" w:color="auto" w:fill="auto"/>
            <w:noWrap/>
            <w:hideMark/>
          </w:tcPr>
          <w:p w14:paraId="0EAE1729" w14:textId="77777777" w:rsidR="00040000" w:rsidRPr="0040118C" w:rsidRDefault="00040000" w:rsidP="00AC442B">
            <w:pPr>
              <w:spacing w:before="100" w:after="100"/>
              <w:rPr>
                <w:rFonts w:ascii="Calibri" w:eastAsia="Times New Roman" w:hAnsi="Calibri" w:cs="Calibri"/>
                <w:color w:val="000000"/>
                <w:lang w:eastAsia="en-AU"/>
              </w:rPr>
            </w:pPr>
            <w:r w:rsidRPr="0040118C">
              <w:rPr>
                <w:rFonts w:ascii="Calibri" w:eastAsia="Times New Roman" w:hAnsi="Calibri" w:cs="Calibri"/>
                <w:color w:val="000000"/>
                <w:lang w:eastAsia="en-AU"/>
              </w:rPr>
              <w:lastRenderedPageBreak/>
              <w:t xml:space="preserve">Offtake agreements are usually only done after full engineering design &amp; costing work is complete. Will Letter of Intent or MOU from an </w:t>
            </w:r>
            <w:proofErr w:type="spellStart"/>
            <w:r w:rsidRPr="0040118C">
              <w:rPr>
                <w:rFonts w:ascii="Calibri" w:eastAsia="Times New Roman" w:hAnsi="Calibri" w:cs="Calibri"/>
                <w:color w:val="000000"/>
                <w:lang w:eastAsia="en-AU"/>
              </w:rPr>
              <w:t>offtaker</w:t>
            </w:r>
            <w:proofErr w:type="spellEnd"/>
            <w:r w:rsidRPr="0040118C">
              <w:rPr>
                <w:rFonts w:ascii="Calibri" w:eastAsia="Times New Roman" w:hAnsi="Calibri" w:cs="Calibri"/>
                <w:color w:val="000000"/>
                <w:lang w:eastAsia="en-AU"/>
              </w:rPr>
              <w:t xml:space="preserve"> be acceptable?</w:t>
            </w:r>
          </w:p>
        </w:tc>
        <w:tc>
          <w:tcPr>
            <w:tcW w:w="8651" w:type="dxa"/>
          </w:tcPr>
          <w:p w14:paraId="47BB35FE" w14:textId="7D29CFA7" w:rsidR="00040000" w:rsidRPr="0040118C" w:rsidRDefault="00040000" w:rsidP="00AC442B">
            <w:pPr>
              <w:spacing w:before="100" w:after="100"/>
              <w:rPr>
                <w:rFonts w:ascii="Calibri" w:eastAsia="Times New Roman" w:hAnsi="Calibri" w:cs="Calibri"/>
                <w:color w:val="000000"/>
                <w:lang w:eastAsia="en-AU"/>
              </w:rPr>
            </w:pPr>
            <w:r w:rsidRPr="0040118C">
              <w:rPr>
                <w:rFonts w:ascii="Calibri" w:eastAsia="Times New Roman" w:hAnsi="Calibri" w:cs="Calibri"/>
                <w:color w:val="000000"/>
                <w:lang w:eastAsia="en-AU"/>
              </w:rPr>
              <w:t>Yes, these are acceptable forms of evidence</w:t>
            </w:r>
            <w:r w:rsidR="00914A4B">
              <w:rPr>
                <w:rFonts w:ascii="Calibri" w:eastAsia="Times New Roman" w:hAnsi="Calibri" w:cs="Calibri"/>
                <w:color w:val="000000"/>
                <w:lang w:eastAsia="en-AU"/>
              </w:rPr>
              <w:t xml:space="preserve">. You should provide as much detail and evidence as possible to back up your claims. </w:t>
            </w:r>
          </w:p>
        </w:tc>
      </w:tr>
      <w:tr w:rsidR="00040000" w:rsidRPr="0040118C" w14:paraId="6D31EA2B" w14:textId="77777777" w:rsidTr="00AC442B">
        <w:trPr>
          <w:trHeight w:val="290"/>
        </w:trPr>
        <w:tc>
          <w:tcPr>
            <w:tcW w:w="4957" w:type="dxa"/>
            <w:shd w:val="clear" w:color="auto" w:fill="auto"/>
            <w:noWrap/>
            <w:hideMark/>
          </w:tcPr>
          <w:p w14:paraId="1F3E7FA4" w14:textId="721743DD" w:rsidR="00040000" w:rsidRPr="0040118C" w:rsidRDefault="00453B2F" w:rsidP="00AC442B">
            <w:pPr>
              <w:spacing w:before="100" w:after="100"/>
              <w:rPr>
                <w:rFonts w:ascii="Calibri" w:eastAsia="Times New Roman" w:hAnsi="Calibri" w:cs="Calibri"/>
                <w:color w:val="000000"/>
                <w:lang w:eastAsia="en-AU"/>
              </w:rPr>
            </w:pPr>
            <w:r>
              <w:rPr>
                <w:rFonts w:ascii="Calibri" w:eastAsia="Times New Roman" w:hAnsi="Calibri" w:cs="Calibri"/>
                <w:color w:val="000000"/>
                <w:lang w:eastAsia="en-AU"/>
              </w:rPr>
              <w:t>The consultant fees I</w:t>
            </w:r>
            <w:r w:rsidR="00040000" w:rsidRPr="0040118C">
              <w:rPr>
                <w:rFonts w:ascii="Calibri" w:eastAsia="Times New Roman" w:hAnsi="Calibri" w:cs="Calibri"/>
                <w:color w:val="000000"/>
                <w:lang w:eastAsia="en-AU"/>
              </w:rPr>
              <w:t xml:space="preserve"> am referring to are to obtain a Construction Certificate for the works.</w:t>
            </w:r>
          </w:p>
        </w:tc>
        <w:tc>
          <w:tcPr>
            <w:tcW w:w="8651" w:type="dxa"/>
          </w:tcPr>
          <w:p w14:paraId="3BB36B8E" w14:textId="63BB5014" w:rsidR="00040000" w:rsidRPr="0040118C" w:rsidRDefault="00040000" w:rsidP="00AC442B">
            <w:pPr>
              <w:spacing w:before="100" w:after="100"/>
              <w:rPr>
                <w:rFonts w:ascii="Calibri" w:eastAsia="Times New Roman" w:hAnsi="Calibri" w:cs="Calibri"/>
                <w:color w:val="000000"/>
                <w:lang w:eastAsia="en-AU"/>
              </w:rPr>
            </w:pPr>
            <w:r w:rsidRPr="0040118C">
              <w:rPr>
                <w:rFonts w:ascii="Calibri" w:eastAsia="Times New Roman" w:hAnsi="Calibri" w:cs="Calibri"/>
                <w:color w:val="000000"/>
                <w:lang w:eastAsia="en-AU"/>
              </w:rPr>
              <w:t>Costs you incur in order to obtain planning, environmental or other regulatory approvals during the project period</w:t>
            </w:r>
            <w:r w:rsidR="00EC6D46">
              <w:rPr>
                <w:rFonts w:ascii="Calibri" w:eastAsia="Times New Roman" w:hAnsi="Calibri" w:cs="Calibri"/>
                <w:color w:val="000000"/>
                <w:lang w:eastAsia="en-AU"/>
              </w:rPr>
              <w:t xml:space="preserve"> are eligible expenses</w:t>
            </w:r>
            <w:r w:rsidRPr="0040118C">
              <w:rPr>
                <w:rFonts w:ascii="Calibri" w:eastAsia="Times New Roman" w:hAnsi="Calibri" w:cs="Calibri"/>
                <w:color w:val="000000"/>
                <w:lang w:eastAsia="en-AU"/>
              </w:rPr>
              <w:t>. However, associated fees paid to the Commonwealth, state, territory and local governments are not eligible.</w:t>
            </w:r>
          </w:p>
        </w:tc>
      </w:tr>
      <w:tr w:rsidR="00040000" w:rsidRPr="0040118C" w14:paraId="2ACD3961" w14:textId="77777777" w:rsidTr="00AC442B">
        <w:trPr>
          <w:trHeight w:val="290"/>
        </w:trPr>
        <w:tc>
          <w:tcPr>
            <w:tcW w:w="4957" w:type="dxa"/>
            <w:shd w:val="clear" w:color="auto" w:fill="auto"/>
            <w:noWrap/>
            <w:hideMark/>
          </w:tcPr>
          <w:p w14:paraId="2EF16DAE" w14:textId="77777777" w:rsidR="00040000" w:rsidRPr="0040118C" w:rsidRDefault="00040000" w:rsidP="00AC442B">
            <w:pPr>
              <w:spacing w:before="100" w:after="100"/>
              <w:rPr>
                <w:rFonts w:ascii="Calibri" w:eastAsia="Times New Roman" w:hAnsi="Calibri" w:cs="Calibri"/>
                <w:color w:val="000000"/>
                <w:lang w:eastAsia="en-AU"/>
              </w:rPr>
            </w:pPr>
            <w:r w:rsidRPr="0040118C">
              <w:rPr>
                <w:rFonts w:ascii="Calibri" w:eastAsia="Times New Roman" w:hAnsi="Calibri" w:cs="Calibri"/>
                <w:color w:val="000000"/>
                <w:lang w:eastAsia="en-AU"/>
              </w:rPr>
              <w:t xml:space="preserve">What happens if a project faces planning delays which are outside of the control of the entity? </w:t>
            </w:r>
          </w:p>
        </w:tc>
        <w:tc>
          <w:tcPr>
            <w:tcW w:w="8651" w:type="dxa"/>
          </w:tcPr>
          <w:p w14:paraId="751B429F" w14:textId="77777777" w:rsidR="006D26EE" w:rsidRDefault="00040000" w:rsidP="006D26EE">
            <w:pPr>
              <w:spacing w:before="100" w:after="100"/>
              <w:rPr>
                <w:rFonts w:ascii="Calibri" w:eastAsia="Times New Roman" w:hAnsi="Calibri" w:cs="Calibri"/>
                <w:color w:val="000000"/>
                <w:lang w:eastAsia="en-AU"/>
              </w:rPr>
            </w:pPr>
            <w:r w:rsidRPr="0040118C">
              <w:rPr>
                <w:rFonts w:ascii="Calibri" w:eastAsia="Times New Roman" w:hAnsi="Calibri" w:cs="Calibri"/>
                <w:color w:val="000000"/>
                <w:lang w:eastAsia="en-AU"/>
              </w:rPr>
              <w:t>• We recognise that unexpected events may affect project progress. In these circumstances, you can request a variation to your grant agreement, including:</w:t>
            </w:r>
          </w:p>
          <w:p w14:paraId="36B11BEE" w14:textId="660648B5" w:rsidR="006D26EE" w:rsidRDefault="00040000" w:rsidP="006D26EE">
            <w:pPr>
              <w:spacing w:before="100" w:after="100"/>
              <w:ind w:left="720"/>
              <w:rPr>
                <w:rFonts w:ascii="Calibri" w:eastAsia="Times New Roman" w:hAnsi="Calibri" w:cs="Calibri"/>
                <w:color w:val="000000"/>
                <w:lang w:eastAsia="en-AU"/>
              </w:rPr>
            </w:pPr>
            <w:r w:rsidRPr="0040118C">
              <w:rPr>
                <w:rFonts w:ascii="Calibri" w:eastAsia="Times New Roman" w:hAnsi="Calibri" w:cs="Calibri"/>
                <w:color w:val="000000"/>
                <w:lang w:eastAsia="en-AU"/>
              </w:rPr>
              <w:t>o changing project milestones</w:t>
            </w:r>
            <w:r w:rsidRPr="0040118C">
              <w:rPr>
                <w:rFonts w:ascii="Calibri" w:eastAsia="Times New Roman" w:hAnsi="Calibri" w:cs="Calibri"/>
                <w:color w:val="000000"/>
                <w:lang w:eastAsia="en-AU"/>
              </w:rPr>
              <w:br/>
              <w:t>o extending the timeframe for completing the project but within the maximum period</w:t>
            </w:r>
            <w:r w:rsidRPr="0040118C">
              <w:rPr>
                <w:rFonts w:ascii="Calibri" w:eastAsia="Times New Roman" w:hAnsi="Calibri" w:cs="Calibri"/>
                <w:color w:val="000000"/>
                <w:lang w:eastAsia="en-AU"/>
              </w:rPr>
              <w:br/>
            </w:r>
            <w:proofErr w:type="spellStart"/>
            <w:r w:rsidRPr="0040118C">
              <w:rPr>
                <w:rFonts w:ascii="Calibri" w:eastAsia="Times New Roman" w:hAnsi="Calibri" w:cs="Calibri"/>
                <w:color w:val="000000"/>
                <w:lang w:eastAsia="en-AU"/>
              </w:rPr>
              <w:t>o</w:t>
            </w:r>
            <w:proofErr w:type="spellEnd"/>
            <w:r w:rsidRPr="0040118C">
              <w:rPr>
                <w:rFonts w:ascii="Calibri" w:eastAsia="Times New Roman" w:hAnsi="Calibri" w:cs="Calibri"/>
                <w:color w:val="000000"/>
                <w:lang w:eastAsia="en-AU"/>
              </w:rPr>
              <w:t xml:space="preserve"> changing project activities within the scope of the project</w:t>
            </w:r>
          </w:p>
          <w:p w14:paraId="7F098200" w14:textId="060E457E" w:rsidR="00040000" w:rsidRPr="0040118C" w:rsidRDefault="00040000" w:rsidP="006D26EE">
            <w:pPr>
              <w:spacing w:before="100" w:after="100"/>
              <w:rPr>
                <w:rFonts w:ascii="Calibri" w:eastAsia="Times New Roman" w:hAnsi="Calibri" w:cs="Calibri"/>
                <w:color w:val="000000"/>
                <w:lang w:eastAsia="en-AU"/>
              </w:rPr>
            </w:pPr>
            <w:r w:rsidRPr="0040118C">
              <w:rPr>
                <w:rFonts w:ascii="Calibri" w:eastAsia="Times New Roman" w:hAnsi="Calibri" w:cs="Calibri"/>
                <w:color w:val="000000"/>
                <w:lang w:eastAsia="en-AU"/>
              </w:rPr>
              <w:br/>
              <w:t>• All projects still must be complete by 30 June 2024 due to our funding profile.</w:t>
            </w:r>
          </w:p>
        </w:tc>
      </w:tr>
      <w:tr w:rsidR="00040000" w:rsidRPr="0040118C" w14:paraId="463C8C63" w14:textId="77777777" w:rsidTr="00AC442B">
        <w:trPr>
          <w:trHeight w:val="290"/>
        </w:trPr>
        <w:tc>
          <w:tcPr>
            <w:tcW w:w="4957" w:type="dxa"/>
            <w:shd w:val="clear" w:color="auto" w:fill="auto"/>
            <w:noWrap/>
            <w:hideMark/>
          </w:tcPr>
          <w:p w14:paraId="1E1F0FFD" w14:textId="10EF6F82" w:rsidR="00040000" w:rsidRPr="0040118C" w:rsidRDefault="00040000" w:rsidP="00AC442B">
            <w:pPr>
              <w:spacing w:before="100" w:after="100"/>
              <w:rPr>
                <w:rFonts w:ascii="Calibri" w:eastAsia="Times New Roman" w:hAnsi="Calibri" w:cs="Calibri"/>
                <w:color w:val="000000"/>
                <w:lang w:eastAsia="en-AU"/>
              </w:rPr>
            </w:pPr>
            <w:r w:rsidRPr="0040118C">
              <w:rPr>
                <w:rFonts w:ascii="Calibri" w:eastAsia="Times New Roman" w:hAnsi="Calibri" w:cs="Calibri"/>
                <w:color w:val="000000"/>
                <w:lang w:eastAsia="en-AU"/>
              </w:rPr>
              <w:t>What will happen if a customer (revenue) is not secured before the Grant proces</w:t>
            </w:r>
            <w:r w:rsidR="00453B2F">
              <w:rPr>
                <w:rFonts w:ascii="Calibri" w:eastAsia="Times New Roman" w:hAnsi="Calibri" w:cs="Calibri"/>
                <w:color w:val="000000"/>
                <w:lang w:eastAsia="en-AU"/>
              </w:rPr>
              <w:t>s is completed</w:t>
            </w:r>
            <w:r w:rsidRPr="0040118C">
              <w:rPr>
                <w:rFonts w:ascii="Calibri" w:eastAsia="Times New Roman" w:hAnsi="Calibri" w:cs="Calibri"/>
                <w:color w:val="000000"/>
                <w:lang w:eastAsia="en-AU"/>
              </w:rPr>
              <w:t>? We need to secure a customer to get project approval.</w:t>
            </w:r>
          </w:p>
        </w:tc>
        <w:tc>
          <w:tcPr>
            <w:tcW w:w="8651" w:type="dxa"/>
          </w:tcPr>
          <w:p w14:paraId="5593D379" w14:textId="77777777" w:rsidR="00453B2F" w:rsidRPr="00453B2F" w:rsidRDefault="00040000" w:rsidP="00453B2F">
            <w:pPr>
              <w:spacing w:before="100" w:after="100"/>
              <w:rPr>
                <w:rFonts w:ascii="Calibri" w:eastAsia="Times New Roman" w:hAnsi="Calibri" w:cs="Calibri"/>
                <w:color w:val="000000"/>
              </w:rPr>
            </w:pPr>
            <w:r w:rsidRPr="00453B2F">
              <w:rPr>
                <w:rFonts w:ascii="Calibri" w:eastAsia="Times New Roman" w:hAnsi="Calibri" w:cs="Calibri"/>
                <w:color w:val="000000"/>
              </w:rPr>
              <w:t>Applicants must state how they meet the A</w:t>
            </w:r>
            <w:r w:rsidR="00453B2F" w:rsidRPr="00453B2F">
              <w:rPr>
                <w:rFonts w:ascii="Calibri" w:eastAsia="Times New Roman" w:hAnsi="Calibri" w:cs="Calibri"/>
                <w:color w:val="000000"/>
              </w:rPr>
              <w:t xml:space="preserve">ssessment criteria including </w:t>
            </w:r>
            <w:r w:rsidRPr="00453B2F">
              <w:rPr>
                <w:rFonts w:ascii="Calibri" w:eastAsia="Times New Roman" w:hAnsi="Calibri" w:cs="Calibri"/>
                <w:color w:val="000000"/>
              </w:rPr>
              <w:t>whether there is existing demand for fuel storage now</w:t>
            </w:r>
            <w:r w:rsidR="00453B2F" w:rsidRPr="00453B2F">
              <w:rPr>
                <w:rFonts w:ascii="Calibri" w:eastAsia="Times New Roman" w:hAnsi="Calibri" w:cs="Calibri"/>
                <w:color w:val="000000"/>
              </w:rPr>
              <w:t xml:space="preserve"> and in the future including:</w:t>
            </w:r>
          </w:p>
          <w:p w14:paraId="55D023F1" w14:textId="77777777" w:rsidR="00453B2F" w:rsidRPr="00453B2F" w:rsidRDefault="00040000" w:rsidP="00DD1F5A">
            <w:pPr>
              <w:pStyle w:val="ListParagraph"/>
              <w:numPr>
                <w:ilvl w:val="0"/>
                <w:numId w:val="7"/>
              </w:numPr>
              <w:spacing w:before="100" w:after="100"/>
              <w:rPr>
                <w:rFonts w:ascii="Calibri" w:hAnsi="Calibri" w:cs="Calibri"/>
                <w:color w:val="000000"/>
                <w:sz w:val="24"/>
                <w:szCs w:val="24"/>
              </w:rPr>
            </w:pPr>
            <w:r w:rsidRPr="00453B2F">
              <w:rPr>
                <w:rFonts w:ascii="Calibri" w:hAnsi="Calibri" w:cs="Calibri"/>
                <w:color w:val="000000"/>
                <w:sz w:val="24"/>
                <w:szCs w:val="24"/>
              </w:rPr>
              <w:lastRenderedPageBreak/>
              <w:t>evidence of your expected offtake customer(s) for the additional diesel stored by the proposed project, along with the end use(s)</w:t>
            </w:r>
            <w:r w:rsidR="00453B2F" w:rsidRPr="00453B2F">
              <w:rPr>
                <w:rFonts w:ascii="Calibri" w:hAnsi="Calibri" w:cs="Calibri"/>
                <w:color w:val="000000"/>
                <w:sz w:val="24"/>
                <w:szCs w:val="24"/>
              </w:rPr>
              <w:t xml:space="preserve"> and/or nearby demand centres</w:t>
            </w:r>
          </w:p>
          <w:p w14:paraId="28B516E8" w14:textId="71B8B3A1" w:rsidR="00040000" w:rsidRPr="00453B2F" w:rsidRDefault="00040000" w:rsidP="00DD1F5A">
            <w:pPr>
              <w:pStyle w:val="ListParagraph"/>
              <w:numPr>
                <w:ilvl w:val="0"/>
                <w:numId w:val="7"/>
              </w:numPr>
              <w:spacing w:before="100" w:after="100"/>
              <w:rPr>
                <w:rFonts w:ascii="Calibri" w:hAnsi="Calibri" w:cs="Calibri"/>
                <w:color w:val="000000"/>
              </w:rPr>
            </w:pPr>
            <w:proofErr w:type="gramStart"/>
            <w:r w:rsidRPr="00453B2F">
              <w:rPr>
                <w:rFonts w:ascii="Calibri" w:hAnsi="Calibri" w:cs="Calibri"/>
                <w:color w:val="000000"/>
                <w:sz w:val="24"/>
                <w:szCs w:val="24"/>
              </w:rPr>
              <w:t>if</w:t>
            </w:r>
            <w:proofErr w:type="gramEnd"/>
            <w:r w:rsidRPr="00453B2F">
              <w:rPr>
                <w:rFonts w:ascii="Calibri" w:hAnsi="Calibri" w:cs="Calibri"/>
                <w:color w:val="000000"/>
                <w:sz w:val="24"/>
                <w:szCs w:val="24"/>
              </w:rPr>
              <w:t xml:space="preserve"> the diesel storage will be for exclusive usage by one entity or under other arrangements, such as open access (preferred). </w:t>
            </w:r>
          </w:p>
        </w:tc>
      </w:tr>
      <w:tr w:rsidR="00040000" w:rsidRPr="0040118C" w14:paraId="7C47B59F" w14:textId="77777777" w:rsidTr="00AC442B">
        <w:trPr>
          <w:trHeight w:val="290"/>
        </w:trPr>
        <w:tc>
          <w:tcPr>
            <w:tcW w:w="4957" w:type="dxa"/>
            <w:shd w:val="clear" w:color="auto" w:fill="auto"/>
            <w:noWrap/>
            <w:hideMark/>
          </w:tcPr>
          <w:p w14:paraId="1BE27E18" w14:textId="2CFFC984" w:rsidR="00040000" w:rsidRPr="0040118C" w:rsidRDefault="00040000" w:rsidP="00AC442B">
            <w:pPr>
              <w:spacing w:before="100" w:after="100"/>
              <w:rPr>
                <w:rFonts w:ascii="Calibri" w:eastAsia="Times New Roman" w:hAnsi="Calibri" w:cs="Calibri"/>
                <w:color w:val="000000"/>
                <w:lang w:eastAsia="en-AU"/>
              </w:rPr>
            </w:pPr>
            <w:r w:rsidRPr="0040118C">
              <w:rPr>
                <w:rFonts w:ascii="Calibri" w:eastAsia="Times New Roman" w:hAnsi="Calibri" w:cs="Calibri"/>
                <w:color w:val="000000"/>
                <w:lang w:eastAsia="en-AU"/>
              </w:rPr>
              <w:lastRenderedPageBreak/>
              <w:t>Will civil works in terms of roads, parking, etc. for transporting fuel to and from the site be eligible?</w:t>
            </w:r>
          </w:p>
        </w:tc>
        <w:tc>
          <w:tcPr>
            <w:tcW w:w="8651" w:type="dxa"/>
          </w:tcPr>
          <w:p w14:paraId="5B0C272C" w14:textId="04FDBD7B" w:rsidR="00040000" w:rsidRPr="0040118C" w:rsidRDefault="00040000" w:rsidP="00AC442B">
            <w:pPr>
              <w:spacing w:before="100" w:after="100"/>
              <w:rPr>
                <w:rFonts w:ascii="Calibri" w:eastAsia="Times New Roman" w:hAnsi="Calibri" w:cs="Calibri"/>
                <w:color w:val="000000"/>
                <w:lang w:eastAsia="en-AU"/>
              </w:rPr>
            </w:pPr>
            <w:r w:rsidRPr="0040118C">
              <w:rPr>
                <w:rFonts w:ascii="Calibri" w:eastAsia="Times New Roman" w:hAnsi="Calibri" w:cs="Calibri"/>
                <w:color w:val="000000"/>
                <w:lang w:eastAsia="en-AU"/>
              </w:rPr>
              <w:t>• As per s</w:t>
            </w:r>
            <w:r w:rsidR="00453B2F">
              <w:rPr>
                <w:rFonts w:ascii="Calibri" w:eastAsia="Times New Roman" w:hAnsi="Calibri" w:cs="Calibri"/>
                <w:color w:val="000000"/>
                <w:lang w:eastAsia="en-AU"/>
              </w:rPr>
              <w:t>ection five of the guidelines, f</w:t>
            </w:r>
            <w:r w:rsidRPr="0040118C">
              <w:rPr>
                <w:rFonts w:ascii="Calibri" w:eastAsia="Times New Roman" w:hAnsi="Calibri" w:cs="Calibri"/>
                <w:color w:val="000000"/>
                <w:lang w:eastAsia="en-AU"/>
              </w:rPr>
              <w:t>unding is only available for infrastructure directly relevant to the new storage project.</w:t>
            </w:r>
            <w:r w:rsidRPr="0040118C">
              <w:rPr>
                <w:rFonts w:ascii="Calibri" w:eastAsia="Times New Roman" w:hAnsi="Calibri" w:cs="Calibri"/>
                <w:color w:val="000000"/>
                <w:lang w:eastAsia="en-AU"/>
              </w:rPr>
              <w:br/>
              <w:t>• Infrastructure development costs, including development of road, rail, port or fuel delivery networks beyond the storage site are not eligible and will not be considered.</w:t>
            </w:r>
            <w:r w:rsidRPr="0040118C">
              <w:rPr>
                <w:rFonts w:ascii="Calibri" w:eastAsia="Times New Roman" w:hAnsi="Calibri" w:cs="Calibri"/>
                <w:color w:val="000000"/>
                <w:lang w:eastAsia="en-AU"/>
              </w:rPr>
              <w:br/>
              <w:t>• Eligible funding will still be capped at $33.3 million.</w:t>
            </w:r>
          </w:p>
        </w:tc>
      </w:tr>
      <w:tr w:rsidR="00040000" w:rsidRPr="0040118C" w14:paraId="1FAFB6B6" w14:textId="77777777" w:rsidTr="00AC442B">
        <w:trPr>
          <w:trHeight w:val="290"/>
        </w:trPr>
        <w:tc>
          <w:tcPr>
            <w:tcW w:w="4957" w:type="dxa"/>
            <w:shd w:val="clear" w:color="auto" w:fill="auto"/>
            <w:noWrap/>
            <w:hideMark/>
          </w:tcPr>
          <w:p w14:paraId="660F9184" w14:textId="77777777" w:rsidR="00040000" w:rsidRPr="0040118C" w:rsidRDefault="00040000" w:rsidP="00AC442B">
            <w:pPr>
              <w:spacing w:before="100" w:after="100"/>
              <w:rPr>
                <w:rFonts w:ascii="Calibri" w:eastAsia="Times New Roman" w:hAnsi="Calibri" w:cs="Calibri"/>
                <w:color w:val="000000"/>
                <w:lang w:eastAsia="en-AU"/>
              </w:rPr>
            </w:pPr>
            <w:r w:rsidRPr="0040118C">
              <w:rPr>
                <w:rFonts w:ascii="Calibri" w:eastAsia="Times New Roman" w:hAnsi="Calibri" w:cs="Calibri"/>
                <w:color w:val="000000"/>
                <w:lang w:eastAsia="en-AU"/>
              </w:rPr>
              <w:t>Will land acquisition be considered as an eligible expense? Land is not yet settled.</w:t>
            </w:r>
          </w:p>
        </w:tc>
        <w:tc>
          <w:tcPr>
            <w:tcW w:w="8651" w:type="dxa"/>
          </w:tcPr>
          <w:p w14:paraId="7E4E5F6C" w14:textId="77777777" w:rsidR="00040000" w:rsidRPr="0040118C" w:rsidRDefault="00040000" w:rsidP="00AC442B">
            <w:pPr>
              <w:spacing w:before="100" w:after="100"/>
              <w:rPr>
                <w:rFonts w:ascii="Calibri" w:eastAsia="Times New Roman" w:hAnsi="Calibri" w:cs="Calibri"/>
                <w:color w:val="000000"/>
                <w:lang w:eastAsia="en-AU"/>
              </w:rPr>
            </w:pPr>
            <w:r w:rsidRPr="0040118C">
              <w:rPr>
                <w:rFonts w:ascii="Calibri" w:eastAsia="Times New Roman" w:hAnsi="Calibri" w:cs="Calibri"/>
                <w:color w:val="000000"/>
                <w:lang w:eastAsia="en-AU"/>
              </w:rPr>
              <w:t>• As per ineligible expenses in the guidelines, costs of purchasing, leasing, depreciation of, or development of land will not be considered.</w:t>
            </w:r>
          </w:p>
        </w:tc>
      </w:tr>
      <w:tr w:rsidR="00040000" w:rsidRPr="0040118C" w14:paraId="46511358" w14:textId="77777777" w:rsidTr="00AC442B">
        <w:trPr>
          <w:trHeight w:val="290"/>
        </w:trPr>
        <w:tc>
          <w:tcPr>
            <w:tcW w:w="4957" w:type="dxa"/>
            <w:shd w:val="clear" w:color="auto" w:fill="auto"/>
            <w:noWrap/>
            <w:hideMark/>
          </w:tcPr>
          <w:p w14:paraId="33011CFD" w14:textId="77777777" w:rsidR="00040000" w:rsidRPr="0040118C" w:rsidRDefault="00040000" w:rsidP="00AC442B">
            <w:pPr>
              <w:spacing w:before="100" w:after="100"/>
              <w:rPr>
                <w:rFonts w:ascii="Calibri" w:eastAsia="Times New Roman" w:hAnsi="Calibri" w:cs="Calibri"/>
                <w:color w:val="000000"/>
                <w:lang w:eastAsia="en-AU"/>
              </w:rPr>
            </w:pPr>
            <w:r w:rsidRPr="0040118C">
              <w:rPr>
                <w:rFonts w:ascii="Calibri" w:eastAsia="Times New Roman" w:hAnsi="Calibri" w:cs="Calibri"/>
                <w:color w:val="000000"/>
                <w:lang w:eastAsia="en-AU"/>
              </w:rPr>
              <w:t>Will lower spend limits be considered as 12M would need a lot of tanks if we consider volumes of 120,000 litres per tank</w:t>
            </w:r>
          </w:p>
        </w:tc>
        <w:tc>
          <w:tcPr>
            <w:tcW w:w="8651" w:type="dxa"/>
          </w:tcPr>
          <w:p w14:paraId="4CC1EA94" w14:textId="58DF2686" w:rsidR="00040000" w:rsidRPr="0040118C" w:rsidRDefault="00040000" w:rsidP="00AC442B">
            <w:pPr>
              <w:spacing w:before="100" w:after="100"/>
              <w:rPr>
                <w:rFonts w:ascii="Calibri" w:eastAsia="Times New Roman" w:hAnsi="Calibri" w:cs="Calibri"/>
                <w:color w:val="000000"/>
                <w:lang w:eastAsia="en-AU"/>
              </w:rPr>
            </w:pPr>
            <w:r w:rsidRPr="0040118C">
              <w:rPr>
                <w:rFonts w:ascii="Calibri" w:eastAsia="Times New Roman" w:hAnsi="Calibri" w:cs="Calibri"/>
                <w:color w:val="000000"/>
                <w:lang w:eastAsia="en-AU"/>
              </w:rPr>
              <w:t>The minimum grant amount is $6 million for a minimum project size of $12 million.</w:t>
            </w:r>
            <w:r w:rsidR="00E90919">
              <w:rPr>
                <w:rFonts w:ascii="Calibri" w:eastAsia="Times New Roman" w:hAnsi="Calibri" w:cs="Calibri"/>
                <w:color w:val="000000"/>
                <w:lang w:eastAsia="en-AU"/>
              </w:rPr>
              <w:t xml:space="preserve"> </w:t>
            </w:r>
            <w:r w:rsidR="00E90919" w:rsidRPr="0040118C">
              <w:rPr>
                <w:rFonts w:ascii="Calibri" w:eastAsia="Times New Roman" w:hAnsi="Calibri" w:cs="Calibri"/>
                <w:color w:val="000000"/>
                <w:lang w:eastAsia="en-AU"/>
              </w:rPr>
              <w:t>The minimum project size is 20ML</w:t>
            </w:r>
            <w:r w:rsidR="00E90919">
              <w:rPr>
                <w:rFonts w:ascii="Calibri" w:eastAsia="Times New Roman" w:hAnsi="Calibri" w:cs="Calibri"/>
                <w:color w:val="000000"/>
                <w:lang w:eastAsia="en-AU"/>
              </w:rPr>
              <w:t>.</w:t>
            </w:r>
          </w:p>
        </w:tc>
      </w:tr>
      <w:tr w:rsidR="00040000" w:rsidRPr="0040118C" w14:paraId="639B7C76" w14:textId="77777777" w:rsidTr="00AC442B">
        <w:trPr>
          <w:trHeight w:val="290"/>
        </w:trPr>
        <w:tc>
          <w:tcPr>
            <w:tcW w:w="4957" w:type="dxa"/>
            <w:shd w:val="clear" w:color="auto" w:fill="auto"/>
            <w:noWrap/>
            <w:hideMark/>
          </w:tcPr>
          <w:p w14:paraId="09E7E137" w14:textId="3DFD958B" w:rsidR="00040000" w:rsidRPr="0040118C" w:rsidRDefault="00040000" w:rsidP="00AC442B">
            <w:pPr>
              <w:spacing w:before="100" w:after="100"/>
              <w:rPr>
                <w:rFonts w:ascii="Calibri" w:eastAsia="Times New Roman" w:hAnsi="Calibri" w:cs="Calibri"/>
                <w:color w:val="000000"/>
                <w:lang w:eastAsia="en-AU"/>
              </w:rPr>
            </w:pPr>
            <w:r w:rsidRPr="0040118C">
              <w:rPr>
                <w:rFonts w:ascii="Calibri" w:eastAsia="Times New Roman" w:hAnsi="Calibri" w:cs="Calibri"/>
                <w:color w:val="000000"/>
                <w:lang w:eastAsia="en-AU"/>
              </w:rPr>
              <w:t xml:space="preserve">Would </w:t>
            </w:r>
            <w:r w:rsidRPr="008B5247">
              <w:rPr>
                <w:rFonts w:ascii="Calibri" w:eastAsia="Times New Roman" w:hAnsi="Calibri" w:cs="Calibri"/>
                <w:color w:val="000000"/>
                <w:lang w:eastAsia="en-AU"/>
              </w:rPr>
              <w:t>Gov</w:t>
            </w:r>
            <w:r w:rsidR="0004716E" w:rsidRPr="008B5247">
              <w:rPr>
                <w:rFonts w:ascii="Calibri" w:eastAsia="Times New Roman" w:hAnsi="Calibri" w:cs="Calibri"/>
                <w:color w:val="000000"/>
                <w:lang w:eastAsia="en-AU"/>
              </w:rPr>
              <w:t>ernment</w:t>
            </w:r>
            <w:r w:rsidRPr="0040118C">
              <w:rPr>
                <w:rFonts w:ascii="Calibri" w:eastAsia="Times New Roman" w:hAnsi="Calibri" w:cs="Calibri"/>
                <w:color w:val="000000"/>
                <w:lang w:eastAsia="en-AU"/>
              </w:rPr>
              <w:t xml:space="preserve"> consider application to build open access storage (</w:t>
            </w:r>
            <w:proofErr w:type="spellStart"/>
            <w:r w:rsidRPr="0040118C">
              <w:rPr>
                <w:rFonts w:ascii="Calibri" w:eastAsia="Times New Roman" w:hAnsi="Calibri" w:cs="Calibri"/>
                <w:color w:val="000000"/>
                <w:lang w:eastAsia="en-AU"/>
              </w:rPr>
              <w:t>ie</w:t>
            </w:r>
            <w:proofErr w:type="spellEnd"/>
            <w:r w:rsidRPr="0040118C">
              <w:rPr>
                <w:rFonts w:ascii="Calibri" w:eastAsia="Times New Roman" w:hAnsi="Calibri" w:cs="Calibri"/>
                <w:color w:val="000000"/>
                <w:lang w:eastAsia="en-AU"/>
              </w:rPr>
              <w:t xml:space="preserve"> without an offtake MOU &amp; thus arguably unable to prove how diesel storage will be increased)?</w:t>
            </w:r>
          </w:p>
        </w:tc>
        <w:tc>
          <w:tcPr>
            <w:tcW w:w="8651" w:type="dxa"/>
          </w:tcPr>
          <w:p w14:paraId="0D5533B9" w14:textId="77777777" w:rsidR="00453B2F" w:rsidRPr="00453B2F" w:rsidRDefault="00040000" w:rsidP="00AC442B">
            <w:pPr>
              <w:spacing w:before="100" w:after="100"/>
              <w:rPr>
                <w:rFonts w:ascii="Calibri" w:eastAsia="Times New Roman" w:hAnsi="Calibri" w:cs="Calibri"/>
                <w:color w:val="000000"/>
                <w:lang w:eastAsia="en-AU"/>
              </w:rPr>
            </w:pPr>
            <w:r w:rsidRPr="0040118C">
              <w:rPr>
                <w:rFonts w:ascii="Calibri" w:eastAsia="Times New Roman" w:hAnsi="Calibri" w:cs="Calibri"/>
                <w:color w:val="000000"/>
                <w:lang w:eastAsia="en-AU"/>
              </w:rPr>
              <w:t xml:space="preserve">Applicants must state how they meet the </w:t>
            </w:r>
            <w:r w:rsidR="008B5247">
              <w:rPr>
                <w:rFonts w:ascii="Calibri" w:eastAsia="Times New Roman" w:hAnsi="Calibri" w:cs="Calibri"/>
                <w:color w:val="000000"/>
                <w:lang w:eastAsia="en-AU"/>
              </w:rPr>
              <w:t>a</w:t>
            </w:r>
            <w:r w:rsidRPr="0040118C">
              <w:rPr>
                <w:rFonts w:ascii="Calibri" w:eastAsia="Times New Roman" w:hAnsi="Calibri" w:cs="Calibri"/>
                <w:color w:val="000000"/>
                <w:lang w:eastAsia="en-AU"/>
              </w:rPr>
              <w:t>ss</w:t>
            </w:r>
            <w:r w:rsidR="008B5247">
              <w:rPr>
                <w:rFonts w:ascii="Calibri" w:eastAsia="Times New Roman" w:hAnsi="Calibri" w:cs="Calibri"/>
                <w:color w:val="000000"/>
                <w:lang w:eastAsia="en-AU"/>
              </w:rPr>
              <w:t>ess</w:t>
            </w:r>
            <w:r w:rsidRPr="0040118C">
              <w:rPr>
                <w:rFonts w:ascii="Calibri" w:eastAsia="Times New Roman" w:hAnsi="Calibri" w:cs="Calibri"/>
                <w:color w:val="000000"/>
                <w:lang w:eastAsia="en-AU"/>
              </w:rPr>
              <w:t xml:space="preserve">ment criteria including d. whether there is </w:t>
            </w:r>
            <w:r w:rsidRPr="00453B2F">
              <w:rPr>
                <w:rFonts w:ascii="Calibri" w:eastAsia="Times New Roman" w:hAnsi="Calibri" w:cs="Calibri"/>
                <w:color w:val="000000"/>
                <w:lang w:eastAsia="en-AU"/>
              </w:rPr>
              <w:t>existing demand for fuel storage now</w:t>
            </w:r>
            <w:r w:rsidR="00453B2F" w:rsidRPr="00453B2F">
              <w:rPr>
                <w:rFonts w:ascii="Calibri" w:eastAsia="Times New Roman" w:hAnsi="Calibri" w:cs="Calibri"/>
                <w:color w:val="000000"/>
                <w:lang w:eastAsia="en-AU"/>
              </w:rPr>
              <w:t xml:space="preserve"> and in the future including: </w:t>
            </w:r>
          </w:p>
          <w:p w14:paraId="5F62474A" w14:textId="77777777" w:rsidR="00453B2F" w:rsidRPr="00453B2F" w:rsidRDefault="00040000" w:rsidP="00DD1F5A">
            <w:pPr>
              <w:pStyle w:val="ListParagraph"/>
              <w:numPr>
                <w:ilvl w:val="0"/>
                <w:numId w:val="8"/>
              </w:numPr>
              <w:spacing w:before="100" w:after="100"/>
              <w:rPr>
                <w:rFonts w:ascii="Calibri" w:hAnsi="Calibri" w:cs="Calibri"/>
                <w:color w:val="000000"/>
                <w:sz w:val="24"/>
                <w:szCs w:val="24"/>
              </w:rPr>
            </w:pPr>
            <w:r w:rsidRPr="00453B2F">
              <w:rPr>
                <w:rFonts w:ascii="Calibri" w:hAnsi="Calibri" w:cs="Calibri"/>
                <w:color w:val="000000"/>
                <w:sz w:val="24"/>
                <w:szCs w:val="24"/>
              </w:rPr>
              <w:t>evidence of your expected offtake customer(s) for the additional diesel stored by the proposed project, along with the end use(s)</w:t>
            </w:r>
            <w:r w:rsidR="00453B2F" w:rsidRPr="00453B2F">
              <w:rPr>
                <w:rFonts w:ascii="Calibri" w:hAnsi="Calibri" w:cs="Calibri"/>
                <w:color w:val="000000"/>
                <w:sz w:val="24"/>
                <w:szCs w:val="24"/>
              </w:rPr>
              <w:t xml:space="preserve"> and/or nearby demand centres </w:t>
            </w:r>
          </w:p>
          <w:p w14:paraId="1FB7A757" w14:textId="5855D80B" w:rsidR="00040000" w:rsidRPr="00453B2F" w:rsidRDefault="00040000" w:rsidP="00DD1F5A">
            <w:pPr>
              <w:pStyle w:val="ListParagraph"/>
              <w:numPr>
                <w:ilvl w:val="0"/>
                <w:numId w:val="8"/>
              </w:numPr>
              <w:spacing w:before="100" w:after="100"/>
              <w:rPr>
                <w:rFonts w:ascii="Calibri" w:hAnsi="Calibri" w:cs="Calibri"/>
                <w:color w:val="000000"/>
              </w:rPr>
            </w:pPr>
            <w:proofErr w:type="gramStart"/>
            <w:r w:rsidRPr="00453B2F">
              <w:rPr>
                <w:rFonts w:ascii="Calibri" w:hAnsi="Calibri" w:cs="Calibri"/>
                <w:color w:val="000000"/>
                <w:sz w:val="24"/>
                <w:szCs w:val="24"/>
              </w:rPr>
              <w:t>if</w:t>
            </w:r>
            <w:proofErr w:type="gramEnd"/>
            <w:r w:rsidRPr="00453B2F">
              <w:rPr>
                <w:rFonts w:ascii="Calibri" w:hAnsi="Calibri" w:cs="Calibri"/>
                <w:color w:val="000000"/>
                <w:sz w:val="24"/>
                <w:szCs w:val="24"/>
              </w:rPr>
              <w:t xml:space="preserve"> the diesel storage will be for exclusive usage by one entity or under other arrangements, such as open access (preferred).</w:t>
            </w:r>
            <w:r w:rsidRPr="00453B2F">
              <w:rPr>
                <w:rFonts w:ascii="Calibri" w:hAnsi="Calibri" w:cs="Calibri"/>
                <w:color w:val="000000"/>
              </w:rPr>
              <w:t xml:space="preserve"> </w:t>
            </w:r>
          </w:p>
        </w:tc>
      </w:tr>
      <w:tr w:rsidR="00E90919" w:rsidRPr="0040118C" w14:paraId="524B6B96" w14:textId="77777777" w:rsidTr="00AC442B">
        <w:trPr>
          <w:trHeight w:val="290"/>
        </w:trPr>
        <w:tc>
          <w:tcPr>
            <w:tcW w:w="4957" w:type="dxa"/>
            <w:shd w:val="clear" w:color="auto" w:fill="auto"/>
            <w:noWrap/>
          </w:tcPr>
          <w:p w14:paraId="1B339EFB" w14:textId="6AD656F8" w:rsidR="00E90919" w:rsidRPr="0040118C" w:rsidRDefault="00E90919" w:rsidP="00AC442B">
            <w:pPr>
              <w:spacing w:before="100" w:after="100"/>
              <w:rPr>
                <w:rFonts w:ascii="Calibri" w:eastAsia="Times New Roman" w:hAnsi="Calibri" w:cs="Calibri"/>
                <w:color w:val="000000"/>
                <w:lang w:eastAsia="en-AU"/>
              </w:rPr>
            </w:pPr>
            <w:r w:rsidRPr="00E90919">
              <w:rPr>
                <w:rFonts w:ascii="Calibri" w:eastAsia="Times New Roman" w:hAnsi="Calibri" w:cs="Calibri"/>
                <w:color w:val="000000"/>
                <w:lang w:eastAsia="en-AU"/>
              </w:rPr>
              <w:t>For the accountant declaration, can this be our own internal accountants or does it need to be external?</w:t>
            </w:r>
          </w:p>
        </w:tc>
        <w:tc>
          <w:tcPr>
            <w:tcW w:w="8651" w:type="dxa"/>
          </w:tcPr>
          <w:p w14:paraId="2BC5FA5F" w14:textId="26731832" w:rsidR="00E90919" w:rsidRDefault="003E437D" w:rsidP="00AC442B">
            <w:pPr>
              <w:spacing w:before="100" w:after="100"/>
              <w:rPr>
                <w:rFonts w:ascii="Calibri" w:eastAsia="Times New Roman" w:hAnsi="Calibri" w:cs="Calibri"/>
                <w:lang w:eastAsia="en-AU"/>
              </w:rPr>
            </w:pPr>
            <w:r>
              <w:rPr>
                <w:rFonts w:ascii="Calibri" w:eastAsia="Times New Roman" w:hAnsi="Calibri" w:cs="Calibri"/>
                <w:lang w:eastAsia="en-AU"/>
              </w:rPr>
              <w:t>An Accountant Declaration must be on the prescribed form (</w:t>
            </w:r>
            <w:hyperlink r:id="rId12" w:history="1">
              <w:r w:rsidR="00732DA1" w:rsidRPr="000F5CF0">
                <w:rPr>
                  <w:rStyle w:val="Hyperlink"/>
                  <w:rFonts w:ascii="Calibri" w:eastAsia="Times New Roman" w:hAnsi="Calibri" w:cs="Calibri"/>
                  <w:lang w:eastAsia="en-AU"/>
                </w:rPr>
                <w:t>www.business.gov.au/badsp</w:t>
              </w:r>
            </w:hyperlink>
            <w:r w:rsidR="00732DA1">
              <w:rPr>
                <w:rFonts w:ascii="Calibri" w:eastAsia="Times New Roman" w:hAnsi="Calibri" w:cs="Calibri"/>
                <w:lang w:eastAsia="en-AU"/>
              </w:rPr>
              <w:t xml:space="preserve"> </w:t>
            </w:r>
            <w:r>
              <w:rPr>
                <w:rFonts w:ascii="Calibri" w:eastAsia="Times New Roman" w:hAnsi="Calibri" w:cs="Calibri"/>
                <w:lang w:eastAsia="en-AU"/>
              </w:rPr>
              <w:t>).</w:t>
            </w:r>
          </w:p>
          <w:p w14:paraId="1EC74F94" w14:textId="77777777" w:rsidR="00732DA1" w:rsidRDefault="003E437D" w:rsidP="00AC442B">
            <w:pPr>
              <w:spacing w:before="100" w:after="100"/>
              <w:rPr>
                <w:rFonts w:ascii="Calibri" w:eastAsia="Times New Roman" w:hAnsi="Calibri" w:cs="Calibri"/>
                <w:lang w:eastAsia="en-AU"/>
              </w:rPr>
            </w:pPr>
            <w:r>
              <w:rPr>
                <w:rFonts w:ascii="Calibri" w:eastAsia="Times New Roman" w:hAnsi="Calibri" w:cs="Calibri"/>
                <w:lang w:eastAsia="en-AU"/>
              </w:rPr>
              <w:t xml:space="preserve">The </w:t>
            </w:r>
            <w:r w:rsidR="00732DA1">
              <w:rPr>
                <w:rFonts w:ascii="Calibri" w:eastAsia="Times New Roman" w:hAnsi="Calibri" w:cs="Calibri"/>
                <w:lang w:eastAsia="en-AU"/>
              </w:rPr>
              <w:t>d</w:t>
            </w:r>
            <w:r>
              <w:rPr>
                <w:rFonts w:ascii="Calibri" w:eastAsia="Times New Roman" w:hAnsi="Calibri" w:cs="Calibri"/>
                <w:lang w:eastAsia="en-AU"/>
              </w:rPr>
              <w:t xml:space="preserve">eclaration can be </w:t>
            </w:r>
            <w:r w:rsidR="00732DA1">
              <w:rPr>
                <w:rFonts w:ascii="Calibri" w:eastAsia="Times New Roman" w:hAnsi="Calibri" w:cs="Calibri"/>
                <w:lang w:eastAsia="en-AU"/>
              </w:rPr>
              <w:t xml:space="preserve">completed by an </w:t>
            </w:r>
            <w:r>
              <w:rPr>
                <w:rFonts w:ascii="Calibri" w:eastAsia="Times New Roman" w:hAnsi="Calibri" w:cs="Calibri"/>
                <w:lang w:eastAsia="en-AU"/>
              </w:rPr>
              <w:t>internal or exter</w:t>
            </w:r>
            <w:r w:rsidR="00732DA1">
              <w:rPr>
                <w:rFonts w:ascii="Calibri" w:eastAsia="Times New Roman" w:hAnsi="Calibri" w:cs="Calibri"/>
                <w:lang w:eastAsia="en-AU"/>
              </w:rPr>
              <w:t xml:space="preserve">nal accountant. </w:t>
            </w:r>
          </w:p>
          <w:p w14:paraId="4D29217E" w14:textId="6BFB44A9" w:rsidR="003E437D" w:rsidRDefault="00732DA1" w:rsidP="00AC442B">
            <w:pPr>
              <w:spacing w:before="100" w:after="100"/>
              <w:rPr>
                <w:rFonts w:ascii="Calibri" w:eastAsia="Times New Roman" w:hAnsi="Calibri" w:cs="Calibri"/>
                <w:lang w:eastAsia="en-AU"/>
              </w:rPr>
            </w:pPr>
            <w:r>
              <w:rPr>
                <w:rFonts w:ascii="Calibri" w:eastAsia="Times New Roman" w:hAnsi="Calibri" w:cs="Calibri"/>
                <w:lang w:eastAsia="en-AU"/>
              </w:rPr>
              <w:lastRenderedPageBreak/>
              <w:t>The accountant will have to provide accounting details e.g. Certified Practicing Account</w:t>
            </w:r>
            <w:r w:rsidR="009C15AD">
              <w:rPr>
                <w:rFonts w:ascii="Calibri" w:eastAsia="Times New Roman" w:hAnsi="Calibri" w:cs="Calibri"/>
                <w:lang w:eastAsia="en-AU"/>
              </w:rPr>
              <w:t xml:space="preserve">ant </w:t>
            </w:r>
            <w:r>
              <w:rPr>
                <w:rFonts w:ascii="Calibri" w:eastAsia="Times New Roman" w:hAnsi="Calibri" w:cs="Calibri"/>
                <w:lang w:eastAsia="en-AU"/>
              </w:rPr>
              <w:t>and membership number.</w:t>
            </w:r>
          </w:p>
          <w:p w14:paraId="2666D6CE" w14:textId="31CD8B4B" w:rsidR="00E90919" w:rsidRPr="0040118C" w:rsidRDefault="00E90919" w:rsidP="00AC442B">
            <w:pPr>
              <w:spacing w:before="100" w:after="100"/>
              <w:rPr>
                <w:rFonts w:ascii="Calibri" w:eastAsia="Times New Roman" w:hAnsi="Calibri" w:cs="Calibri"/>
                <w:color w:val="000000"/>
                <w:lang w:eastAsia="en-AU"/>
              </w:rPr>
            </w:pPr>
          </w:p>
        </w:tc>
      </w:tr>
      <w:tr w:rsidR="00E90919" w:rsidRPr="0040118C" w14:paraId="501CC812" w14:textId="77777777" w:rsidTr="00AC442B">
        <w:trPr>
          <w:trHeight w:val="290"/>
        </w:trPr>
        <w:tc>
          <w:tcPr>
            <w:tcW w:w="4957" w:type="dxa"/>
            <w:shd w:val="clear" w:color="auto" w:fill="auto"/>
            <w:noWrap/>
          </w:tcPr>
          <w:p w14:paraId="65E5282A" w14:textId="6040D238" w:rsidR="00E90919" w:rsidRPr="0040118C" w:rsidRDefault="00E90919" w:rsidP="00AC442B">
            <w:pPr>
              <w:spacing w:before="100" w:after="100"/>
              <w:rPr>
                <w:rFonts w:ascii="Calibri" w:eastAsia="Times New Roman" w:hAnsi="Calibri" w:cs="Calibri"/>
                <w:color w:val="000000"/>
                <w:lang w:eastAsia="en-AU"/>
              </w:rPr>
            </w:pPr>
            <w:r w:rsidRPr="00E90919">
              <w:rPr>
                <w:rFonts w:ascii="Calibri" w:eastAsia="Times New Roman" w:hAnsi="Calibri" w:cs="Calibri"/>
                <w:color w:val="000000"/>
                <w:lang w:eastAsia="en-AU"/>
              </w:rPr>
              <w:lastRenderedPageBreak/>
              <w:t>Can a company use 2 ABNs (under a group) to apply for multiple grants? Are these considered as separate entities?</w:t>
            </w:r>
          </w:p>
        </w:tc>
        <w:tc>
          <w:tcPr>
            <w:tcW w:w="8651" w:type="dxa"/>
          </w:tcPr>
          <w:p w14:paraId="2342AE13" w14:textId="655AE6D2" w:rsidR="00E90919" w:rsidRPr="0040118C" w:rsidRDefault="00732DA1" w:rsidP="00732DA1">
            <w:pPr>
              <w:spacing w:before="100" w:after="100"/>
              <w:rPr>
                <w:rFonts w:ascii="Calibri" w:eastAsia="Times New Roman" w:hAnsi="Calibri" w:cs="Calibri"/>
                <w:color w:val="000000"/>
                <w:lang w:eastAsia="en-AU"/>
              </w:rPr>
            </w:pPr>
            <w:r w:rsidRPr="00732DA1">
              <w:rPr>
                <w:rFonts w:ascii="Calibri" w:eastAsia="Times New Roman" w:hAnsi="Calibri" w:cs="Calibri"/>
                <w:lang w:eastAsia="en-AU"/>
              </w:rPr>
              <w:t xml:space="preserve">Applications with complex company structures should address specific application details with AusIndustry by calling 13 28 46. </w:t>
            </w:r>
          </w:p>
        </w:tc>
      </w:tr>
      <w:tr w:rsidR="00E90919" w:rsidRPr="0040118C" w14:paraId="33592CE1" w14:textId="77777777" w:rsidTr="00AC442B">
        <w:trPr>
          <w:trHeight w:val="290"/>
        </w:trPr>
        <w:tc>
          <w:tcPr>
            <w:tcW w:w="4957" w:type="dxa"/>
            <w:shd w:val="clear" w:color="auto" w:fill="auto"/>
            <w:noWrap/>
          </w:tcPr>
          <w:p w14:paraId="17399741" w14:textId="225A4033" w:rsidR="00E90919" w:rsidRPr="0040118C" w:rsidRDefault="00E90919" w:rsidP="00AC442B">
            <w:pPr>
              <w:spacing w:before="100" w:after="100"/>
              <w:rPr>
                <w:rFonts w:ascii="Calibri" w:eastAsia="Times New Roman" w:hAnsi="Calibri" w:cs="Calibri"/>
                <w:color w:val="000000"/>
                <w:lang w:eastAsia="en-AU"/>
              </w:rPr>
            </w:pPr>
            <w:r w:rsidRPr="00E90919">
              <w:rPr>
                <w:rFonts w:ascii="Calibri" w:eastAsia="Times New Roman" w:hAnsi="Calibri" w:cs="Calibri"/>
                <w:color w:val="000000"/>
                <w:lang w:eastAsia="en-AU"/>
              </w:rPr>
              <w:t xml:space="preserve">Are consultant design fees, council fees </w:t>
            </w:r>
            <w:proofErr w:type="spellStart"/>
            <w:r w:rsidRPr="00E90919">
              <w:rPr>
                <w:rFonts w:ascii="Calibri" w:eastAsia="Times New Roman" w:hAnsi="Calibri" w:cs="Calibri"/>
                <w:color w:val="000000"/>
                <w:lang w:eastAsia="en-AU"/>
              </w:rPr>
              <w:t>etc</w:t>
            </w:r>
            <w:proofErr w:type="spellEnd"/>
            <w:r w:rsidRPr="00E90919">
              <w:rPr>
                <w:rFonts w:ascii="Calibri" w:eastAsia="Times New Roman" w:hAnsi="Calibri" w:cs="Calibri"/>
                <w:color w:val="000000"/>
                <w:lang w:eastAsia="en-AU"/>
              </w:rPr>
              <w:t xml:space="preserve"> to get the project ready </w:t>
            </w:r>
            <w:r w:rsidR="00820779">
              <w:rPr>
                <w:rFonts w:ascii="Calibri" w:eastAsia="Times New Roman" w:hAnsi="Calibri" w:cs="Calibri"/>
                <w:color w:val="000000"/>
                <w:lang w:eastAsia="en-AU"/>
              </w:rPr>
              <w:t>for construction be eligible co</w:t>
            </w:r>
            <w:r w:rsidRPr="00E90919">
              <w:rPr>
                <w:rFonts w:ascii="Calibri" w:eastAsia="Times New Roman" w:hAnsi="Calibri" w:cs="Calibri"/>
                <w:color w:val="000000"/>
                <w:lang w:eastAsia="en-AU"/>
              </w:rPr>
              <w:t>s</w:t>
            </w:r>
            <w:r w:rsidR="00820779">
              <w:rPr>
                <w:rFonts w:ascii="Calibri" w:eastAsia="Times New Roman" w:hAnsi="Calibri" w:cs="Calibri"/>
                <w:color w:val="000000"/>
                <w:lang w:eastAsia="en-AU"/>
              </w:rPr>
              <w:t>ts</w:t>
            </w:r>
            <w:r w:rsidRPr="00E90919">
              <w:rPr>
                <w:rFonts w:ascii="Calibri" w:eastAsia="Times New Roman" w:hAnsi="Calibri" w:cs="Calibri"/>
                <w:color w:val="000000"/>
                <w:lang w:eastAsia="en-AU"/>
              </w:rPr>
              <w:t>.</w:t>
            </w:r>
          </w:p>
        </w:tc>
        <w:tc>
          <w:tcPr>
            <w:tcW w:w="8651" w:type="dxa"/>
          </w:tcPr>
          <w:p w14:paraId="6EBAF8C0" w14:textId="77777777" w:rsidR="004647F4" w:rsidRDefault="004647F4" w:rsidP="00211AF8">
            <w:pPr>
              <w:spacing w:before="100" w:after="100"/>
              <w:rPr>
                <w:rFonts w:ascii="Calibri" w:eastAsia="Times New Roman" w:hAnsi="Calibri" w:cs="Calibri"/>
                <w:color w:val="000000"/>
                <w:lang w:eastAsia="en-AU"/>
              </w:rPr>
            </w:pPr>
            <w:r w:rsidRPr="000E5A1E">
              <w:rPr>
                <w:rFonts w:ascii="Calibri" w:eastAsia="Times New Roman" w:hAnsi="Calibri" w:cs="Calibri"/>
                <w:color w:val="000000"/>
                <w:lang w:eastAsia="en-AU"/>
              </w:rPr>
              <w:t>Eligible expenditures for the project may include:</w:t>
            </w:r>
          </w:p>
          <w:p w14:paraId="4C1375EA" w14:textId="685D17F8" w:rsidR="004647F4" w:rsidRPr="00211AF8" w:rsidRDefault="004647F4" w:rsidP="00DD1F5A">
            <w:pPr>
              <w:pStyle w:val="ListParagraph"/>
              <w:numPr>
                <w:ilvl w:val="0"/>
                <w:numId w:val="5"/>
              </w:numPr>
              <w:spacing w:before="100" w:after="100"/>
              <w:rPr>
                <w:rFonts w:ascii="Calibri" w:hAnsi="Calibri" w:cs="Calibri"/>
                <w:color w:val="000000"/>
                <w:sz w:val="24"/>
                <w:szCs w:val="24"/>
              </w:rPr>
            </w:pPr>
            <w:r w:rsidRPr="00211AF8">
              <w:rPr>
                <w:rFonts w:ascii="Calibri" w:hAnsi="Calibri" w:cs="Calibri"/>
                <w:color w:val="000000"/>
                <w:sz w:val="24"/>
                <w:szCs w:val="24"/>
              </w:rPr>
              <w:t>Costs you incur in order to obtain planning, environmental or other regulatory approvals during the project period. However, associated fees paid to the Commonwealth, state, territory and local governments are not eligible</w:t>
            </w:r>
            <w:r w:rsidR="00DD1F5A">
              <w:rPr>
                <w:rFonts w:ascii="Calibri" w:hAnsi="Calibri" w:cs="Calibri"/>
                <w:color w:val="000000"/>
                <w:sz w:val="24"/>
                <w:szCs w:val="24"/>
              </w:rPr>
              <w:t>.</w:t>
            </w:r>
          </w:p>
          <w:p w14:paraId="176C5DDA" w14:textId="77777777" w:rsidR="00E90919" w:rsidRPr="0040118C" w:rsidRDefault="00E90919" w:rsidP="00AC442B">
            <w:pPr>
              <w:spacing w:before="100" w:after="100"/>
              <w:rPr>
                <w:rFonts w:ascii="Calibri" w:eastAsia="Times New Roman" w:hAnsi="Calibri" w:cs="Calibri"/>
                <w:color w:val="000000"/>
                <w:lang w:eastAsia="en-AU"/>
              </w:rPr>
            </w:pPr>
          </w:p>
        </w:tc>
      </w:tr>
      <w:tr w:rsidR="00E90919" w:rsidRPr="0040118C" w14:paraId="0A8B13CB" w14:textId="77777777" w:rsidTr="00AC442B">
        <w:trPr>
          <w:trHeight w:val="290"/>
        </w:trPr>
        <w:tc>
          <w:tcPr>
            <w:tcW w:w="4957" w:type="dxa"/>
            <w:shd w:val="clear" w:color="auto" w:fill="auto"/>
            <w:noWrap/>
          </w:tcPr>
          <w:p w14:paraId="435AE01B" w14:textId="4818F7BF" w:rsidR="00E90919" w:rsidRPr="0040118C" w:rsidRDefault="00E90919" w:rsidP="00AC442B">
            <w:pPr>
              <w:spacing w:before="100" w:after="100"/>
              <w:rPr>
                <w:rFonts w:ascii="Calibri" w:eastAsia="Times New Roman" w:hAnsi="Calibri" w:cs="Calibri"/>
                <w:color w:val="000000"/>
                <w:lang w:eastAsia="en-AU"/>
              </w:rPr>
            </w:pPr>
            <w:r w:rsidRPr="00E90919">
              <w:rPr>
                <w:rFonts w:ascii="Calibri" w:eastAsia="Times New Roman" w:hAnsi="Calibri" w:cs="Calibri"/>
                <w:color w:val="000000"/>
                <w:lang w:eastAsia="en-AU"/>
              </w:rPr>
              <w:t>The proposed contract suggests ownership will transfer back to the government on termination of the agreement. Is this correct?</w:t>
            </w:r>
          </w:p>
        </w:tc>
        <w:tc>
          <w:tcPr>
            <w:tcW w:w="8651" w:type="dxa"/>
          </w:tcPr>
          <w:p w14:paraId="319C2F40" w14:textId="5A898C61" w:rsidR="009D4414" w:rsidRPr="00732DA1" w:rsidRDefault="00732DA1" w:rsidP="00AC442B">
            <w:pPr>
              <w:spacing w:before="100" w:after="100"/>
              <w:rPr>
                <w:rFonts w:ascii="Calibri" w:eastAsia="Times New Roman" w:hAnsi="Calibri" w:cs="Calibri"/>
                <w:lang w:eastAsia="en-AU"/>
              </w:rPr>
            </w:pPr>
            <w:r w:rsidRPr="00732DA1">
              <w:rPr>
                <w:rFonts w:ascii="Calibri" w:eastAsia="Times New Roman" w:hAnsi="Calibri" w:cs="Calibri"/>
                <w:lang w:eastAsia="en-AU"/>
              </w:rPr>
              <w:t>This clause can be removed from the grant agreement if requested.</w:t>
            </w:r>
          </w:p>
          <w:p w14:paraId="10543BE9" w14:textId="1F461FB4" w:rsidR="00E90919" w:rsidRPr="0040118C" w:rsidRDefault="00E90919" w:rsidP="00B61A16">
            <w:pPr>
              <w:spacing w:before="100" w:after="100"/>
              <w:rPr>
                <w:rFonts w:ascii="Calibri" w:eastAsia="Times New Roman" w:hAnsi="Calibri" w:cs="Calibri"/>
                <w:color w:val="000000"/>
                <w:lang w:eastAsia="en-AU"/>
              </w:rPr>
            </w:pPr>
          </w:p>
        </w:tc>
      </w:tr>
      <w:tr w:rsidR="00E90919" w:rsidRPr="0040118C" w14:paraId="0833F299" w14:textId="77777777" w:rsidTr="00AC442B">
        <w:trPr>
          <w:trHeight w:val="290"/>
        </w:trPr>
        <w:tc>
          <w:tcPr>
            <w:tcW w:w="4957" w:type="dxa"/>
            <w:shd w:val="clear" w:color="auto" w:fill="auto"/>
            <w:noWrap/>
          </w:tcPr>
          <w:p w14:paraId="5BC51DDD" w14:textId="58B87C59" w:rsidR="00E90919" w:rsidRPr="0040118C" w:rsidRDefault="00E90919" w:rsidP="00AC442B">
            <w:pPr>
              <w:spacing w:before="100" w:after="100"/>
              <w:rPr>
                <w:rFonts w:ascii="Calibri" w:eastAsia="Times New Roman" w:hAnsi="Calibri" w:cs="Calibri"/>
                <w:color w:val="000000"/>
                <w:lang w:eastAsia="en-AU"/>
              </w:rPr>
            </w:pPr>
            <w:r w:rsidRPr="00E90919">
              <w:rPr>
                <w:rFonts w:ascii="Calibri" w:eastAsia="Times New Roman" w:hAnsi="Calibri" w:cs="Calibri"/>
                <w:color w:val="000000"/>
                <w:lang w:eastAsia="en-AU"/>
              </w:rPr>
              <w:t>What is differentiator for a Feasibility Study and a FEL undertaking for Project Development</w:t>
            </w:r>
          </w:p>
        </w:tc>
        <w:tc>
          <w:tcPr>
            <w:tcW w:w="8651" w:type="dxa"/>
          </w:tcPr>
          <w:p w14:paraId="1C76871E" w14:textId="77777777" w:rsidR="00C36D02" w:rsidRPr="00C36D02" w:rsidRDefault="00C36D02" w:rsidP="00211AF8">
            <w:pPr>
              <w:autoSpaceDE w:val="0"/>
              <w:autoSpaceDN w:val="0"/>
              <w:adjustRightInd w:val="0"/>
              <w:spacing w:after="0"/>
              <w:rPr>
                <w:rFonts w:ascii="Calibri" w:eastAsia="Times New Roman" w:hAnsi="Calibri" w:cs="Calibri"/>
                <w:lang w:eastAsia="en-AU"/>
              </w:rPr>
            </w:pPr>
            <w:r w:rsidRPr="00C36D02">
              <w:rPr>
                <w:rFonts w:ascii="Calibri" w:eastAsia="Times New Roman" w:hAnsi="Calibri" w:cs="Calibri"/>
                <w:lang w:eastAsia="en-AU"/>
              </w:rPr>
              <w:t>Feasibility studies are not eligible expenditure under the program.</w:t>
            </w:r>
          </w:p>
          <w:p w14:paraId="136727B2" w14:textId="77777777" w:rsidR="00C36D02" w:rsidRPr="00C36D02" w:rsidRDefault="00C36D02" w:rsidP="00211AF8">
            <w:pPr>
              <w:autoSpaceDE w:val="0"/>
              <w:autoSpaceDN w:val="0"/>
              <w:adjustRightInd w:val="0"/>
              <w:spacing w:after="0"/>
              <w:rPr>
                <w:rFonts w:ascii="Calibri" w:eastAsia="Times New Roman" w:hAnsi="Calibri" w:cs="Calibri"/>
                <w:lang w:eastAsia="en-AU"/>
              </w:rPr>
            </w:pPr>
          </w:p>
          <w:p w14:paraId="34179821" w14:textId="2185EAFA" w:rsidR="00E90919" w:rsidRPr="00C36D02" w:rsidRDefault="00C36D02" w:rsidP="00C36D02">
            <w:pPr>
              <w:autoSpaceDE w:val="0"/>
              <w:autoSpaceDN w:val="0"/>
              <w:adjustRightInd w:val="0"/>
              <w:spacing w:after="0"/>
              <w:rPr>
                <w:rFonts w:ascii="Calibri" w:eastAsia="Times New Roman" w:hAnsi="Calibri" w:cs="Calibri"/>
                <w:lang w:eastAsia="en-AU"/>
              </w:rPr>
            </w:pPr>
            <w:r w:rsidRPr="00C36D02">
              <w:rPr>
                <w:rFonts w:ascii="Calibri" w:eastAsia="Times New Roman" w:hAnsi="Calibri" w:cs="Calibri"/>
                <w:lang w:eastAsia="en-AU"/>
              </w:rPr>
              <w:t>Design and engineering activities directly related to the project are eligible. Applicant</w:t>
            </w:r>
            <w:r w:rsidR="009C15AD">
              <w:rPr>
                <w:rFonts w:ascii="Calibri" w:eastAsia="Times New Roman" w:hAnsi="Calibri" w:cs="Calibri"/>
                <w:lang w:eastAsia="en-AU"/>
              </w:rPr>
              <w:t>s</w:t>
            </w:r>
            <w:r w:rsidRPr="00C36D02">
              <w:rPr>
                <w:rFonts w:ascii="Calibri" w:eastAsia="Times New Roman" w:hAnsi="Calibri" w:cs="Calibri"/>
                <w:lang w:eastAsia="en-AU"/>
              </w:rPr>
              <w:t xml:space="preserve"> will need to demonstrate the activities being claimed are eligible under the program and are not considered feasibility activities.</w:t>
            </w:r>
          </w:p>
        </w:tc>
      </w:tr>
      <w:tr w:rsidR="00E90919" w:rsidRPr="0040118C" w14:paraId="4A50116B" w14:textId="77777777" w:rsidTr="00AC442B">
        <w:trPr>
          <w:trHeight w:val="290"/>
        </w:trPr>
        <w:tc>
          <w:tcPr>
            <w:tcW w:w="4957" w:type="dxa"/>
            <w:shd w:val="clear" w:color="auto" w:fill="auto"/>
            <w:noWrap/>
          </w:tcPr>
          <w:p w14:paraId="4012E9AB" w14:textId="0D331968" w:rsidR="00E90919" w:rsidRPr="0040118C" w:rsidRDefault="00820779" w:rsidP="00820779">
            <w:pPr>
              <w:spacing w:before="100" w:after="100"/>
              <w:rPr>
                <w:rFonts w:ascii="Calibri" w:eastAsia="Times New Roman" w:hAnsi="Calibri" w:cs="Calibri"/>
                <w:color w:val="000000"/>
                <w:lang w:eastAsia="en-AU"/>
              </w:rPr>
            </w:pPr>
            <w:r>
              <w:rPr>
                <w:rFonts w:ascii="Calibri" w:eastAsia="Times New Roman" w:hAnsi="Calibri" w:cs="Calibri"/>
                <w:color w:val="000000"/>
                <w:lang w:eastAsia="en-AU"/>
              </w:rPr>
              <w:t>W</w:t>
            </w:r>
            <w:r w:rsidR="00E90919" w:rsidRPr="00E90919">
              <w:rPr>
                <w:rFonts w:ascii="Calibri" w:eastAsia="Times New Roman" w:hAnsi="Calibri" w:cs="Calibri"/>
                <w:color w:val="000000"/>
                <w:lang w:eastAsia="en-AU"/>
              </w:rPr>
              <w:t xml:space="preserve">hy is there a limit on the spend and size of each project, if it is more cost efficient to refurb tanks rather </w:t>
            </w:r>
            <w:proofErr w:type="spellStart"/>
            <w:r w:rsidR="00E90919" w:rsidRPr="00E90919">
              <w:rPr>
                <w:rFonts w:ascii="Calibri" w:eastAsia="Times New Roman" w:hAnsi="Calibri" w:cs="Calibri"/>
                <w:color w:val="000000"/>
                <w:lang w:eastAsia="en-AU"/>
              </w:rPr>
              <w:t>then</w:t>
            </w:r>
            <w:proofErr w:type="spellEnd"/>
            <w:r w:rsidR="00E90919" w:rsidRPr="00E90919">
              <w:rPr>
                <w:rFonts w:ascii="Calibri" w:eastAsia="Times New Roman" w:hAnsi="Calibri" w:cs="Calibri"/>
                <w:color w:val="000000"/>
                <w:lang w:eastAsia="en-AU"/>
              </w:rPr>
              <w:t xml:space="preserve"> build- does this not meet the objectives?</w:t>
            </w:r>
          </w:p>
        </w:tc>
        <w:tc>
          <w:tcPr>
            <w:tcW w:w="8651" w:type="dxa"/>
          </w:tcPr>
          <w:p w14:paraId="309B210F" w14:textId="18B903B0" w:rsidR="00E90919" w:rsidRPr="0040118C" w:rsidRDefault="00A93784" w:rsidP="00DD1F5A">
            <w:pPr>
              <w:spacing w:before="100" w:after="100"/>
              <w:rPr>
                <w:rFonts w:ascii="Calibri" w:eastAsia="Times New Roman" w:hAnsi="Calibri" w:cs="Calibri"/>
                <w:color w:val="000000"/>
                <w:lang w:eastAsia="en-AU"/>
              </w:rPr>
            </w:pPr>
            <w:r>
              <w:rPr>
                <w:rFonts w:ascii="Calibri" w:eastAsia="Times New Roman" w:hAnsi="Calibri" w:cs="Calibri"/>
                <w:color w:val="000000"/>
                <w:lang w:eastAsia="en-AU"/>
              </w:rPr>
              <w:t xml:space="preserve">The Government has introduced a suite of reforms aimed </w:t>
            </w:r>
            <w:r w:rsidR="00A62060">
              <w:rPr>
                <w:rFonts w:ascii="Calibri" w:eastAsia="Times New Roman" w:hAnsi="Calibri" w:cs="Calibri"/>
                <w:color w:val="000000"/>
                <w:lang w:eastAsia="en-AU"/>
              </w:rPr>
              <w:t>at increasing stockholding</w:t>
            </w:r>
            <w:r>
              <w:rPr>
                <w:rFonts w:ascii="Calibri" w:eastAsia="Times New Roman" w:hAnsi="Calibri" w:cs="Calibri"/>
                <w:color w:val="000000"/>
                <w:lang w:eastAsia="en-AU"/>
              </w:rPr>
              <w:t>s</w:t>
            </w:r>
            <w:r w:rsidR="00DD1F5A">
              <w:rPr>
                <w:rFonts w:ascii="Calibri" w:eastAsia="Times New Roman" w:hAnsi="Calibri" w:cs="Calibri"/>
                <w:color w:val="000000"/>
                <w:lang w:eastAsia="en-AU"/>
              </w:rPr>
              <w:t xml:space="preserve"> in Australia such as a proposed</w:t>
            </w:r>
            <w:r w:rsidR="00A62060">
              <w:rPr>
                <w:rFonts w:ascii="Calibri" w:eastAsia="Times New Roman" w:hAnsi="Calibri" w:cs="Calibri"/>
                <w:color w:val="000000"/>
                <w:lang w:eastAsia="en-AU"/>
              </w:rPr>
              <w:t xml:space="preserve"> M</w:t>
            </w:r>
            <w:r w:rsidR="00DD1F5A">
              <w:rPr>
                <w:rFonts w:ascii="Calibri" w:eastAsia="Times New Roman" w:hAnsi="Calibri" w:cs="Calibri"/>
                <w:color w:val="000000"/>
                <w:lang w:eastAsia="en-AU"/>
              </w:rPr>
              <w:t xml:space="preserve">inimum </w:t>
            </w:r>
            <w:r w:rsidR="00A62060">
              <w:rPr>
                <w:rFonts w:ascii="Calibri" w:eastAsia="Times New Roman" w:hAnsi="Calibri" w:cs="Calibri"/>
                <w:color w:val="000000"/>
                <w:lang w:eastAsia="en-AU"/>
              </w:rPr>
              <w:t>S</w:t>
            </w:r>
            <w:r w:rsidR="00DD1F5A">
              <w:rPr>
                <w:rFonts w:ascii="Calibri" w:eastAsia="Times New Roman" w:hAnsi="Calibri" w:cs="Calibri"/>
                <w:color w:val="000000"/>
                <w:lang w:eastAsia="en-AU"/>
              </w:rPr>
              <w:t xml:space="preserve">tockholding </w:t>
            </w:r>
            <w:r w:rsidR="00A62060">
              <w:rPr>
                <w:rFonts w:ascii="Calibri" w:eastAsia="Times New Roman" w:hAnsi="Calibri" w:cs="Calibri"/>
                <w:color w:val="000000"/>
                <w:lang w:eastAsia="en-AU"/>
              </w:rPr>
              <w:t>O</w:t>
            </w:r>
            <w:r w:rsidR="00DD1F5A">
              <w:rPr>
                <w:rFonts w:ascii="Calibri" w:eastAsia="Times New Roman" w:hAnsi="Calibri" w:cs="Calibri"/>
                <w:color w:val="000000"/>
                <w:lang w:eastAsia="en-AU"/>
              </w:rPr>
              <w:t>bligation</w:t>
            </w:r>
            <w:r w:rsidR="00A62060">
              <w:rPr>
                <w:rFonts w:ascii="Calibri" w:eastAsia="Times New Roman" w:hAnsi="Calibri" w:cs="Calibri"/>
                <w:color w:val="000000"/>
                <w:lang w:eastAsia="en-AU"/>
              </w:rPr>
              <w:t xml:space="preserve">. The BADSP is focussed on particular outcomes in terms of increasing Australia’s diesel storage and is </w:t>
            </w:r>
            <w:r w:rsidR="00B21BFC">
              <w:rPr>
                <w:rFonts w:ascii="Calibri" w:eastAsia="Times New Roman" w:hAnsi="Calibri" w:cs="Calibri"/>
                <w:color w:val="000000"/>
                <w:lang w:eastAsia="en-AU"/>
              </w:rPr>
              <w:t>seeking</w:t>
            </w:r>
            <w:r w:rsidR="00A62060">
              <w:rPr>
                <w:rFonts w:ascii="Calibri" w:eastAsia="Times New Roman" w:hAnsi="Calibri" w:cs="Calibri"/>
                <w:color w:val="000000"/>
                <w:lang w:eastAsia="en-AU"/>
              </w:rPr>
              <w:t xml:space="preserve"> to achieve </w:t>
            </w:r>
            <w:r>
              <w:rPr>
                <w:rFonts w:ascii="Calibri" w:eastAsia="Times New Roman" w:hAnsi="Calibri" w:cs="Calibri"/>
                <w:color w:val="000000"/>
                <w:lang w:eastAsia="en-AU"/>
              </w:rPr>
              <w:t xml:space="preserve">a range of objectives as set out in the program guidelines. </w:t>
            </w:r>
            <w:r w:rsidR="00C83888">
              <w:rPr>
                <w:rFonts w:ascii="Calibri" w:eastAsia="Times New Roman" w:hAnsi="Calibri" w:cs="Calibri"/>
                <w:color w:val="000000"/>
                <w:lang w:eastAsia="en-AU"/>
              </w:rPr>
              <w:t xml:space="preserve">The limit on the size spend of each project is to </w:t>
            </w:r>
            <w:r>
              <w:rPr>
                <w:rFonts w:ascii="Calibri" w:eastAsia="Times New Roman" w:hAnsi="Calibri" w:cs="Calibri"/>
                <w:color w:val="000000"/>
                <w:lang w:eastAsia="en-AU"/>
              </w:rPr>
              <w:t>ensure that</w:t>
            </w:r>
            <w:r w:rsidR="00DD1F5A">
              <w:rPr>
                <w:rFonts w:ascii="Calibri" w:eastAsia="Times New Roman" w:hAnsi="Calibri" w:cs="Calibri"/>
                <w:color w:val="000000"/>
                <w:lang w:eastAsia="en-AU"/>
              </w:rPr>
              <w:t xml:space="preserve"> there are</w:t>
            </w:r>
            <w:r w:rsidR="00C83888">
              <w:rPr>
                <w:rFonts w:ascii="Calibri" w:eastAsia="Times New Roman" w:hAnsi="Calibri" w:cs="Calibri"/>
                <w:color w:val="000000"/>
                <w:lang w:eastAsia="en-AU"/>
              </w:rPr>
              <w:t xml:space="preserve"> a</w:t>
            </w:r>
            <w:r>
              <w:rPr>
                <w:rFonts w:ascii="Calibri" w:eastAsia="Times New Roman" w:hAnsi="Calibri" w:cs="Calibri"/>
                <w:color w:val="000000"/>
                <w:lang w:eastAsia="en-AU"/>
              </w:rPr>
              <w:t xml:space="preserve"> </w:t>
            </w:r>
            <w:r w:rsidR="00C83888">
              <w:rPr>
                <w:rFonts w:ascii="Calibri" w:eastAsia="Times New Roman" w:hAnsi="Calibri" w:cs="Calibri"/>
                <w:color w:val="000000"/>
                <w:lang w:eastAsia="en-AU"/>
              </w:rPr>
              <w:t>range of project</w:t>
            </w:r>
            <w:r>
              <w:rPr>
                <w:rFonts w:ascii="Calibri" w:eastAsia="Times New Roman" w:hAnsi="Calibri" w:cs="Calibri"/>
                <w:color w:val="000000"/>
                <w:lang w:eastAsia="en-AU"/>
              </w:rPr>
              <w:t>s</w:t>
            </w:r>
            <w:r w:rsidR="00C83888">
              <w:rPr>
                <w:rFonts w:ascii="Calibri" w:eastAsia="Times New Roman" w:hAnsi="Calibri" w:cs="Calibri"/>
                <w:color w:val="000000"/>
                <w:lang w:eastAsia="en-AU"/>
              </w:rPr>
              <w:t xml:space="preserve"> across Australia to meet the </w:t>
            </w:r>
            <w:r>
              <w:rPr>
                <w:rFonts w:ascii="Calibri" w:eastAsia="Times New Roman" w:hAnsi="Calibri" w:cs="Calibri"/>
                <w:color w:val="000000"/>
                <w:lang w:eastAsia="en-AU"/>
              </w:rPr>
              <w:t>goals</w:t>
            </w:r>
            <w:r w:rsidR="00C83888">
              <w:rPr>
                <w:rFonts w:ascii="Calibri" w:eastAsia="Times New Roman" w:hAnsi="Calibri" w:cs="Calibri"/>
                <w:color w:val="000000"/>
                <w:lang w:eastAsia="en-AU"/>
              </w:rPr>
              <w:t xml:space="preserve"> of the program. </w:t>
            </w:r>
            <w:r>
              <w:rPr>
                <w:rFonts w:ascii="Calibri" w:eastAsia="Times New Roman" w:hAnsi="Calibri" w:cs="Calibri"/>
                <w:color w:val="000000"/>
                <w:lang w:eastAsia="en-AU"/>
              </w:rPr>
              <w:t xml:space="preserve">It is important that individual </w:t>
            </w:r>
            <w:r>
              <w:rPr>
                <w:rFonts w:ascii="Calibri" w:eastAsia="Times New Roman" w:hAnsi="Calibri" w:cs="Calibri"/>
                <w:color w:val="000000"/>
                <w:lang w:eastAsia="en-AU"/>
              </w:rPr>
              <w:lastRenderedPageBreak/>
              <w:t>projects should address the guidelines. The program guidelines are an expression of what the Government has decided in terms of the overall priorities</w:t>
            </w:r>
            <w:r w:rsidR="00DD1F5A">
              <w:rPr>
                <w:rFonts w:ascii="Calibri" w:eastAsia="Times New Roman" w:hAnsi="Calibri" w:cs="Calibri"/>
                <w:color w:val="000000"/>
                <w:lang w:eastAsia="en-AU"/>
              </w:rPr>
              <w:t xml:space="preserve"> of the program.</w:t>
            </w:r>
            <w:r>
              <w:rPr>
                <w:rFonts w:ascii="Calibri" w:eastAsia="Times New Roman" w:hAnsi="Calibri" w:cs="Calibri"/>
                <w:color w:val="000000"/>
                <w:lang w:eastAsia="en-AU"/>
              </w:rPr>
              <w:t xml:space="preserve"> </w:t>
            </w:r>
          </w:p>
        </w:tc>
      </w:tr>
      <w:tr w:rsidR="00E90919" w:rsidRPr="0040118C" w14:paraId="378005C1" w14:textId="77777777" w:rsidTr="00AC442B">
        <w:trPr>
          <w:trHeight w:val="290"/>
        </w:trPr>
        <w:tc>
          <w:tcPr>
            <w:tcW w:w="4957" w:type="dxa"/>
            <w:shd w:val="clear" w:color="auto" w:fill="auto"/>
            <w:noWrap/>
          </w:tcPr>
          <w:p w14:paraId="65F1BC73" w14:textId="1FF99163" w:rsidR="00E90919" w:rsidRPr="0040118C" w:rsidRDefault="00820779" w:rsidP="00AC442B">
            <w:pPr>
              <w:spacing w:before="100" w:after="100"/>
              <w:rPr>
                <w:rFonts w:ascii="Calibri" w:eastAsia="Times New Roman" w:hAnsi="Calibri" w:cs="Calibri"/>
                <w:color w:val="000000"/>
                <w:lang w:eastAsia="en-AU"/>
              </w:rPr>
            </w:pPr>
            <w:r>
              <w:rPr>
                <w:rFonts w:ascii="Calibri" w:eastAsia="Times New Roman" w:hAnsi="Calibri" w:cs="Calibri"/>
                <w:color w:val="000000"/>
                <w:lang w:eastAsia="en-AU"/>
              </w:rPr>
              <w:lastRenderedPageBreak/>
              <w:t>W</w:t>
            </w:r>
            <w:r w:rsidR="00E90919" w:rsidRPr="00E90919">
              <w:rPr>
                <w:rFonts w:ascii="Calibri" w:eastAsia="Times New Roman" w:hAnsi="Calibri" w:cs="Calibri"/>
                <w:color w:val="000000"/>
                <w:lang w:eastAsia="en-AU"/>
              </w:rPr>
              <w:t>hat is the difference between the definition of "refurb" or "renovation"</w:t>
            </w:r>
          </w:p>
        </w:tc>
        <w:tc>
          <w:tcPr>
            <w:tcW w:w="8651" w:type="dxa"/>
          </w:tcPr>
          <w:p w14:paraId="05D78117" w14:textId="0C3D8E3D" w:rsidR="00E90919" w:rsidRPr="0040118C" w:rsidRDefault="00C36D02" w:rsidP="00C36D02">
            <w:pPr>
              <w:spacing w:before="100" w:after="100"/>
              <w:rPr>
                <w:rFonts w:ascii="Calibri" w:eastAsia="Times New Roman" w:hAnsi="Calibri" w:cs="Calibri"/>
                <w:color w:val="000000"/>
                <w:lang w:eastAsia="en-AU"/>
              </w:rPr>
            </w:pPr>
            <w:r>
              <w:rPr>
                <w:rFonts w:ascii="Calibri" w:eastAsia="Times New Roman" w:hAnsi="Calibri" w:cs="Calibri"/>
                <w:color w:val="000000"/>
                <w:lang w:eastAsia="en-AU"/>
              </w:rPr>
              <w:t xml:space="preserve">Refer dictionary. </w:t>
            </w:r>
          </w:p>
        </w:tc>
      </w:tr>
      <w:tr w:rsidR="00E90919" w:rsidRPr="0040118C" w14:paraId="5BA86B78" w14:textId="77777777" w:rsidTr="00AC442B">
        <w:trPr>
          <w:trHeight w:val="290"/>
        </w:trPr>
        <w:tc>
          <w:tcPr>
            <w:tcW w:w="4957" w:type="dxa"/>
            <w:shd w:val="clear" w:color="auto" w:fill="auto"/>
            <w:noWrap/>
          </w:tcPr>
          <w:p w14:paraId="0EC7888C" w14:textId="6DA5A0D8" w:rsidR="00E90919" w:rsidRPr="0040118C" w:rsidRDefault="00E90919" w:rsidP="00AC442B">
            <w:pPr>
              <w:spacing w:before="100" w:after="100"/>
              <w:rPr>
                <w:rFonts w:ascii="Calibri" w:eastAsia="Times New Roman" w:hAnsi="Calibri" w:cs="Calibri"/>
                <w:color w:val="000000"/>
                <w:lang w:eastAsia="en-AU"/>
              </w:rPr>
            </w:pPr>
            <w:r w:rsidRPr="00E90919">
              <w:rPr>
                <w:rFonts w:ascii="Calibri" w:eastAsia="Times New Roman" w:hAnsi="Calibri" w:cs="Calibri"/>
                <w:color w:val="000000"/>
                <w:lang w:eastAsia="en-AU"/>
              </w:rPr>
              <w:t>Is the Department contemplating further grant processes for other types of fuel (e.g. jet, crude)?</w:t>
            </w:r>
          </w:p>
        </w:tc>
        <w:tc>
          <w:tcPr>
            <w:tcW w:w="8651" w:type="dxa"/>
          </w:tcPr>
          <w:p w14:paraId="17CE2D31" w14:textId="548B77E6" w:rsidR="00E90919" w:rsidRPr="0040118C" w:rsidRDefault="004647F4" w:rsidP="00AC442B">
            <w:pPr>
              <w:spacing w:before="100" w:after="100"/>
              <w:rPr>
                <w:rFonts w:ascii="Calibri" w:eastAsia="Times New Roman" w:hAnsi="Calibri" w:cs="Calibri"/>
                <w:color w:val="000000"/>
                <w:lang w:eastAsia="en-AU"/>
              </w:rPr>
            </w:pPr>
            <w:r>
              <w:rPr>
                <w:rFonts w:ascii="Calibri" w:eastAsia="Times New Roman" w:hAnsi="Calibri" w:cs="Calibri"/>
                <w:color w:val="000000"/>
                <w:lang w:eastAsia="en-AU"/>
              </w:rPr>
              <w:t>Future grant programs are a decision for the Government, not the Department.</w:t>
            </w:r>
          </w:p>
        </w:tc>
      </w:tr>
      <w:tr w:rsidR="00E90919" w:rsidRPr="0040118C" w14:paraId="1F3E74FD" w14:textId="77777777" w:rsidTr="00AC442B">
        <w:trPr>
          <w:trHeight w:val="290"/>
        </w:trPr>
        <w:tc>
          <w:tcPr>
            <w:tcW w:w="4957" w:type="dxa"/>
            <w:shd w:val="clear" w:color="auto" w:fill="auto"/>
            <w:noWrap/>
          </w:tcPr>
          <w:p w14:paraId="33EE0250" w14:textId="154F3649" w:rsidR="00E90919" w:rsidRPr="0040118C" w:rsidRDefault="00E90919" w:rsidP="00AC442B">
            <w:pPr>
              <w:spacing w:before="100" w:after="100"/>
              <w:rPr>
                <w:rFonts w:ascii="Calibri" w:eastAsia="Times New Roman" w:hAnsi="Calibri" w:cs="Calibri"/>
                <w:color w:val="000000"/>
                <w:lang w:eastAsia="en-AU"/>
              </w:rPr>
            </w:pPr>
            <w:r w:rsidRPr="00E90919">
              <w:rPr>
                <w:rFonts w:ascii="Calibri" w:eastAsia="Times New Roman" w:hAnsi="Calibri" w:cs="Calibri"/>
                <w:color w:val="000000"/>
                <w:lang w:eastAsia="en-AU"/>
              </w:rPr>
              <w:t>Will there be support to accelerate council approvals which regularly breach timeliness obligations.</w:t>
            </w:r>
          </w:p>
        </w:tc>
        <w:tc>
          <w:tcPr>
            <w:tcW w:w="8651" w:type="dxa"/>
          </w:tcPr>
          <w:p w14:paraId="4CDB970C" w14:textId="2B8F0A83" w:rsidR="00E90919" w:rsidRPr="0040118C" w:rsidRDefault="004647F4" w:rsidP="00AC442B">
            <w:pPr>
              <w:spacing w:before="100" w:after="100"/>
              <w:rPr>
                <w:rFonts w:ascii="Calibri" w:eastAsia="Times New Roman" w:hAnsi="Calibri" w:cs="Calibri"/>
                <w:color w:val="000000"/>
                <w:lang w:eastAsia="en-AU"/>
              </w:rPr>
            </w:pPr>
            <w:r>
              <w:rPr>
                <w:rFonts w:ascii="Calibri" w:eastAsia="Times New Roman" w:hAnsi="Calibri" w:cs="Calibri"/>
                <w:color w:val="000000"/>
                <w:lang w:eastAsia="en-AU"/>
              </w:rPr>
              <w:t>We are unable to assist with obtaining approvals from other levels of Government.</w:t>
            </w:r>
          </w:p>
        </w:tc>
      </w:tr>
      <w:tr w:rsidR="00E90919" w:rsidRPr="0040118C" w14:paraId="5FA7D93A" w14:textId="77777777" w:rsidTr="00AC442B">
        <w:trPr>
          <w:trHeight w:val="290"/>
        </w:trPr>
        <w:tc>
          <w:tcPr>
            <w:tcW w:w="4957" w:type="dxa"/>
            <w:shd w:val="clear" w:color="auto" w:fill="auto"/>
            <w:noWrap/>
          </w:tcPr>
          <w:p w14:paraId="3ABA9FB3" w14:textId="6B477A8D" w:rsidR="00E90919" w:rsidRPr="00E90919" w:rsidRDefault="00E90919" w:rsidP="00AC442B">
            <w:pPr>
              <w:spacing w:before="100" w:after="100"/>
              <w:rPr>
                <w:rFonts w:ascii="Calibri" w:eastAsia="Times New Roman" w:hAnsi="Calibri" w:cs="Calibri"/>
                <w:color w:val="000000"/>
                <w:lang w:eastAsia="en-AU"/>
              </w:rPr>
            </w:pPr>
            <w:r w:rsidRPr="00E90919">
              <w:rPr>
                <w:rFonts w:ascii="Calibri" w:eastAsia="Times New Roman" w:hAnsi="Calibri" w:cs="Calibri"/>
                <w:color w:val="000000"/>
                <w:lang w:eastAsia="en-AU"/>
              </w:rPr>
              <w:t>If a dependent project fails or does not materialise, will successful grantees be obliged to deliver on successful grant application, or can they break contract</w:t>
            </w:r>
          </w:p>
        </w:tc>
        <w:tc>
          <w:tcPr>
            <w:tcW w:w="8651" w:type="dxa"/>
          </w:tcPr>
          <w:p w14:paraId="310D4F83" w14:textId="552FFF7D" w:rsidR="00E90919" w:rsidRPr="00BC02C6" w:rsidRDefault="00BC02C6" w:rsidP="00AC442B">
            <w:pPr>
              <w:spacing w:before="100" w:after="100"/>
              <w:rPr>
                <w:rFonts w:ascii="Calibri" w:eastAsia="Times New Roman" w:hAnsi="Calibri" w:cs="Calibri"/>
                <w:lang w:eastAsia="en-AU"/>
              </w:rPr>
            </w:pPr>
            <w:r w:rsidRPr="00BC02C6">
              <w:rPr>
                <w:rFonts w:ascii="Calibri" w:eastAsia="Times New Roman" w:hAnsi="Calibri" w:cs="Calibri"/>
                <w:lang w:eastAsia="en-AU"/>
              </w:rPr>
              <w:t>Contract management of successful projects will be considered on a case by case basis.</w:t>
            </w:r>
          </w:p>
          <w:p w14:paraId="248D66A7" w14:textId="53EE7FBE" w:rsidR="00E90919" w:rsidRPr="0040118C" w:rsidRDefault="00E90919" w:rsidP="0014795C">
            <w:pPr>
              <w:spacing w:before="100" w:after="100"/>
              <w:rPr>
                <w:rFonts w:ascii="Calibri" w:eastAsia="Times New Roman" w:hAnsi="Calibri" w:cs="Calibri"/>
                <w:color w:val="000000"/>
                <w:lang w:eastAsia="en-AU"/>
              </w:rPr>
            </w:pPr>
          </w:p>
        </w:tc>
      </w:tr>
      <w:tr w:rsidR="00E90919" w:rsidRPr="0040118C" w14:paraId="25ABA581" w14:textId="77777777" w:rsidTr="00AC442B">
        <w:trPr>
          <w:trHeight w:val="290"/>
        </w:trPr>
        <w:tc>
          <w:tcPr>
            <w:tcW w:w="4957" w:type="dxa"/>
            <w:shd w:val="clear" w:color="auto" w:fill="auto"/>
            <w:noWrap/>
          </w:tcPr>
          <w:p w14:paraId="4DAAAA59" w14:textId="6B8AA6F2" w:rsidR="00E90919" w:rsidRPr="00E90919" w:rsidRDefault="00E90919" w:rsidP="00AC442B">
            <w:pPr>
              <w:spacing w:before="100" w:after="100"/>
              <w:rPr>
                <w:rFonts w:ascii="Calibri" w:eastAsia="Times New Roman" w:hAnsi="Calibri" w:cs="Calibri"/>
                <w:color w:val="000000"/>
                <w:lang w:eastAsia="en-AU"/>
              </w:rPr>
            </w:pPr>
            <w:r w:rsidRPr="00E90919">
              <w:rPr>
                <w:rFonts w:ascii="Calibri" w:eastAsia="Times New Roman" w:hAnsi="Calibri" w:cs="Calibri"/>
                <w:color w:val="000000"/>
                <w:lang w:eastAsia="en-AU"/>
              </w:rPr>
              <w:t>So, are the costs associated with provision of infrastructure "including roads and services" within the project treated as eligible expenses? Yes or no, please.</w:t>
            </w:r>
          </w:p>
        </w:tc>
        <w:tc>
          <w:tcPr>
            <w:tcW w:w="8651" w:type="dxa"/>
          </w:tcPr>
          <w:p w14:paraId="486D7961" w14:textId="5A6B13FC" w:rsidR="00212083" w:rsidRPr="00DD1F5A" w:rsidRDefault="00212083" w:rsidP="00DD1F5A">
            <w:pPr>
              <w:pStyle w:val="ListParagraph"/>
              <w:numPr>
                <w:ilvl w:val="0"/>
                <w:numId w:val="4"/>
              </w:numPr>
              <w:spacing w:before="120" w:line="23" w:lineRule="atLeast"/>
              <w:rPr>
                <w:rFonts w:asciiTheme="minorHAnsi" w:hAnsiTheme="minorHAnsi" w:cstheme="minorHAnsi"/>
                <w:color w:val="000000"/>
                <w:sz w:val="24"/>
                <w:szCs w:val="24"/>
              </w:rPr>
            </w:pPr>
            <w:r w:rsidRPr="00DD1F5A">
              <w:rPr>
                <w:rFonts w:asciiTheme="minorHAnsi" w:hAnsiTheme="minorHAnsi" w:cstheme="minorHAnsi"/>
                <w:color w:val="000000"/>
                <w:sz w:val="24"/>
                <w:szCs w:val="24"/>
              </w:rPr>
              <w:t xml:space="preserve">As per section five of the guidelines, </w:t>
            </w:r>
            <w:r w:rsidR="0014795C" w:rsidRPr="00DD1F5A">
              <w:rPr>
                <w:rFonts w:asciiTheme="minorHAnsi" w:hAnsiTheme="minorHAnsi" w:cstheme="minorHAnsi"/>
                <w:color w:val="000000"/>
                <w:sz w:val="24"/>
                <w:szCs w:val="24"/>
              </w:rPr>
              <w:t>f</w:t>
            </w:r>
            <w:r w:rsidRPr="00DD1F5A">
              <w:rPr>
                <w:rFonts w:asciiTheme="minorHAnsi" w:hAnsiTheme="minorHAnsi" w:cstheme="minorHAnsi"/>
                <w:color w:val="000000"/>
                <w:sz w:val="24"/>
                <w:szCs w:val="24"/>
              </w:rPr>
              <w:t>unding is only available for infrastructure directly relevant to the new storage project.</w:t>
            </w:r>
          </w:p>
          <w:p w14:paraId="2AD64D5D" w14:textId="77777777" w:rsidR="00212083" w:rsidRPr="00021E4C" w:rsidRDefault="00212083" w:rsidP="00DD1F5A">
            <w:pPr>
              <w:pStyle w:val="ListParagraph"/>
              <w:numPr>
                <w:ilvl w:val="0"/>
                <w:numId w:val="4"/>
              </w:numPr>
              <w:rPr>
                <w:rFonts w:asciiTheme="minorHAnsi" w:hAnsiTheme="minorHAnsi" w:cstheme="minorHAnsi"/>
                <w:color w:val="000000"/>
              </w:rPr>
            </w:pPr>
            <w:r w:rsidRPr="00DD1F5A">
              <w:rPr>
                <w:rFonts w:asciiTheme="minorHAnsi" w:hAnsiTheme="minorHAnsi" w:cstheme="minorHAnsi"/>
                <w:color w:val="000000"/>
                <w:sz w:val="24"/>
                <w:szCs w:val="24"/>
              </w:rPr>
              <w:t>Infrastructure development costs, including development of road, rail, port or fuel delivery networks beyond the storage site are not eligible and will not be considered.</w:t>
            </w:r>
          </w:p>
          <w:p w14:paraId="2755E7D5" w14:textId="77777777" w:rsidR="00E90919" w:rsidRPr="0040118C" w:rsidRDefault="00E90919" w:rsidP="0014795C">
            <w:pPr>
              <w:pStyle w:val="ListParagraph"/>
              <w:spacing w:before="120" w:line="23" w:lineRule="atLeast"/>
              <w:ind w:left="360"/>
              <w:rPr>
                <w:rFonts w:ascii="Calibri" w:hAnsi="Calibri" w:cs="Calibri"/>
                <w:color w:val="000000"/>
              </w:rPr>
            </w:pPr>
          </w:p>
        </w:tc>
      </w:tr>
    </w:tbl>
    <w:p w14:paraId="4319E360" w14:textId="77777777" w:rsidR="00040000" w:rsidRDefault="00040000" w:rsidP="004E109D">
      <w:pPr>
        <w:jc w:val="center"/>
        <w:rPr>
          <w:rFonts w:asciiTheme="minorHAnsi" w:hAnsiTheme="minorHAnsi" w:cstheme="minorHAnsi"/>
          <w:sz w:val="22"/>
          <w:szCs w:val="22"/>
        </w:rPr>
      </w:pPr>
    </w:p>
    <w:sectPr w:rsidR="00040000" w:rsidSect="00040000">
      <w:footerReference w:type="default" r:id="rId13"/>
      <w:headerReference w:type="first" r:id="rId14"/>
      <w:footerReference w:type="first" r:id="rId15"/>
      <w:pgSz w:w="16838" w:h="11906" w:orient="landscape"/>
      <w:pgMar w:top="1440" w:right="1440" w:bottom="1440" w:left="1440" w:header="283"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532247" w14:textId="77777777" w:rsidR="000B5601" w:rsidRDefault="000B5601" w:rsidP="00993AA7">
      <w:pPr>
        <w:spacing w:after="0"/>
      </w:pPr>
      <w:r>
        <w:separator/>
      </w:r>
    </w:p>
  </w:endnote>
  <w:endnote w:type="continuationSeparator" w:id="0">
    <w:p w14:paraId="630D54CC" w14:textId="77777777" w:rsidR="000B5601" w:rsidRDefault="000B5601" w:rsidP="00993AA7">
      <w:pPr>
        <w:spacing w:after="0"/>
      </w:pPr>
      <w:r>
        <w:continuationSeparator/>
      </w:r>
    </w:p>
  </w:endnote>
  <w:endnote w:type="continuationNotice" w:id="1">
    <w:p w14:paraId="396FF41B" w14:textId="77777777" w:rsidR="000B5601" w:rsidRDefault="000B560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4980605"/>
      <w:docPartObj>
        <w:docPartGallery w:val="Page Numbers (Bottom of Page)"/>
        <w:docPartUnique/>
      </w:docPartObj>
    </w:sdtPr>
    <w:sdtEndPr>
      <w:rPr>
        <w:rFonts w:asciiTheme="minorHAnsi" w:hAnsiTheme="minorHAnsi" w:cstheme="minorHAnsi"/>
        <w:b/>
        <w:color w:val="FF0000"/>
        <w:sz w:val="22"/>
      </w:rPr>
    </w:sdtEndPr>
    <w:sdtContent>
      <w:p w14:paraId="15216EFD" w14:textId="77777777" w:rsidR="0059421F" w:rsidRPr="00164EA4" w:rsidRDefault="0059421F">
        <w:pPr>
          <w:pStyle w:val="Footer"/>
          <w:pBdr>
            <w:top w:val="single" w:sz="4" w:space="1" w:color="D9D9D9" w:themeColor="background1" w:themeShade="D9"/>
          </w:pBdr>
          <w:rPr>
            <w:color w:val="7F7F7F" w:themeColor="background1" w:themeShade="7F"/>
            <w:spacing w:val="60"/>
          </w:rPr>
        </w:pPr>
        <w:r w:rsidRPr="0048325C">
          <w:rPr>
            <w:noProof/>
            <w:sz w:val="16"/>
            <w:szCs w:val="16"/>
            <w:lang w:eastAsia="en-AU"/>
          </w:rPr>
          <w:drawing>
            <wp:anchor distT="0" distB="0" distL="114300" distR="114300" simplePos="0" relativeHeight="251658241" behindDoc="1" locked="0" layoutInCell="1" allowOverlap="1" wp14:anchorId="15216F02" wp14:editId="15216F03">
              <wp:simplePos x="0" y="0"/>
              <wp:positionH relativeFrom="page">
                <wp:posOffset>10633</wp:posOffset>
              </wp:positionH>
              <wp:positionV relativeFrom="paragraph">
                <wp:posOffset>247472</wp:posOffset>
              </wp:positionV>
              <wp:extent cx="7559749" cy="363855"/>
              <wp:effectExtent l="0" t="0" r="3175" b="0"/>
              <wp:wrapNone/>
              <wp:docPr id="18" name="Picture 18" descr="Footer graphic with the URL for the Department of Industry and Science: industry.gov.au" title="Footer with the URL industry.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al_Word_update_slide_footer.jpg"/>
                      <pic:cNvPicPr/>
                    </pic:nvPicPr>
                    <pic:blipFill>
                      <a:blip r:embed="rId2">
                        <a:extLst>
                          <a:ext uri="{28A0092B-C50C-407E-A947-70E740481C1C}">
                            <a14:useLocalDpi xmlns:a14="http://schemas.microsoft.com/office/drawing/2010/main" val="0"/>
                          </a:ext>
                        </a:extLst>
                      </a:blip>
                      <a:stretch>
                        <a:fillRect/>
                      </a:stretch>
                    </pic:blipFill>
                    <pic:spPr>
                      <a:xfrm>
                        <a:off x="0" y="0"/>
                        <a:ext cx="7559749" cy="363855"/>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A84652" w:rsidRPr="00A84652">
          <w:rPr>
            <w:b/>
            <w:bCs/>
            <w:noProof/>
          </w:rPr>
          <w:t>2</w:t>
        </w:r>
        <w:r>
          <w:rPr>
            <w:b/>
            <w:bCs/>
            <w:noProof/>
          </w:rPr>
          <w:fldChar w:fldCharType="end"/>
        </w:r>
        <w:r>
          <w:rPr>
            <w:b/>
            <w:bCs/>
          </w:rPr>
          <w:t xml:space="preserve"> | </w:t>
        </w:r>
        <w:r>
          <w:rPr>
            <w:color w:val="7F7F7F" w:themeColor="background1" w:themeShade="7F"/>
            <w:spacing w:val="60"/>
          </w:rPr>
          <w:t>Page</w:t>
        </w:r>
      </w:p>
      <w:p w14:paraId="15216EFE" w14:textId="173372A0" w:rsidR="0059421F" w:rsidRPr="00164EA4" w:rsidRDefault="00A84652" w:rsidP="00164EA4">
        <w:pPr>
          <w:pStyle w:val="Header"/>
          <w:jc w:val="center"/>
          <w:rPr>
            <w:rFonts w:asciiTheme="minorHAnsi" w:hAnsiTheme="minorHAnsi" w:cstheme="minorHAnsi"/>
            <w:b/>
            <w:color w:val="FF0000"/>
            <w:sz w:val="22"/>
          </w:rPr>
        </w:pPr>
      </w:p>
    </w:sdtContent>
  </w:sdt>
  <w:p w14:paraId="15216EFF" w14:textId="77777777" w:rsidR="0059421F" w:rsidRPr="00993AA7" w:rsidRDefault="0059421F" w:rsidP="00993A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11D8C" w14:textId="77777777" w:rsidR="0059421F" w:rsidRDefault="0059421F" w:rsidP="00164EA4">
    <w:pPr>
      <w:pStyle w:val="Footer"/>
      <w:jc w:val="center"/>
      <w:rPr>
        <w:rFonts w:asciiTheme="minorHAnsi" w:hAnsiTheme="minorHAnsi" w:cstheme="minorHAnsi"/>
        <w:b/>
        <w:color w:val="FF0000"/>
        <w:sz w:val="22"/>
      </w:rPr>
    </w:pPr>
  </w:p>
  <w:p w14:paraId="11A234F1" w14:textId="1F049C03" w:rsidR="0059421F" w:rsidRDefault="0059421F" w:rsidP="00164EA4">
    <w:pPr>
      <w:pStyle w:val="Footer"/>
      <w:jc w:val="center"/>
      <w:rPr>
        <w:rFonts w:asciiTheme="minorHAnsi" w:hAnsiTheme="minorHAnsi" w:cstheme="minorHAnsi"/>
        <w:b/>
        <w:color w:val="FF0000"/>
        <w:sz w:val="22"/>
      </w:rPr>
    </w:pPr>
  </w:p>
  <w:p w14:paraId="15216F01" w14:textId="0A3AB8A5" w:rsidR="0059421F" w:rsidRPr="00164EA4" w:rsidRDefault="0059421F" w:rsidP="00164EA4">
    <w:pPr>
      <w:pStyle w:val="Footer"/>
      <w:jc w:val="center"/>
      <w:rPr>
        <w:rFonts w:asciiTheme="minorHAnsi" w:hAnsiTheme="minorHAnsi" w:cstheme="minorHAnsi"/>
        <w:b/>
      </w:rPr>
    </w:pPr>
    <w:r w:rsidRPr="00164EA4">
      <w:rPr>
        <w:rFonts w:asciiTheme="minorHAnsi" w:hAnsiTheme="minorHAnsi" w:cstheme="minorHAnsi"/>
        <w:b/>
        <w:noProof/>
        <w:color w:val="FF0000"/>
        <w:sz w:val="14"/>
        <w:szCs w:val="16"/>
        <w:lang w:eastAsia="en-AU"/>
      </w:rPr>
      <w:drawing>
        <wp:anchor distT="0" distB="0" distL="114300" distR="114300" simplePos="0" relativeHeight="251658240" behindDoc="1" locked="0" layoutInCell="1" allowOverlap="1" wp14:anchorId="15216F06" wp14:editId="45690B18">
          <wp:simplePos x="0" y="0"/>
          <wp:positionH relativeFrom="page">
            <wp:posOffset>11220</wp:posOffset>
          </wp:positionH>
          <wp:positionV relativeFrom="paragraph">
            <wp:posOffset>149349</wp:posOffset>
          </wp:positionV>
          <wp:extent cx="7541326" cy="278753"/>
          <wp:effectExtent l="0" t="0" r="0" b="7620"/>
          <wp:wrapNone/>
          <wp:docPr id="20" name="Picture 20" descr="Footer graphic with the URL for the Department of Industry and Science: industry.gov.au" title="Footer with the URL industry.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al_Word_update_slide_footer.jpg"/>
                  <pic:cNvPicPr/>
                </pic:nvPicPr>
                <pic:blipFill>
                  <a:blip r:embed="rId2">
                    <a:extLst>
                      <a:ext uri="{28A0092B-C50C-407E-A947-70E740481C1C}">
                        <a14:useLocalDpi xmlns:a14="http://schemas.microsoft.com/office/drawing/2010/main" val="0"/>
                      </a:ext>
                    </a:extLst>
                  </a:blip>
                  <a:stretch>
                    <a:fillRect/>
                  </a:stretch>
                </pic:blipFill>
                <pic:spPr>
                  <a:xfrm>
                    <a:off x="0" y="0"/>
                    <a:ext cx="7666839" cy="28339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77BB7C" w14:textId="77777777" w:rsidR="000B5601" w:rsidRDefault="000B5601" w:rsidP="00993AA7">
      <w:pPr>
        <w:spacing w:after="0"/>
      </w:pPr>
      <w:r>
        <w:separator/>
      </w:r>
    </w:p>
  </w:footnote>
  <w:footnote w:type="continuationSeparator" w:id="0">
    <w:p w14:paraId="4EC7AA93" w14:textId="77777777" w:rsidR="000B5601" w:rsidRDefault="000B5601" w:rsidP="00993AA7">
      <w:pPr>
        <w:spacing w:after="0"/>
      </w:pPr>
      <w:r>
        <w:continuationSeparator/>
      </w:r>
    </w:p>
  </w:footnote>
  <w:footnote w:type="continuationNotice" w:id="1">
    <w:p w14:paraId="3CE73946" w14:textId="77777777" w:rsidR="000B5601" w:rsidRDefault="000B560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D9A17" w14:textId="3B58BB29" w:rsidR="00A62060" w:rsidRDefault="0059421F" w:rsidP="00164EA4">
    <w:pPr>
      <w:pStyle w:val="Header"/>
      <w:jc w:val="center"/>
    </w:pPr>
    <w:r>
      <w:rPr>
        <w:noProof/>
        <w:lang w:eastAsia="en-AU"/>
      </w:rPr>
      <w:drawing>
        <wp:inline distT="0" distB="0" distL="0" distR="0" wp14:anchorId="5988D39A" wp14:editId="45BF5D7B">
          <wp:extent cx="3145244" cy="87559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209940" cy="8936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8368A"/>
    <w:multiLevelType w:val="hybridMultilevel"/>
    <w:tmpl w:val="2F460E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3AF74B5E"/>
    <w:multiLevelType w:val="hybridMultilevel"/>
    <w:tmpl w:val="DF904144"/>
    <w:lvl w:ilvl="0" w:tplc="32E4E2B0">
      <w:start w:val="1"/>
      <w:numFmt w:val="bullet"/>
      <w:pStyle w:val="Answer"/>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1FD506A"/>
    <w:multiLevelType w:val="hybridMultilevel"/>
    <w:tmpl w:val="7A3E373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42F73C33"/>
    <w:multiLevelType w:val="hybridMultilevel"/>
    <w:tmpl w:val="FAAE90CA"/>
    <w:lvl w:ilvl="0" w:tplc="2756618A">
      <w:start w:val="1"/>
      <w:numFmt w:val="bullet"/>
      <w:pStyle w:val="Tablebullet1stlevel"/>
      <w:lvlText w:val=""/>
      <w:lvlJc w:val="left"/>
      <w:pPr>
        <w:ind w:left="720" w:hanging="360"/>
      </w:pPr>
      <w:rPr>
        <w:rFonts w:ascii="Symbol" w:hAnsi="Symbol" w:hint="default"/>
      </w:rPr>
    </w:lvl>
    <w:lvl w:ilvl="1" w:tplc="22266656">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62B46412"/>
    <w:multiLevelType w:val="hybridMultilevel"/>
    <w:tmpl w:val="9FC01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C252209"/>
    <w:multiLevelType w:val="hybridMultilevel"/>
    <w:tmpl w:val="81365712"/>
    <w:lvl w:ilvl="0" w:tplc="6C182C9A">
      <w:start w:val="1"/>
      <w:numFmt w:val="bullet"/>
      <w:pStyle w:val="Bullet-2ndlevel"/>
      <w:lvlText w:val=""/>
      <w:lvlJc w:val="left"/>
      <w:pPr>
        <w:ind w:left="907" w:hanging="283"/>
      </w:pPr>
      <w:rPr>
        <w:rFonts w:ascii="Symbol" w:hAnsi="Symbol" w:hint="default"/>
        <w:b/>
        <w:bCs/>
        <w:i w:val="0"/>
        <w:iCs w:val="0"/>
        <w:color w:val="005677"/>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F20F54"/>
    <w:multiLevelType w:val="hybridMultilevel"/>
    <w:tmpl w:val="54D2929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7B8D2B9F"/>
    <w:multiLevelType w:val="hybridMultilevel"/>
    <w:tmpl w:val="664AB05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211" w:hanging="360"/>
      </w:pPr>
      <w:rPr>
        <w:rFonts w:ascii="Courier New" w:hAnsi="Courier New" w:cs="Courier New" w:hint="default"/>
      </w:rPr>
    </w:lvl>
    <w:lvl w:ilvl="2" w:tplc="0C090005">
      <w:start w:val="1"/>
      <w:numFmt w:val="bullet"/>
      <w:lvlText w:val=""/>
      <w:lvlJc w:val="left"/>
      <w:pPr>
        <w:ind w:left="1778"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num w:numId="1">
    <w:abstractNumId w:val="3"/>
  </w:num>
  <w:num w:numId="2">
    <w:abstractNumId w:val="1"/>
  </w:num>
  <w:num w:numId="3">
    <w:abstractNumId w:val="5"/>
  </w:num>
  <w:num w:numId="4">
    <w:abstractNumId w:val="7"/>
  </w:num>
  <w:num w:numId="5">
    <w:abstractNumId w:val="6"/>
  </w:num>
  <w:num w:numId="6">
    <w:abstractNumId w:val="0"/>
  </w:num>
  <w:num w:numId="7">
    <w:abstractNumId w:val="2"/>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AA7"/>
    <w:rsid w:val="000000A8"/>
    <w:rsid w:val="00000ECC"/>
    <w:rsid w:val="000021E2"/>
    <w:rsid w:val="00002999"/>
    <w:rsid w:val="00002AD3"/>
    <w:rsid w:val="00002E3B"/>
    <w:rsid w:val="0000619C"/>
    <w:rsid w:val="00006B77"/>
    <w:rsid w:val="00010369"/>
    <w:rsid w:val="00010458"/>
    <w:rsid w:val="00013EE7"/>
    <w:rsid w:val="0001599D"/>
    <w:rsid w:val="00016B14"/>
    <w:rsid w:val="0002229F"/>
    <w:rsid w:val="00024094"/>
    <w:rsid w:val="00031E15"/>
    <w:rsid w:val="00031E55"/>
    <w:rsid w:val="00040000"/>
    <w:rsid w:val="00041038"/>
    <w:rsid w:val="0004331D"/>
    <w:rsid w:val="0004716E"/>
    <w:rsid w:val="000508F0"/>
    <w:rsid w:val="00053D58"/>
    <w:rsid w:val="000555C9"/>
    <w:rsid w:val="000574A2"/>
    <w:rsid w:val="00057A48"/>
    <w:rsid w:val="000604AC"/>
    <w:rsid w:val="000611DB"/>
    <w:rsid w:val="0006332A"/>
    <w:rsid w:val="00063914"/>
    <w:rsid w:val="00064B43"/>
    <w:rsid w:val="000714A8"/>
    <w:rsid w:val="00071B65"/>
    <w:rsid w:val="00073660"/>
    <w:rsid w:val="000740A6"/>
    <w:rsid w:val="0007703B"/>
    <w:rsid w:val="00080699"/>
    <w:rsid w:val="00084592"/>
    <w:rsid w:val="00085DD2"/>
    <w:rsid w:val="00087F39"/>
    <w:rsid w:val="00092DB5"/>
    <w:rsid w:val="00093023"/>
    <w:rsid w:val="000960B5"/>
    <w:rsid w:val="00097324"/>
    <w:rsid w:val="00097B6C"/>
    <w:rsid w:val="000A06B0"/>
    <w:rsid w:val="000A0B6F"/>
    <w:rsid w:val="000A2FB0"/>
    <w:rsid w:val="000A3A70"/>
    <w:rsid w:val="000A40D8"/>
    <w:rsid w:val="000A5381"/>
    <w:rsid w:val="000A6D4D"/>
    <w:rsid w:val="000B312A"/>
    <w:rsid w:val="000B5601"/>
    <w:rsid w:val="000B79FE"/>
    <w:rsid w:val="000B7C79"/>
    <w:rsid w:val="000B7D84"/>
    <w:rsid w:val="000C046E"/>
    <w:rsid w:val="000C0565"/>
    <w:rsid w:val="000C427A"/>
    <w:rsid w:val="000D023F"/>
    <w:rsid w:val="000D256E"/>
    <w:rsid w:val="000D3F5E"/>
    <w:rsid w:val="000D4402"/>
    <w:rsid w:val="000D49D5"/>
    <w:rsid w:val="000D71A0"/>
    <w:rsid w:val="000D73A8"/>
    <w:rsid w:val="000E23C0"/>
    <w:rsid w:val="000E5A1E"/>
    <w:rsid w:val="000E766F"/>
    <w:rsid w:val="001042D1"/>
    <w:rsid w:val="0010489A"/>
    <w:rsid w:val="00106E92"/>
    <w:rsid w:val="00111EFB"/>
    <w:rsid w:val="00113644"/>
    <w:rsid w:val="00113778"/>
    <w:rsid w:val="00113D79"/>
    <w:rsid w:val="00117543"/>
    <w:rsid w:val="0012158E"/>
    <w:rsid w:val="00124226"/>
    <w:rsid w:val="00125E2B"/>
    <w:rsid w:val="0013293E"/>
    <w:rsid w:val="00132D2C"/>
    <w:rsid w:val="00132D8D"/>
    <w:rsid w:val="00132EC3"/>
    <w:rsid w:val="001366E2"/>
    <w:rsid w:val="001412A9"/>
    <w:rsid w:val="001442EE"/>
    <w:rsid w:val="00145388"/>
    <w:rsid w:val="00145E07"/>
    <w:rsid w:val="00146E8A"/>
    <w:rsid w:val="0014795C"/>
    <w:rsid w:val="00150F8D"/>
    <w:rsid w:val="00152F11"/>
    <w:rsid w:val="001545BD"/>
    <w:rsid w:val="00154918"/>
    <w:rsid w:val="001571E6"/>
    <w:rsid w:val="001577E8"/>
    <w:rsid w:val="00160D49"/>
    <w:rsid w:val="00164E7B"/>
    <w:rsid w:val="00164EA4"/>
    <w:rsid w:val="00165A89"/>
    <w:rsid w:val="00166297"/>
    <w:rsid w:val="00167740"/>
    <w:rsid w:val="00167AE3"/>
    <w:rsid w:val="00170C9E"/>
    <w:rsid w:val="00170D11"/>
    <w:rsid w:val="00172395"/>
    <w:rsid w:val="00174BD7"/>
    <w:rsid w:val="001761F2"/>
    <w:rsid w:val="00176720"/>
    <w:rsid w:val="00180B1F"/>
    <w:rsid w:val="00184D7D"/>
    <w:rsid w:val="00186B99"/>
    <w:rsid w:val="00187F26"/>
    <w:rsid w:val="001900BF"/>
    <w:rsid w:val="00190B49"/>
    <w:rsid w:val="00190BC6"/>
    <w:rsid w:val="0019656D"/>
    <w:rsid w:val="001A1660"/>
    <w:rsid w:val="001A4315"/>
    <w:rsid w:val="001A48CE"/>
    <w:rsid w:val="001A5CE2"/>
    <w:rsid w:val="001A5D7E"/>
    <w:rsid w:val="001A7711"/>
    <w:rsid w:val="001B1F19"/>
    <w:rsid w:val="001B466D"/>
    <w:rsid w:val="001B4A2A"/>
    <w:rsid w:val="001C0AE9"/>
    <w:rsid w:val="001D3858"/>
    <w:rsid w:val="001D3C7A"/>
    <w:rsid w:val="001D4698"/>
    <w:rsid w:val="001D646C"/>
    <w:rsid w:val="001D7BF3"/>
    <w:rsid w:val="001E17AE"/>
    <w:rsid w:val="001E2EB8"/>
    <w:rsid w:val="001E453E"/>
    <w:rsid w:val="001E46D1"/>
    <w:rsid w:val="001E6850"/>
    <w:rsid w:val="001E7E88"/>
    <w:rsid w:val="001F0C86"/>
    <w:rsid w:val="001F1174"/>
    <w:rsid w:val="001F1938"/>
    <w:rsid w:val="001F596C"/>
    <w:rsid w:val="001F7CE1"/>
    <w:rsid w:val="001F7FCD"/>
    <w:rsid w:val="00201BFD"/>
    <w:rsid w:val="0020447A"/>
    <w:rsid w:val="002049C5"/>
    <w:rsid w:val="00206EE5"/>
    <w:rsid w:val="002102B7"/>
    <w:rsid w:val="00211AF8"/>
    <w:rsid w:val="00212083"/>
    <w:rsid w:val="002134A5"/>
    <w:rsid w:val="002134C9"/>
    <w:rsid w:val="00217AB9"/>
    <w:rsid w:val="00230DEF"/>
    <w:rsid w:val="002319A1"/>
    <w:rsid w:val="00235F58"/>
    <w:rsid w:val="00240071"/>
    <w:rsid w:val="00241210"/>
    <w:rsid w:val="00242434"/>
    <w:rsid w:val="00242784"/>
    <w:rsid w:val="00254A1B"/>
    <w:rsid w:val="00254F36"/>
    <w:rsid w:val="00255745"/>
    <w:rsid w:val="00255FA7"/>
    <w:rsid w:val="002572A2"/>
    <w:rsid w:val="00257C38"/>
    <w:rsid w:val="00271B1B"/>
    <w:rsid w:val="00272E85"/>
    <w:rsid w:val="0027325F"/>
    <w:rsid w:val="00275B0D"/>
    <w:rsid w:val="00277D87"/>
    <w:rsid w:val="00280F49"/>
    <w:rsid w:val="002820A3"/>
    <w:rsid w:val="00283106"/>
    <w:rsid w:val="002854B9"/>
    <w:rsid w:val="0029234F"/>
    <w:rsid w:val="00293304"/>
    <w:rsid w:val="0029334B"/>
    <w:rsid w:val="00295B7E"/>
    <w:rsid w:val="002A2058"/>
    <w:rsid w:val="002A3171"/>
    <w:rsid w:val="002A34A4"/>
    <w:rsid w:val="002A7E9F"/>
    <w:rsid w:val="002B13D5"/>
    <w:rsid w:val="002B279A"/>
    <w:rsid w:val="002B46EB"/>
    <w:rsid w:val="002B7E60"/>
    <w:rsid w:val="002C01FC"/>
    <w:rsid w:val="002C592D"/>
    <w:rsid w:val="002C61F6"/>
    <w:rsid w:val="002D0871"/>
    <w:rsid w:val="002D2503"/>
    <w:rsid w:val="002D266E"/>
    <w:rsid w:val="002D2AF9"/>
    <w:rsid w:val="002D3B88"/>
    <w:rsid w:val="002E1E2F"/>
    <w:rsid w:val="002E3308"/>
    <w:rsid w:val="002E34CE"/>
    <w:rsid w:val="002E40BF"/>
    <w:rsid w:val="002E5D25"/>
    <w:rsid w:val="002E7093"/>
    <w:rsid w:val="002F0C6C"/>
    <w:rsid w:val="002F0EE9"/>
    <w:rsid w:val="002F2FA6"/>
    <w:rsid w:val="002F3A50"/>
    <w:rsid w:val="002F48CD"/>
    <w:rsid w:val="002F5152"/>
    <w:rsid w:val="003005B6"/>
    <w:rsid w:val="00301ED5"/>
    <w:rsid w:val="003055EF"/>
    <w:rsid w:val="00306188"/>
    <w:rsid w:val="00306795"/>
    <w:rsid w:val="003072A6"/>
    <w:rsid w:val="003075B7"/>
    <w:rsid w:val="00307A5B"/>
    <w:rsid w:val="003116FC"/>
    <w:rsid w:val="00314866"/>
    <w:rsid w:val="00315E0C"/>
    <w:rsid w:val="00317266"/>
    <w:rsid w:val="003222FB"/>
    <w:rsid w:val="00323E60"/>
    <w:rsid w:val="00331F80"/>
    <w:rsid w:val="00335FEB"/>
    <w:rsid w:val="00337EC9"/>
    <w:rsid w:val="00340D55"/>
    <w:rsid w:val="003428C9"/>
    <w:rsid w:val="00342AA5"/>
    <w:rsid w:val="00345BD6"/>
    <w:rsid w:val="00345FF5"/>
    <w:rsid w:val="0034621A"/>
    <w:rsid w:val="0035277F"/>
    <w:rsid w:val="0035294F"/>
    <w:rsid w:val="00354EBE"/>
    <w:rsid w:val="00357739"/>
    <w:rsid w:val="0036049F"/>
    <w:rsid w:val="003607C8"/>
    <w:rsid w:val="00360ABB"/>
    <w:rsid w:val="003663F6"/>
    <w:rsid w:val="00366672"/>
    <w:rsid w:val="00367D82"/>
    <w:rsid w:val="003724CB"/>
    <w:rsid w:val="00372866"/>
    <w:rsid w:val="003750E9"/>
    <w:rsid w:val="003756DB"/>
    <w:rsid w:val="00376CFC"/>
    <w:rsid w:val="00377A63"/>
    <w:rsid w:val="00383EBE"/>
    <w:rsid w:val="0038494B"/>
    <w:rsid w:val="00386DC5"/>
    <w:rsid w:val="00390C6F"/>
    <w:rsid w:val="00395959"/>
    <w:rsid w:val="003A2E57"/>
    <w:rsid w:val="003A31B7"/>
    <w:rsid w:val="003A3E27"/>
    <w:rsid w:val="003A4B3E"/>
    <w:rsid w:val="003A6F42"/>
    <w:rsid w:val="003A71F4"/>
    <w:rsid w:val="003B028E"/>
    <w:rsid w:val="003B0AF6"/>
    <w:rsid w:val="003B17DB"/>
    <w:rsid w:val="003B22DA"/>
    <w:rsid w:val="003B2410"/>
    <w:rsid w:val="003B344C"/>
    <w:rsid w:val="003B35CB"/>
    <w:rsid w:val="003B3751"/>
    <w:rsid w:val="003B5778"/>
    <w:rsid w:val="003B5BAD"/>
    <w:rsid w:val="003B6EF9"/>
    <w:rsid w:val="003C0190"/>
    <w:rsid w:val="003C1338"/>
    <w:rsid w:val="003C4A4B"/>
    <w:rsid w:val="003D280B"/>
    <w:rsid w:val="003D2E66"/>
    <w:rsid w:val="003D4F27"/>
    <w:rsid w:val="003D773F"/>
    <w:rsid w:val="003E04A0"/>
    <w:rsid w:val="003E0D22"/>
    <w:rsid w:val="003E31D7"/>
    <w:rsid w:val="003E437D"/>
    <w:rsid w:val="003E601D"/>
    <w:rsid w:val="003E6647"/>
    <w:rsid w:val="003E688F"/>
    <w:rsid w:val="003E699F"/>
    <w:rsid w:val="003E7C2C"/>
    <w:rsid w:val="003F05B0"/>
    <w:rsid w:val="003F320E"/>
    <w:rsid w:val="003F5239"/>
    <w:rsid w:val="004006C8"/>
    <w:rsid w:val="00400BCB"/>
    <w:rsid w:val="00406796"/>
    <w:rsid w:val="00407A64"/>
    <w:rsid w:val="004136FA"/>
    <w:rsid w:val="00420034"/>
    <w:rsid w:val="0042774D"/>
    <w:rsid w:val="00427E78"/>
    <w:rsid w:val="00431453"/>
    <w:rsid w:val="0043176D"/>
    <w:rsid w:val="00432509"/>
    <w:rsid w:val="00432A18"/>
    <w:rsid w:val="004340D5"/>
    <w:rsid w:val="00441093"/>
    <w:rsid w:val="00451CE9"/>
    <w:rsid w:val="00452E49"/>
    <w:rsid w:val="00453B2F"/>
    <w:rsid w:val="004566B6"/>
    <w:rsid w:val="00456836"/>
    <w:rsid w:val="00456CEE"/>
    <w:rsid w:val="00456D57"/>
    <w:rsid w:val="00457D51"/>
    <w:rsid w:val="004647F4"/>
    <w:rsid w:val="0046583F"/>
    <w:rsid w:val="004660D6"/>
    <w:rsid w:val="004666A2"/>
    <w:rsid w:val="00466AA7"/>
    <w:rsid w:val="00467ECE"/>
    <w:rsid w:val="00470855"/>
    <w:rsid w:val="00472A67"/>
    <w:rsid w:val="00473707"/>
    <w:rsid w:val="0047392F"/>
    <w:rsid w:val="00476707"/>
    <w:rsid w:val="004770B3"/>
    <w:rsid w:val="004770ED"/>
    <w:rsid w:val="00477600"/>
    <w:rsid w:val="00480010"/>
    <w:rsid w:val="0048470C"/>
    <w:rsid w:val="004854DD"/>
    <w:rsid w:val="00490AF2"/>
    <w:rsid w:val="00496A3B"/>
    <w:rsid w:val="0049707A"/>
    <w:rsid w:val="00497B3B"/>
    <w:rsid w:val="004A3C13"/>
    <w:rsid w:val="004A7D1B"/>
    <w:rsid w:val="004B010F"/>
    <w:rsid w:val="004B261D"/>
    <w:rsid w:val="004B54E8"/>
    <w:rsid w:val="004B5956"/>
    <w:rsid w:val="004C04C9"/>
    <w:rsid w:val="004C2768"/>
    <w:rsid w:val="004C317D"/>
    <w:rsid w:val="004C7D8A"/>
    <w:rsid w:val="004D6162"/>
    <w:rsid w:val="004D64F8"/>
    <w:rsid w:val="004E109D"/>
    <w:rsid w:val="004E1156"/>
    <w:rsid w:val="004E3AFD"/>
    <w:rsid w:val="004E5A1C"/>
    <w:rsid w:val="004E65A8"/>
    <w:rsid w:val="004F003F"/>
    <w:rsid w:val="004F0286"/>
    <w:rsid w:val="004F0F1A"/>
    <w:rsid w:val="004F1386"/>
    <w:rsid w:val="004F1BED"/>
    <w:rsid w:val="004F5E06"/>
    <w:rsid w:val="004F6BE0"/>
    <w:rsid w:val="00500171"/>
    <w:rsid w:val="0050068B"/>
    <w:rsid w:val="00502EA7"/>
    <w:rsid w:val="00506A25"/>
    <w:rsid w:val="00511C1D"/>
    <w:rsid w:val="00512888"/>
    <w:rsid w:val="005138E5"/>
    <w:rsid w:val="0051475F"/>
    <w:rsid w:val="00515FEB"/>
    <w:rsid w:val="00516672"/>
    <w:rsid w:val="00516F7E"/>
    <w:rsid w:val="005214BD"/>
    <w:rsid w:val="0052185E"/>
    <w:rsid w:val="005249EE"/>
    <w:rsid w:val="005253A1"/>
    <w:rsid w:val="0052555B"/>
    <w:rsid w:val="00531A80"/>
    <w:rsid w:val="00534CF0"/>
    <w:rsid w:val="005353F0"/>
    <w:rsid w:val="0053644C"/>
    <w:rsid w:val="0053790B"/>
    <w:rsid w:val="00540577"/>
    <w:rsid w:val="00540C42"/>
    <w:rsid w:val="00545072"/>
    <w:rsid w:val="0054615A"/>
    <w:rsid w:val="00546CCA"/>
    <w:rsid w:val="00547EAC"/>
    <w:rsid w:val="00552372"/>
    <w:rsid w:val="00553392"/>
    <w:rsid w:val="00553D69"/>
    <w:rsid w:val="005558A2"/>
    <w:rsid w:val="00555BC2"/>
    <w:rsid w:val="0056097D"/>
    <w:rsid w:val="00560995"/>
    <w:rsid w:val="0056256F"/>
    <w:rsid w:val="0056312B"/>
    <w:rsid w:val="00565EA4"/>
    <w:rsid w:val="00566B57"/>
    <w:rsid w:val="00567FDF"/>
    <w:rsid w:val="005778BF"/>
    <w:rsid w:val="005778C3"/>
    <w:rsid w:val="00581672"/>
    <w:rsid w:val="00584791"/>
    <w:rsid w:val="00585BDD"/>
    <w:rsid w:val="00586E93"/>
    <w:rsid w:val="00587E01"/>
    <w:rsid w:val="00591FF4"/>
    <w:rsid w:val="0059421F"/>
    <w:rsid w:val="0059510D"/>
    <w:rsid w:val="005A064F"/>
    <w:rsid w:val="005A108B"/>
    <w:rsid w:val="005A3733"/>
    <w:rsid w:val="005A3ABC"/>
    <w:rsid w:val="005A3EFE"/>
    <w:rsid w:val="005B1B31"/>
    <w:rsid w:val="005B661A"/>
    <w:rsid w:val="005C6978"/>
    <w:rsid w:val="005D4198"/>
    <w:rsid w:val="005D480A"/>
    <w:rsid w:val="005D56C1"/>
    <w:rsid w:val="005D5AD7"/>
    <w:rsid w:val="005D6B24"/>
    <w:rsid w:val="005E11DD"/>
    <w:rsid w:val="005E2D60"/>
    <w:rsid w:val="005F03AC"/>
    <w:rsid w:val="005F0AEC"/>
    <w:rsid w:val="005F278C"/>
    <w:rsid w:val="005F58CF"/>
    <w:rsid w:val="005F7FAB"/>
    <w:rsid w:val="00600C20"/>
    <w:rsid w:val="006010FD"/>
    <w:rsid w:val="00606631"/>
    <w:rsid w:val="00610041"/>
    <w:rsid w:val="00615C2B"/>
    <w:rsid w:val="00620650"/>
    <w:rsid w:val="0062080D"/>
    <w:rsid w:val="00622DC9"/>
    <w:rsid w:val="006261CE"/>
    <w:rsid w:val="006303A1"/>
    <w:rsid w:val="00631311"/>
    <w:rsid w:val="00631482"/>
    <w:rsid w:val="006316C5"/>
    <w:rsid w:val="006341E3"/>
    <w:rsid w:val="00634820"/>
    <w:rsid w:val="0063528C"/>
    <w:rsid w:val="006353D2"/>
    <w:rsid w:val="0063632F"/>
    <w:rsid w:val="00636364"/>
    <w:rsid w:val="00640683"/>
    <w:rsid w:val="006428E5"/>
    <w:rsid w:val="00644687"/>
    <w:rsid w:val="006464AD"/>
    <w:rsid w:val="00647061"/>
    <w:rsid w:val="00647A67"/>
    <w:rsid w:val="0065060C"/>
    <w:rsid w:val="00650A36"/>
    <w:rsid w:val="00651436"/>
    <w:rsid w:val="00651465"/>
    <w:rsid w:val="00652B94"/>
    <w:rsid w:val="006537BE"/>
    <w:rsid w:val="006545D1"/>
    <w:rsid w:val="00663553"/>
    <w:rsid w:val="006642E6"/>
    <w:rsid w:val="00665F96"/>
    <w:rsid w:val="006670B6"/>
    <w:rsid w:val="00672B07"/>
    <w:rsid w:val="006754BB"/>
    <w:rsid w:val="00676010"/>
    <w:rsid w:val="00676260"/>
    <w:rsid w:val="006778EF"/>
    <w:rsid w:val="00683137"/>
    <w:rsid w:val="0068504B"/>
    <w:rsid w:val="0068598D"/>
    <w:rsid w:val="00685A27"/>
    <w:rsid w:val="00686291"/>
    <w:rsid w:val="00690870"/>
    <w:rsid w:val="006928F6"/>
    <w:rsid w:val="00696271"/>
    <w:rsid w:val="00696711"/>
    <w:rsid w:val="006B2230"/>
    <w:rsid w:val="006B3D05"/>
    <w:rsid w:val="006B4AEE"/>
    <w:rsid w:val="006B5C2E"/>
    <w:rsid w:val="006B6189"/>
    <w:rsid w:val="006B62DE"/>
    <w:rsid w:val="006C29B6"/>
    <w:rsid w:val="006C3115"/>
    <w:rsid w:val="006C33C7"/>
    <w:rsid w:val="006C4D87"/>
    <w:rsid w:val="006C52EB"/>
    <w:rsid w:val="006C564F"/>
    <w:rsid w:val="006C7AAB"/>
    <w:rsid w:val="006D0243"/>
    <w:rsid w:val="006D1A54"/>
    <w:rsid w:val="006D26EE"/>
    <w:rsid w:val="006D498D"/>
    <w:rsid w:val="006E0880"/>
    <w:rsid w:val="006E5360"/>
    <w:rsid w:val="006E5A30"/>
    <w:rsid w:val="006E626B"/>
    <w:rsid w:val="006F1886"/>
    <w:rsid w:val="006F3304"/>
    <w:rsid w:val="006F346F"/>
    <w:rsid w:val="006F5540"/>
    <w:rsid w:val="00702B67"/>
    <w:rsid w:val="007035E0"/>
    <w:rsid w:val="0070592F"/>
    <w:rsid w:val="00705E45"/>
    <w:rsid w:val="00706CF1"/>
    <w:rsid w:val="00710E4B"/>
    <w:rsid w:val="00712491"/>
    <w:rsid w:val="00713682"/>
    <w:rsid w:val="007211DF"/>
    <w:rsid w:val="00721A4E"/>
    <w:rsid w:val="007241C0"/>
    <w:rsid w:val="007258AC"/>
    <w:rsid w:val="00727033"/>
    <w:rsid w:val="007302D2"/>
    <w:rsid w:val="007317F3"/>
    <w:rsid w:val="00731F58"/>
    <w:rsid w:val="00732DA1"/>
    <w:rsid w:val="00734BBD"/>
    <w:rsid w:val="00735A37"/>
    <w:rsid w:val="007511ED"/>
    <w:rsid w:val="00752207"/>
    <w:rsid w:val="00762AC0"/>
    <w:rsid w:val="0076456C"/>
    <w:rsid w:val="007701EF"/>
    <w:rsid w:val="0077118B"/>
    <w:rsid w:val="00776084"/>
    <w:rsid w:val="00777EB0"/>
    <w:rsid w:val="00780A7A"/>
    <w:rsid w:val="00781AD5"/>
    <w:rsid w:val="00785977"/>
    <w:rsid w:val="00792DF2"/>
    <w:rsid w:val="00794076"/>
    <w:rsid w:val="007955BB"/>
    <w:rsid w:val="007957D1"/>
    <w:rsid w:val="00795D28"/>
    <w:rsid w:val="0079602E"/>
    <w:rsid w:val="0079619A"/>
    <w:rsid w:val="00796329"/>
    <w:rsid w:val="007A17A4"/>
    <w:rsid w:val="007A1A3A"/>
    <w:rsid w:val="007A1FF5"/>
    <w:rsid w:val="007A386A"/>
    <w:rsid w:val="007A4719"/>
    <w:rsid w:val="007A48F8"/>
    <w:rsid w:val="007A6BBD"/>
    <w:rsid w:val="007B1390"/>
    <w:rsid w:val="007B651A"/>
    <w:rsid w:val="007B7CC3"/>
    <w:rsid w:val="007C344D"/>
    <w:rsid w:val="007C6851"/>
    <w:rsid w:val="007C6922"/>
    <w:rsid w:val="007C71DF"/>
    <w:rsid w:val="007D1A05"/>
    <w:rsid w:val="007D243D"/>
    <w:rsid w:val="007D44C1"/>
    <w:rsid w:val="007D61E4"/>
    <w:rsid w:val="007D674D"/>
    <w:rsid w:val="007D68E8"/>
    <w:rsid w:val="007E59C1"/>
    <w:rsid w:val="007E743D"/>
    <w:rsid w:val="007E7C6B"/>
    <w:rsid w:val="007F08DB"/>
    <w:rsid w:val="007F1647"/>
    <w:rsid w:val="007F4A81"/>
    <w:rsid w:val="007F5EF0"/>
    <w:rsid w:val="007F630B"/>
    <w:rsid w:val="00801046"/>
    <w:rsid w:val="0080138A"/>
    <w:rsid w:val="008014D1"/>
    <w:rsid w:val="0080324B"/>
    <w:rsid w:val="0080414B"/>
    <w:rsid w:val="00805F02"/>
    <w:rsid w:val="00816ED7"/>
    <w:rsid w:val="0081748D"/>
    <w:rsid w:val="00820386"/>
    <w:rsid w:val="00820779"/>
    <w:rsid w:val="00820DC8"/>
    <w:rsid w:val="008219E4"/>
    <w:rsid w:val="00822176"/>
    <w:rsid w:val="0082254C"/>
    <w:rsid w:val="00825F99"/>
    <w:rsid w:val="0082757B"/>
    <w:rsid w:val="008275E3"/>
    <w:rsid w:val="0083528D"/>
    <w:rsid w:val="008355BA"/>
    <w:rsid w:val="0083692F"/>
    <w:rsid w:val="00837FFE"/>
    <w:rsid w:val="008426BE"/>
    <w:rsid w:val="008440DB"/>
    <w:rsid w:val="0084494C"/>
    <w:rsid w:val="00853F3D"/>
    <w:rsid w:val="00854797"/>
    <w:rsid w:val="00854FD6"/>
    <w:rsid w:val="0085634C"/>
    <w:rsid w:val="00856EB2"/>
    <w:rsid w:val="00857D66"/>
    <w:rsid w:val="0086025F"/>
    <w:rsid w:val="00860F41"/>
    <w:rsid w:val="0086133B"/>
    <w:rsid w:val="00862916"/>
    <w:rsid w:val="00865BC7"/>
    <w:rsid w:val="008725DC"/>
    <w:rsid w:val="00886CA6"/>
    <w:rsid w:val="008876BA"/>
    <w:rsid w:val="00887931"/>
    <w:rsid w:val="008901B3"/>
    <w:rsid w:val="00893365"/>
    <w:rsid w:val="00893BCF"/>
    <w:rsid w:val="00893F71"/>
    <w:rsid w:val="008946C8"/>
    <w:rsid w:val="008949D9"/>
    <w:rsid w:val="00896DB7"/>
    <w:rsid w:val="008A2DC6"/>
    <w:rsid w:val="008B2309"/>
    <w:rsid w:val="008B5247"/>
    <w:rsid w:val="008B6411"/>
    <w:rsid w:val="008B76D2"/>
    <w:rsid w:val="008C34B8"/>
    <w:rsid w:val="008C5393"/>
    <w:rsid w:val="008D085B"/>
    <w:rsid w:val="008D2C19"/>
    <w:rsid w:val="008D3CC9"/>
    <w:rsid w:val="008D574D"/>
    <w:rsid w:val="008E1625"/>
    <w:rsid w:val="008E168A"/>
    <w:rsid w:val="008E2A84"/>
    <w:rsid w:val="008E3F4D"/>
    <w:rsid w:val="008E44F3"/>
    <w:rsid w:val="008E5B84"/>
    <w:rsid w:val="008E6743"/>
    <w:rsid w:val="008E6924"/>
    <w:rsid w:val="008F2397"/>
    <w:rsid w:val="008F3306"/>
    <w:rsid w:val="008F4524"/>
    <w:rsid w:val="008F502E"/>
    <w:rsid w:val="008F5B1A"/>
    <w:rsid w:val="008F6C29"/>
    <w:rsid w:val="00900E96"/>
    <w:rsid w:val="00904E2F"/>
    <w:rsid w:val="00905629"/>
    <w:rsid w:val="00911CDF"/>
    <w:rsid w:val="009141E8"/>
    <w:rsid w:val="00914A4B"/>
    <w:rsid w:val="00917749"/>
    <w:rsid w:val="0092449D"/>
    <w:rsid w:val="009246C3"/>
    <w:rsid w:val="0092558B"/>
    <w:rsid w:val="009255E9"/>
    <w:rsid w:val="00926507"/>
    <w:rsid w:val="0093085C"/>
    <w:rsid w:val="009338E2"/>
    <w:rsid w:val="0094185C"/>
    <w:rsid w:val="0094266A"/>
    <w:rsid w:val="00942B61"/>
    <w:rsid w:val="00943016"/>
    <w:rsid w:val="00943148"/>
    <w:rsid w:val="00951523"/>
    <w:rsid w:val="00954564"/>
    <w:rsid w:val="00954C0F"/>
    <w:rsid w:val="0095661F"/>
    <w:rsid w:val="00962DD2"/>
    <w:rsid w:val="009652E7"/>
    <w:rsid w:val="00966F6B"/>
    <w:rsid w:val="0097211E"/>
    <w:rsid w:val="00972AD8"/>
    <w:rsid w:val="00974666"/>
    <w:rsid w:val="00981E12"/>
    <w:rsid w:val="00983448"/>
    <w:rsid w:val="00983561"/>
    <w:rsid w:val="00984123"/>
    <w:rsid w:val="00985DA1"/>
    <w:rsid w:val="00987497"/>
    <w:rsid w:val="009876D6"/>
    <w:rsid w:val="00987EDC"/>
    <w:rsid w:val="00990B78"/>
    <w:rsid w:val="00991403"/>
    <w:rsid w:val="00993AA7"/>
    <w:rsid w:val="00995CEC"/>
    <w:rsid w:val="00996C84"/>
    <w:rsid w:val="009A08E1"/>
    <w:rsid w:val="009A2BC9"/>
    <w:rsid w:val="009A672E"/>
    <w:rsid w:val="009A7C0A"/>
    <w:rsid w:val="009B0403"/>
    <w:rsid w:val="009B089C"/>
    <w:rsid w:val="009B1A41"/>
    <w:rsid w:val="009B35D2"/>
    <w:rsid w:val="009B7C5C"/>
    <w:rsid w:val="009C028C"/>
    <w:rsid w:val="009C0A93"/>
    <w:rsid w:val="009C13DD"/>
    <w:rsid w:val="009C15AD"/>
    <w:rsid w:val="009C3F36"/>
    <w:rsid w:val="009C676B"/>
    <w:rsid w:val="009D174D"/>
    <w:rsid w:val="009D223C"/>
    <w:rsid w:val="009D4414"/>
    <w:rsid w:val="009D44CE"/>
    <w:rsid w:val="009D70D5"/>
    <w:rsid w:val="009D7B5B"/>
    <w:rsid w:val="009E1190"/>
    <w:rsid w:val="009E437A"/>
    <w:rsid w:val="009E4B3A"/>
    <w:rsid w:val="009E5386"/>
    <w:rsid w:val="009E7094"/>
    <w:rsid w:val="009E773A"/>
    <w:rsid w:val="009E7E46"/>
    <w:rsid w:val="009F0876"/>
    <w:rsid w:val="009F35A2"/>
    <w:rsid w:val="009F4051"/>
    <w:rsid w:val="009F55FC"/>
    <w:rsid w:val="009F70E9"/>
    <w:rsid w:val="009F7E77"/>
    <w:rsid w:val="00A0446B"/>
    <w:rsid w:val="00A10967"/>
    <w:rsid w:val="00A13D89"/>
    <w:rsid w:val="00A15C5D"/>
    <w:rsid w:val="00A1665B"/>
    <w:rsid w:val="00A207F9"/>
    <w:rsid w:val="00A21903"/>
    <w:rsid w:val="00A22228"/>
    <w:rsid w:val="00A24A64"/>
    <w:rsid w:val="00A25A6C"/>
    <w:rsid w:val="00A27C49"/>
    <w:rsid w:val="00A30034"/>
    <w:rsid w:val="00A307B2"/>
    <w:rsid w:val="00A30B86"/>
    <w:rsid w:val="00A30ECB"/>
    <w:rsid w:val="00A3126B"/>
    <w:rsid w:val="00A317E8"/>
    <w:rsid w:val="00A34189"/>
    <w:rsid w:val="00A3519D"/>
    <w:rsid w:val="00A41B05"/>
    <w:rsid w:val="00A430F4"/>
    <w:rsid w:val="00A448F2"/>
    <w:rsid w:val="00A46F21"/>
    <w:rsid w:val="00A474B6"/>
    <w:rsid w:val="00A505B8"/>
    <w:rsid w:val="00A52C74"/>
    <w:rsid w:val="00A549B5"/>
    <w:rsid w:val="00A55109"/>
    <w:rsid w:val="00A55E06"/>
    <w:rsid w:val="00A579FC"/>
    <w:rsid w:val="00A57F6D"/>
    <w:rsid w:val="00A62060"/>
    <w:rsid w:val="00A63DCC"/>
    <w:rsid w:val="00A64FD2"/>
    <w:rsid w:val="00A651D8"/>
    <w:rsid w:val="00A65BF3"/>
    <w:rsid w:val="00A672C2"/>
    <w:rsid w:val="00A736A8"/>
    <w:rsid w:val="00A747F1"/>
    <w:rsid w:val="00A75D74"/>
    <w:rsid w:val="00A776F8"/>
    <w:rsid w:val="00A81F78"/>
    <w:rsid w:val="00A820D6"/>
    <w:rsid w:val="00A84652"/>
    <w:rsid w:val="00A8653B"/>
    <w:rsid w:val="00A92B5A"/>
    <w:rsid w:val="00A93784"/>
    <w:rsid w:val="00A93B42"/>
    <w:rsid w:val="00A9408F"/>
    <w:rsid w:val="00A94476"/>
    <w:rsid w:val="00A971BA"/>
    <w:rsid w:val="00AA1611"/>
    <w:rsid w:val="00AA4335"/>
    <w:rsid w:val="00AB16BC"/>
    <w:rsid w:val="00AB3A17"/>
    <w:rsid w:val="00AB4E44"/>
    <w:rsid w:val="00AB53CB"/>
    <w:rsid w:val="00AC064C"/>
    <w:rsid w:val="00AC0E32"/>
    <w:rsid w:val="00AC12EC"/>
    <w:rsid w:val="00AC442B"/>
    <w:rsid w:val="00AC481F"/>
    <w:rsid w:val="00AC66E2"/>
    <w:rsid w:val="00AE1BA8"/>
    <w:rsid w:val="00AE4574"/>
    <w:rsid w:val="00AE6074"/>
    <w:rsid w:val="00AF0BAA"/>
    <w:rsid w:val="00AF126E"/>
    <w:rsid w:val="00AF6D77"/>
    <w:rsid w:val="00B011EF"/>
    <w:rsid w:val="00B03C69"/>
    <w:rsid w:val="00B05BA7"/>
    <w:rsid w:val="00B11521"/>
    <w:rsid w:val="00B13F70"/>
    <w:rsid w:val="00B14B9A"/>
    <w:rsid w:val="00B16B66"/>
    <w:rsid w:val="00B209CF"/>
    <w:rsid w:val="00B216A3"/>
    <w:rsid w:val="00B21903"/>
    <w:rsid w:val="00B21BFC"/>
    <w:rsid w:val="00B21EF4"/>
    <w:rsid w:val="00B2235E"/>
    <w:rsid w:val="00B23AFD"/>
    <w:rsid w:val="00B274EF"/>
    <w:rsid w:val="00B30039"/>
    <w:rsid w:val="00B31CC1"/>
    <w:rsid w:val="00B32F27"/>
    <w:rsid w:val="00B33234"/>
    <w:rsid w:val="00B34E2E"/>
    <w:rsid w:val="00B4032C"/>
    <w:rsid w:val="00B40947"/>
    <w:rsid w:val="00B4164A"/>
    <w:rsid w:val="00B45236"/>
    <w:rsid w:val="00B47ED5"/>
    <w:rsid w:val="00B535F9"/>
    <w:rsid w:val="00B6182B"/>
    <w:rsid w:val="00B61A16"/>
    <w:rsid w:val="00B64FE6"/>
    <w:rsid w:val="00B6674F"/>
    <w:rsid w:val="00B67B76"/>
    <w:rsid w:val="00B71CC5"/>
    <w:rsid w:val="00B737AA"/>
    <w:rsid w:val="00B75283"/>
    <w:rsid w:val="00B7674C"/>
    <w:rsid w:val="00B77780"/>
    <w:rsid w:val="00B80E13"/>
    <w:rsid w:val="00B82DB3"/>
    <w:rsid w:val="00B85791"/>
    <w:rsid w:val="00B867B1"/>
    <w:rsid w:val="00B869FD"/>
    <w:rsid w:val="00B8799F"/>
    <w:rsid w:val="00B87B23"/>
    <w:rsid w:val="00B93163"/>
    <w:rsid w:val="00BA34C9"/>
    <w:rsid w:val="00BB5843"/>
    <w:rsid w:val="00BC02C6"/>
    <w:rsid w:val="00BC0CCE"/>
    <w:rsid w:val="00BC0F4F"/>
    <w:rsid w:val="00BC1BA5"/>
    <w:rsid w:val="00BC30E5"/>
    <w:rsid w:val="00BC4B0D"/>
    <w:rsid w:val="00BC604D"/>
    <w:rsid w:val="00BC7083"/>
    <w:rsid w:val="00BD69CB"/>
    <w:rsid w:val="00BE3911"/>
    <w:rsid w:val="00BE3FFC"/>
    <w:rsid w:val="00BE551B"/>
    <w:rsid w:val="00BF0359"/>
    <w:rsid w:val="00BF2B4D"/>
    <w:rsid w:val="00BF61BF"/>
    <w:rsid w:val="00C01DCE"/>
    <w:rsid w:val="00C02ECB"/>
    <w:rsid w:val="00C03233"/>
    <w:rsid w:val="00C041CC"/>
    <w:rsid w:val="00C07945"/>
    <w:rsid w:val="00C10BD9"/>
    <w:rsid w:val="00C11231"/>
    <w:rsid w:val="00C1218A"/>
    <w:rsid w:val="00C13373"/>
    <w:rsid w:val="00C14333"/>
    <w:rsid w:val="00C14910"/>
    <w:rsid w:val="00C149EA"/>
    <w:rsid w:val="00C14E88"/>
    <w:rsid w:val="00C151CF"/>
    <w:rsid w:val="00C157E1"/>
    <w:rsid w:val="00C17E6C"/>
    <w:rsid w:val="00C20042"/>
    <w:rsid w:val="00C2140A"/>
    <w:rsid w:val="00C23DC0"/>
    <w:rsid w:val="00C3263E"/>
    <w:rsid w:val="00C32D79"/>
    <w:rsid w:val="00C36014"/>
    <w:rsid w:val="00C36D02"/>
    <w:rsid w:val="00C40B3E"/>
    <w:rsid w:val="00C41529"/>
    <w:rsid w:val="00C42CED"/>
    <w:rsid w:val="00C452CE"/>
    <w:rsid w:val="00C46E4D"/>
    <w:rsid w:val="00C47B5E"/>
    <w:rsid w:val="00C54643"/>
    <w:rsid w:val="00C56247"/>
    <w:rsid w:val="00C6133A"/>
    <w:rsid w:val="00C61749"/>
    <w:rsid w:val="00C61D43"/>
    <w:rsid w:val="00C64E2B"/>
    <w:rsid w:val="00C650D4"/>
    <w:rsid w:val="00C656A3"/>
    <w:rsid w:val="00C7160B"/>
    <w:rsid w:val="00C719C1"/>
    <w:rsid w:val="00C725D3"/>
    <w:rsid w:val="00C7401B"/>
    <w:rsid w:val="00C74CBE"/>
    <w:rsid w:val="00C74CCB"/>
    <w:rsid w:val="00C75E9B"/>
    <w:rsid w:val="00C761A4"/>
    <w:rsid w:val="00C801C0"/>
    <w:rsid w:val="00C811D6"/>
    <w:rsid w:val="00C829BD"/>
    <w:rsid w:val="00C82C41"/>
    <w:rsid w:val="00C835C6"/>
    <w:rsid w:val="00C83888"/>
    <w:rsid w:val="00C8581E"/>
    <w:rsid w:val="00C858C7"/>
    <w:rsid w:val="00C874B2"/>
    <w:rsid w:val="00C8753A"/>
    <w:rsid w:val="00C87F17"/>
    <w:rsid w:val="00C922E5"/>
    <w:rsid w:val="00C92B5D"/>
    <w:rsid w:val="00C94DD8"/>
    <w:rsid w:val="00CA0A04"/>
    <w:rsid w:val="00CA384A"/>
    <w:rsid w:val="00CA3BD0"/>
    <w:rsid w:val="00CA4C6B"/>
    <w:rsid w:val="00CA5961"/>
    <w:rsid w:val="00CA634B"/>
    <w:rsid w:val="00CB4EE5"/>
    <w:rsid w:val="00CB756C"/>
    <w:rsid w:val="00CB7B2D"/>
    <w:rsid w:val="00CC062A"/>
    <w:rsid w:val="00CC07FC"/>
    <w:rsid w:val="00CC25AE"/>
    <w:rsid w:val="00CC36F8"/>
    <w:rsid w:val="00CC384A"/>
    <w:rsid w:val="00CD0D3F"/>
    <w:rsid w:val="00CD2CD9"/>
    <w:rsid w:val="00CD3CA2"/>
    <w:rsid w:val="00CE0F6E"/>
    <w:rsid w:val="00CE2EC4"/>
    <w:rsid w:val="00CF4B1A"/>
    <w:rsid w:val="00CF53AA"/>
    <w:rsid w:val="00CF5E2D"/>
    <w:rsid w:val="00D0099E"/>
    <w:rsid w:val="00D01042"/>
    <w:rsid w:val="00D10978"/>
    <w:rsid w:val="00D11F82"/>
    <w:rsid w:val="00D16F1C"/>
    <w:rsid w:val="00D17C8F"/>
    <w:rsid w:val="00D21CA8"/>
    <w:rsid w:val="00D2280E"/>
    <w:rsid w:val="00D23642"/>
    <w:rsid w:val="00D270DD"/>
    <w:rsid w:val="00D27D93"/>
    <w:rsid w:val="00D27E76"/>
    <w:rsid w:val="00D32AB6"/>
    <w:rsid w:val="00D331AE"/>
    <w:rsid w:val="00D3431B"/>
    <w:rsid w:val="00D42336"/>
    <w:rsid w:val="00D428B0"/>
    <w:rsid w:val="00D4327D"/>
    <w:rsid w:val="00D437D1"/>
    <w:rsid w:val="00D44140"/>
    <w:rsid w:val="00D46CAB"/>
    <w:rsid w:val="00D46F8F"/>
    <w:rsid w:val="00D51147"/>
    <w:rsid w:val="00D51B99"/>
    <w:rsid w:val="00D53264"/>
    <w:rsid w:val="00D539C2"/>
    <w:rsid w:val="00D5518C"/>
    <w:rsid w:val="00D60AF4"/>
    <w:rsid w:val="00D613DD"/>
    <w:rsid w:val="00D62BB5"/>
    <w:rsid w:val="00D64631"/>
    <w:rsid w:val="00D70DD8"/>
    <w:rsid w:val="00D7178B"/>
    <w:rsid w:val="00D757D6"/>
    <w:rsid w:val="00D819CD"/>
    <w:rsid w:val="00D82714"/>
    <w:rsid w:val="00D82D2A"/>
    <w:rsid w:val="00D85A03"/>
    <w:rsid w:val="00D9006A"/>
    <w:rsid w:val="00D97FE6"/>
    <w:rsid w:val="00DA0D90"/>
    <w:rsid w:val="00DA1616"/>
    <w:rsid w:val="00DA52B0"/>
    <w:rsid w:val="00DA5F2F"/>
    <w:rsid w:val="00DA7F8F"/>
    <w:rsid w:val="00DB1DDB"/>
    <w:rsid w:val="00DB2DE3"/>
    <w:rsid w:val="00DB4465"/>
    <w:rsid w:val="00DB4AC8"/>
    <w:rsid w:val="00DB6219"/>
    <w:rsid w:val="00DC0541"/>
    <w:rsid w:val="00DC055A"/>
    <w:rsid w:val="00DC197D"/>
    <w:rsid w:val="00DC3842"/>
    <w:rsid w:val="00DC3F63"/>
    <w:rsid w:val="00DC4D66"/>
    <w:rsid w:val="00DC4F9C"/>
    <w:rsid w:val="00DD1B34"/>
    <w:rsid w:val="00DD1F5A"/>
    <w:rsid w:val="00DE0B5C"/>
    <w:rsid w:val="00DE1A79"/>
    <w:rsid w:val="00DE1C39"/>
    <w:rsid w:val="00DE1DBB"/>
    <w:rsid w:val="00DE2C86"/>
    <w:rsid w:val="00DE55EC"/>
    <w:rsid w:val="00DE5B76"/>
    <w:rsid w:val="00DF568A"/>
    <w:rsid w:val="00DF6603"/>
    <w:rsid w:val="00E028CF"/>
    <w:rsid w:val="00E02AE0"/>
    <w:rsid w:val="00E02BEC"/>
    <w:rsid w:val="00E057BA"/>
    <w:rsid w:val="00E103CE"/>
    <w:rsid w:val="00E10871"/>
    <w:rsid w:val="00E141FF"/>
    <w:rsid w:val="00E16FC1"/>
    <w:rsid w:val="00E177F5"/>
    <w:rsid w:val="00E22FB2"/>
    <w:rsid w:val="00E248A9"/>
    <w:rsid w:val="00E27ACE"/>
    <w:rsid w:val="00E27E16"/>
    <w:rsid w:val="00E31957"/>
    <w:rsid w:val="00E33179"/>
    <w:rsid w:val="00E3516C"/>
    <w:rsid w:val="00E36175"/>
    <w:rsid w:val="00E408A6"/>
    <w:rsid w:val="00E43C45"/>
    <w:rsid w:val="00E44DE1"/>
    <w:rsid w:val="00E45AAE"/>
    <w:rsid w:val="00E51256"/>
    <w:rsid w:val="00E513E2"/>
    <w:rsid w:val="00E55E25"/>
    <w:rsid w:val="00E564FE"/>
    <w:rsid w:val="00E574D5"/>
    <w:rsid w:val="00E6003E"/>
    <w:rsid w:val="00E73138"/>
    <w:rsid w:val="00E73698"/>
    <w:rsid w:val="00E814A3"/>
    <w:rsid w:val="00E84C5D"/>
    <w:rsid w:val="00E904C9"/>
    <w:rsid w:val="00E90919"/>
    <w:rsid w:val="00E91901"/>
    <w:rsid w:val="00E9214E"/>
    <w:rsid w:val="00E9234E"/>
    <w:rsid w:val="00E9493D"/>
    <w:rsid w:val="00E955C1"/>
    <w:rsid w:val="00EA06EF"/>
    <w:rsid w:val="00EA090C"/>
    <w:rsid w:val="00EA41EE"/>
    <w:rsid w:val="00EA469E"/>
    <w:rsid w:val="00EA7AB4"/>
    <w:rsid w:val="00EB016C"/>
    <w:rsid w:val="00EB0230"/>
    <w:rsid w:val="00EB17D3"/>
    <w:rsid w:val="00EB403D"/>
    <w:rsid w:val="00EB5F82"/>
    <w:rsid w:val="00EB6DE1"/>
    <w:rsid w:val="00EB7598"/>
    <w:rsid w:val="00EC1854"/>
    <w:rsid w:val="00EC1B37"/>
    <w:rsid w:val="00EC3502"/>
    <w:rsid w:val="00EC36C4"/>
    <w:rsid w:val="00EC45AC"/>
    <w:rsid w:val="00EC6D46"/>
    <w:rsid w:val="00ED27B7"/>
    <w:rsid w:val="00ED3A37"/>
    <w:rsid w:val="00ED4CCE"/>
    <w:rsid w:val="00ED5419"/>
    <w:rsid w:val="00ED55CC"/>
    <w:rsid w:val="00ED63BD"/>
    <w:rsid w:val="00EE2E4D"/>
    <w:rsid w:val="00EE7B4A"/>
    <w:rsid w:val="00EE7F45"/>
    <w:rsid w:val="00EF1706"/>
    <w:rsid w:val="00EF2504"/>
    <w:rsid w:val="00EF3306"/>
    <w:rsid w:val="00EF4AE7"/>
    <w:rsid w:val="00EF58E1"/>
    <w:rsid w:val="00EF5D17"/>
    <w:rsid w:val="00F00853"/>
    <w:rsid w:val="00F01C20"/>
    <w:rsid w:val="00F032CC"/>
    <w:rsid w:val="00F06570"/>
    <w:rsid w:val="00F06891"/>
    <w:rsid w:val="00F10874"/>
    <w:rsid w:val="00F13BD9"/>
    <w:rsid w:val="00F142E1"/>
    <w:rsid w:val="00F15A75"/>
    <w:rsid w:val="00F20F16"/>
    <w:rsid w:val="00F21489"/>
    <w:rsid w:val="00F233E3"/>
    <w:rsid w:val="00F24E81"/>
    <w:rsid w:val="00F25B7C"/>
    <w:rsid w:val="00F27EC5"/>
    <w:rsid w:val="00F31798"/>
    <w:rsid w:val="00F32390"/>
    <w:rsid w:val="00F33632"/>
    <w:rsid w:val="00F34375"/>
    <w:rsid w:val="00F34689"/>
    <w:rsid w:val="00F35E15"/>
    <w:rsid w:val="00F368F7"/>
    <w:rsid w:val="00F42118"/>
    <w:rsid w:val="00F42EA3"/>
    <w:rsid w:val="00F448F7"/>
    <w:rsid w:val="00F46ABA"/>
    <w:rsid w:val="00F46B39"/>
    <w:rsid w:val="00F50705"/>
    <w:rsid w:val="00F51F0B"/>
    <w:rsid w:val="00F5213D"/>
    <w:rsid w:val="00F54AE3"/>
    <w:rsid w:val="00F55E09"/>
    <w:rsid w:val="00F575CD"/>
    <w:rsid w:val="00F61E8B"/>
    <w:rsid w:val="00F647DA"/>
    <w:rsid w:val="00F64AF6"/>
    <w:rsid w:val="00F64C48"/>
    <w:rsid w:val="00F66DA1"/>
    <w:rsid w:val="00F676E5"/>
    <w:rsid w:val="00F745E0"/>
    <w:rsid w:val="00F748D7"/>
    <w:rsid w:val="00F767CD"/>
    <w:rsid w:val="00F81C46"/>
    <w:rsid w:val="00F824F8"/>
    <w:rsid w:val="00F8332B"/>
    <w:rsid w:val="00F8435E"/>
    <w:rsid w:val="00F961EC"/>
    <w:rsid w:val="00F96967"/>
    <w:rsid w:val="00FA09DC"/>
    <w:rsid w:val="00FA0FED"/>
    <w:rsid w:val="00FA1175"/>
    <w:rsid w:val="00FA4051"/>
    <w:rsid w:val="00FA5030"/>
    <w:rsid w:val="00FA73F1"/>
    <w:rsid w:val="00FA7C62"/>
    <w:rsid w:val="00FA7CAB"/>
    <w:rsid w:val="00FA7DFC"/>
    <w:rsid w:val="00FB011E"/>
    <w:rsid w:val="00FB0CDE"/>
    <w:rsid w:val="00FB277A"/>
    <w:rsid w:val="00FB294A"/>
    <w:rsid w:val="00FB294F"/>
    <w:rsid w:val="00FB6AEE"/>
    <w:rsid w:val="00FB6D88"/>
    <w:rsid w:val="00FC067F"/>
    <w:rsid w:val="00FC1B88"/>
    <w:rsid w:val="00FC1FCE"/>
    <w:rsid w:val="00FC3662"/>
    <w:rsid w:val="00FC3801"/>
    <w:rsid w:val="00FC7D46"/>
    <w:rsid w:val="00FC7F2E"/>
    <w:rsid w:val="00FD11D5"/>
    <w:rsid w:val="00FD48D5"/>
    <w:rsid w:val="00FD5D69"/>
    <w:rsid w:val="00FD5E87"/>
    <w:rsid w:val="00FD712B"/>
    <w:rsid w:val="00FE309E"/>
    <w:rsid w:val="00FE39FD"/>
    <w:rsid w:val="00FE3EBB"/>
    <w:rsid w:val="00FE4CA9"/>
    <w:rsid w:val="00FF20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216E0F"/>
  <w15:chartTrackingRefBased/>
  <w15:docId w15:val="{B10E0E4B-3CE2-4140-873C-EE7696FD3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AA7"/>
    <w:pPr>
      <w:spacing w:after="120" w:line="240" w:lineRule="auto"/>
    </w:pPr>
    <w:rPr>
      <w:rFonts w:ascii="Arial" w:eastAsiaTheme="minorEastAsia" w:hAnsi="Arial"/>
      <w:sz w:val="24"/>
      <w:szCs w:val="24"/>
    </w:rPr>
  </w:style>
  <w:style w:type="paragraph" w:styleId="Heading1">
    <w:name w:val="heading 1"/>
    <w:basedOn w:val="Normal"/>
    <w:next w:val="Normal"/>
    <w:link w:val="Heading1Char"/>
    <w:uiPriority w:val="9"/>
    <w:qFormat/>
    <w:rsid w:val="00E9234E"/>
    <w:pPr>
      <w:jc w:val="center"/>
      <w:outlineLvl w:val="0"/>
    </w:pPr>
    <w:rPr>
      <w:rFonts w:asciiTheme="minorHAnsi" w:hAnsiTheme="minorHAnsi" w:cstheme="minorHAnsi"/>
      <w:b/>
      <w:sz w:val="36"/>
      <w:szCs w:val="22"/>
    </w:rPr>
  </w:style>
  <w:style w:type="paragraph" w:styleId="Heading3">
    <w:name w:val="heading 3"/>
    <w:basedOn w:val="Normal"/>
    <w:next w:val="Normal"/>
    <w:link w:val="Heading3Char"/>
    <w:uiPriority w:val="9"/>
    <w:semiHidden/>
    <w:unhideWhenUsed/>
    <w:qFormat/>
    <w:rsid w:val="008F3306"/>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8F330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3AA7"/>
    <w:pPr>
      <w:tabs>
        <w:tab w:val="center" w:pos="4513"/>
        <w:tab w:val="right" w:pos="9026"/>
      </w:tabs>
      <w:spacing w:after="0"/>
    </w:pPr>
  </w:style>
  <w:style w:type="character" w:customStyle="1" w:styleId="HeaderChar">
    <w:name w:val="Header Char"/>
    <w:basedOn w:val="DefaultParagraphFont"/>
    <w:link w:val="Header"/>
    <w:uiPriority w:val="99"/>
    <w:rsid w:val="00993AA7"/>
  </w:style>
  <w:style w:type="paragraph" w:styleId="Footer">
    <w:name w:val="footer"/>
    <w:basedOn w:val="Normal"/>
    <w:link w:val="FooterChar"/>
    <w:uiPriority w:val="99"/>
    <w:unhideWhenUsed/>
    <w:rsid w:val="00993AA7"/>
    <w:pPr>
      <w:tabs>
        <w:tab w:val="center" w:pos="4513"/>
        <w:tab w:val="right" w:pos="9026"/>
      </w:tabs>
      <w:spacing w:after="0"/>
    </w:pPr>
  </w:style>
  <w:style w:type="character" w:customStyle="1" w:styleId="FooterChar">
    <w:name w:val="Footer Char"/>
    <w:basedOn w:val="DefaultParagraphFont"/>
    <w:link w:val="Footer"/>
    <w:uiPriority w:val="99"/>
    <w:rsid w:val="00993AA7"/>
  </w:style>
  <w:style w:type="table" w:styleId="TableGrid">
    <w:name w:val="Table Grid"/>
    <w:basedOn w:val="TableNormal"/>
    <w:uiPriority w:val="39"/>
    <w:rsid w:val="00993AA7"/>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3AA7"/>
    <w:rPr>
      <w:color w:val="0563C1" w:themeColor="hyperlink"/>
      <w:u w:val="single"/>
    </w:rPr>
  </w:style>
  <w:style w:type="paragraph" w:styleId="ListParagraph">
    <w:name w:val="List Paragraph"/>
    <w:aliases w:val="Recommendation,L,List Paragraph1,List Paragraph11,bullet point list,Bullet point,NFP GP Bulleted List,List Paragraph - bullets,Bulletr List Paragraph,FooterText,List Paragraph2,List Paragraph21,Listeafsnit1,Paragraphe de liste1,numbered,列"/>
    <w:basedOn w:val="Normal"/>
    <w:link w:val="ListParagraphChar"/>
    <w:uiPriority w:val="34"/>
    <w:qFormat/>
    <w:rsid w:val="00993AA7"/>
    <w:pPr>
      <w:keepLines/>
      <w:suppressAutoHyphens/>
      <w:spacing w:before="40"/>
      <w:ind w:left="720"/>
      <w:contextualSpacing/>
    </w:pPr>
    <w:rPr>
      <w:rFonts w:eastAsia="Times New Roman" w:cs="Arial"/>
      <w:color w:val="333333"/>
      <w:sz w:val="22"/>
      <w:szCs w:val="22"/>
      <w:lang w:eastAsia="en-AU"/>
    </w:rPr>
  </w:style>
  <w:style w:type="character" w:styleId="PlaceholderText">
    <w:name w:val="Placeholder Text"/>
    <w:basedOn w:val="DefaultParagraphFont"/>
    <w:uiPriority w:val="99"/>
    <w:semiHidden/>
    <w:rsid w:val="00FA73F1"/>
    <w:rPr>
      <w:color w:val="808080"/>
    </w:rPr>
  </w:style>
  <w:style w:type="character" w:styleId="CommentReference">
    <w:name w:val="annotation reference"/>
    <w:basedOn w:val="DefaultParagraphFont"/>
    <w:uiPriority w:val="99"/>
    <w:unhideWhenUsed/>
    <w:rsid w:val="00AF126E"/>
    <w:rPr>
      <w:sz w:val="16"/>
      <w:szCs w:val="16"/>
    </w:rPr>
  </w:style>
  <w:style w:type="paragraph" w:styleId="CommentText">
    <w:name w:val="annotation text"/>
    <w:basedOn w:val="Normal"/>
    <w:link w:val="CommentTextChar"/>
    <w:uiPriority w:val="99"/>
    <w:unhideWhenUsed/>
    <w:rsid w:val="00AF126E"/>
    <w:rPr>
      <w:sz w:val="20"/>
      <w:szCs w:val="20"/>
    </w:rPr>
  </w:style>
  <w:style w:type="character" w:customStyle="1" w:styleId="CommentTextChar">
    <w:name w:val="Comment Text Char"/>
    <w:basedOn w:val="DefaultParagraphFont"/>
    <w:link w:val="CommentText"/>
    <w:uiPriority w:val="99"/>
    <w:rsid w:val="00AF126E"/>
    <w:rPr>
      <w:rFonts w:ascii="Arial" w:eastAsiaTheme="minorEastAsia" w:hAnsi="Arial"/>
      <w:sz w:val="20"/>
      <w:szCs w:val="20"/>
      <w:lang w:val="en-US"/>
    </w:rPr>
  </w:style>
  <w:style w:type="paragraph" w:styleId="BalloonText">
    <w:name w:val="Balloon Text"/>
    <w:basedOn w:val="Normal"/>
    <w:link w:val="BalloonTextChar"/>
    <w:uiPriority w:val="99"/>
    <w:semiHidden/>
    <w:unhideWhenUsed/>
    <w:rsid w:val="00AF126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26E"/>
    <w:rPr>
      <w:rFonts w:ascii="Segoe UI" w:eastAsiaTheme="minorEastAsia" w:hAnsi="Segoe UI" w:cs="Segoe UI"/>
      <w:sz w:val="18"/>
      <w:szCs w:val="18"/>
      <w:lang w:val="en-US"/>
    </w:rPr>
  </w:style>
  <w:style w:type="paragraph" w:customStyle="1" w:styleId="Default">
    <w:name w:val="Default"/>
    <w:rsid w:val="00634820"/>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aliases w:val="Recommendation Char,L Char,List Paragraph1 Char,List Paragraph11 Char,bullet point list Char,Bullet point Char,NFP GP Bulleted List Char,List Paragraph - bullets Char,Bulletr List Paragraph Char,FooterText Char,List Paragraph2 Char"/>
    <w:link w:val="ListParagraph"/>
    <w:uiPriority w:val="34"/>
    <w:qFormat/>
    <w:locked/>
    <w:rsid w:val="00B737AA"/>
    <w:rPr>
      <w:rFonts w:ascii="Arial" w:eastAsia="Times New Roman" w:hAnsi="Arial" w:cs="Arial"/>
      <w:color w:val="333333"/>
      <w:lang w:eastAsia="en-AU"/>
    </w:rPr>
  </w:style>
  <w:style w:type="paragraph" w:styleId="CommentSubject">
    <w:name w:val="annotation subject"/>
    <w:basedOn w:val="CommentText"/>
    <w:next w:val="CommentText"/>
    <w:link w:val="CommentSubjectChar"/>
    <w:uiPriority w:val="99"/>
    <w:semiHidden/>
    <w:unhideWhenUsed/>
    <w:rsid w:val="00C8753A"/>
    <w:rPr>
      <w:b/>
      <w:bCs/>
    </w:rPr>
  </w:style>
  <w:style w:type="character" w:customStyle="1" w:styleId="CommentSubjectChar">
    <w:name w:val="Comment Subject Char"/>
    <w:basedOn w:val="CommentTextChar"/>
    <w:link w:val="CommentSubject"/>
    <w:uiPriority w:val="99"/>
    <w:semiHidden/>
    <w:rsid w:val="00C8753A"/>
    <w:rPr>
      <w:rFonts w:ascii="Arial" w:eastAsiaTheme="minorEastAsia" w:hAnsi="Arial"/>
      <w:b/>
      <w:bCs/>
      <w:sz w:val="20"/>
      <w:szCs w:val="20"/>
      <w:lang w:val="en-US"/>
    </w:rPr>
  </w:style>
  <w:style w:type="character" w:styleId="PageNumber">
    <w:name w:val="page number"/>
    <w:basedOn w:val="DefaultParagraphFont"/>
    <w:uiPriority w:val="99"/>
    <w:unhideWhenUsed/>
    <w:rsid w:val="00360ABB"/>
  </w:style>
  <w:style w:type="paragraph" w:customStyle="1" w:styleId="Bullets">
    <w:name w:val="Bullets"/>
    <w:basedOn w:val="ListBullet"/>
    <w:autoRedefine/>
    <w:qFormat/>
    <w:rsid w:val="000574A2"/>
    <w:pPr>
      <w:spacing w:after="0"/>
      <w:contextualSpacing w:val="0"/>
    </w:pPr>
    <w:rPr>
      <w:rFonts w:asciiTheme="minorHAnsi" w:eastAsia="Times New Roman" w:hAnsiTheme="minorHAnsi" w:cstheme="minorHAnsi"/>
      <w:sz w:val="22"/>
    </w:rPr>
  </w:style>
  <w:style w:type="paragraph" w:styleId="ListBullet">
    <w:name w:val="List Bullet"/>
    <w:basedOn w:val="Normal"/>
    <w:uiPriority w:val="99"/>
    <w:unhideWhenUsed/>
    <w:rsid w:val="00FA7DFC"/>
    <w:pPr>
      <w:ind w:left="720" w:hanging="360"/>
      <w:contextualSpacing/>
    </w:pPr>
  </w:style>
  <w:style w:type="paragraph" w:customStyle="1" w:styleId="Tablebullet1stlevel">
    <w:name w:val="Table bullet 1st level"/>
    <w:basedOn w:val="Normal"/>
    <w:uiPriority w:val="5"/>
    <w:rsid w:val="00472A67"/>
    <w:pPr>
      <w:numPr>
        <w:numId w:val="1"/>
      </w:numPr>
      <w:spacing w:after="0"/>
      <w:contextualSpacing/>
    </w:pPr>
    <w:rPr>
      <w:rFonts w:ascii="Calibri" w:eastAsiaTheme="minorHAnsi" w:hAnsi="Calibri" w:cs="Calibri"/>
      <w:sz w:val="22"/>
      <w:szCs w:val="22"/>
    </w:rPr>
  </w:style>
  <w:style w:type="paragraph" w:styleId="Revision">
    <w:name w:val="Revision"/>
    <w:hidden/>
    <w:uiPriority w:val="99"/>
    <w:semiHidden/>
    <w:rsid w:val="00DF568A"/>
    <w:pPr>
      <w:spacing w:after="0" w:line="240" w:lineRule="auto"/>
    </w:pPr>
    <w:rPr>
      <w:rFonts w:ascii="Arial" w:eastAsiaTheme="minorEastAsia" w:hAnsi="Arial"/>
      <w:sz w:val="24"/>
      <w:szCs w:val="24"/>
      <w:lang w:val="en-US"/>
    </w:rPr>
  </w:style>
  <w:style w:type="paragraph" w:customStyle="1" w:styleId="1PPOtabletext">
    <w:name w:val="1PPO table text"/>
    <w:basedOn w:val="Normal"/>
    <w:link w:val="1PPOtabletextChar"/>
    <w:rsid w:val="00BC7083"/>
    <w:pPr>
      <w:spacing w:before="120"/>
    </w:pPr>
    <w:rPr>
      <w:rFonts w:eastAsia="Times New Roman" w:cs="Times New Roman"/>
      <w:color w:val="333333"/>
      <w:sz w:val="22"/>
      <w:szCs w:val="22"/>
      <w:lang w:eastAsia="en-AU"/>
    </w:rPr>
  </w:style>
  <w:style w:type="character" w:customStyle="1" w:styleId="1PPOtabletextChar">
    <w:name w:val="1PPO table text Char"/>
    <w:link w:val="1PPOtabletext"/>
    <w:rsid w:val="00BC7083"/>
    <w:rPr>
      <w:rFonts w:ascii="Arial" w:eastAsia="Times New Roman" w:hAnsi="Arial" w:cs="Times New Roman"/>
      <w:color w:val="333333"/>
      <w:lang w:eastAsia="en-AU"/>
    </w:rPr>
  </w:style>
  <w:style w:type="paragraph" w:customStyle="1" w:styleId="Answer">
    <w:name w:val="Answer"/>
    <w:basedOn w:val="ListParagraph"/>
    <w:link w:val="AnswerChar"/>
    <w:qFormat/>
    <w:rsid w:val="00DE2C86"/>
    <w:pPr>
      <w:keepLines w:val="0"/>
      <w:numPr>
        <w:numId w:val="2"/>
      </w:numPr>
      <w:suppressAutoHyphens w:val="0"/>
      <w:spacing w:before="0"/>
      <w:ind w:left="357" w:hanging="357"/>
      <w:contextualSpacing w:val="0"/>
    </w:pPr>
    <w:rPr>
      <w:rFonts w:ascii="Calibri" w:eastAsiaTheme="minorHAnsi" w:hAnsi="Calibri" w:cstheme="minorHAnsi"/>
      <w:color w:val="auto"/>
      <w:sz w:val="24"/>
    </w:rPr>
  </w:style>
  <w:style w:type="character" w:customStyle="1" w:styleId="AnswerChar">
    <w:name w:val="Answer Char"/>
    <w:basedOn w:val="DefaultParagraphFont"/>
    <w:link w:val="Answer"/>
    <w:rsid w:val="00DE2C86"/>
    <w:rPr>
      <w:rFonts w:ascii="Calibri" w:hAnsi="Calibri" w:cstheme="minorHAnsi"/>
      <w:sz w:val="24"/>
      <w:lang w:eastAsia="en-AU"/>
    </w:rPr>
  </w:style>
  <w:style w:type="paragraph" w:styleId="TOC4">
    <w:name w:val="toc 4"/>
    <w:basedOn w:val="Normal"/>
    <w:next w:val="Normal"/>
    <w:autoRedefine/>
    <w:uiPriority w:val="39"/>
    <w:semiHidden/>
    <w:unhideWhenUsed/>
    <w:rsid w:val="000960B5"/>
    <w:pPr>
      <w:spacing w:after="0"/>
      <w:ind w:left="720"/>
    </w:pPr>
    <w:rPr>
      <w:rFonts w:eastAsia="Times New Roman" w:cs="Times New Roman"/>
      <w:color w:val="333333"/>
      <w:sz w:val="20"/>
      <w:szCs w:val="20"/>
    </w:rPr>
  </w:style>
  <w:style w:type="paragraph" w:customStyle="1" w:styleId="Bullet-2ndlevel">
    <w:name w:val="Bullet - 2nd level"/>
    <w:basedOn w:val="Normal"/>
    <w:rsid w:val="002049C5"/>
    <w:pPr>
      <w:numPr>
        <w:numId w:val="3"/>
      </w:numPr>
      <w:ind w:left="908" w:hanging="284"/>
      <w:contextualSpacing/>
    </w:pPr>
    <w:rPr>
      <w:rFonts w:eastAsia="Times New Roman" w:cs="Times New Roman"/>
      <w:color w:val="333333"/>
      <w:sz w:val="22"/>
    </w:rPr>
  </w:style>
  <w:style w:type="character" w:customStyle="1" w:styleId="Heading1Char">
    <w:name w:val="Heading 1 Char"/>
    <w:basedOn w:val="DefaultParagraphFont"/>
    <w:link w:val="Heading1"/>
    <w:uiPriority w:val="9"/>
    <w:rsid w:val="00E9234E"/>
    <w:rPr>
      <w:rFonts w:eastAsiaTheme="minorEastAsia" w:cstheme="minorHAnsi"/>
      <w:b/>
      <w:sz w:val="36"/>
    </w:rPr>
  </w:style>
  <w:style w:type="character" w:styleId="FollowedHyperlink">
    <w:name w:val="FollowedHyperlink"/>
    <w:basedOn w:val="DefaultParagraphFont"/>
    <w:uiPriority w:val="99"/>
    <w:semiHidden/>
    <w:unhideWhenUsed/>
    <w:rsid w:val="007D61E4"/>
    <w:rPr>
      <w:color w:val="954F72" w:themeColor="followedHyperlink"/>
      <w:u w:val="single"/>
    </w:rPr>
  </w:style>
  <w:style w:type="paragraph" w:styleId="PlainText">
    <w:name w:val="Plain Text"/>
    <w:basedOn w:val="Normal"/>
    <w:link w:val="PlainTextChar"/>
    <w:uiPriority w:val="99"/>
    <w:semiHidden/>
    <w:unhideWhenUsed/>
    <w:rsid w:val="009D223C"/>
    <w:pPr>
      <w:spacing w:after="0"/>
    </w:pPr>
    <w:rPr>
      <w:rFonts w:ascii="Calibri" w:eastAsiaTheme="minorHAnsi" w:hAnsi="Calibri"/>
      <w:sz w:val="22"/>
      <w:szCs w:val="21"/>
    </w:rPr>
  </w:style>
  <w:style w:type="character" w:customStyle="1" w:styleId="PlainTextChar">
    <w:name w:val="Plain Text Char"/>
    <w:basedOn w:val="DefaultParagraphFont"/>
    <w:link w:val="PlainText"/>
    <w:uiPriority w:val="99"/>
    <w:semiHidden/>
    <w:rsid w:val="009D223C"/>
    <w:rPr>
      <w:rFonts w:ascii="Calibri" w:hAnsi="Calibri"/>
      <w:szCs w:val="21"/>
    </w:rPr>
  </w:style>
  <w:style w:type="paragraph" w:styleId="NormalWeb">
    <w:name w:val="Normal (Web)"/>
    <w:basedOn w:val="Normal"/>
    <w:uiPriority w:val="99"/>
    <w:unhideWhenUsed/>
    <w:rsid w:val="00132D2C"/>
    <w:pPr>
      <w:spacing w:before="100" w:beforeAutospacing="1" w:after="100" w:afterAutospacing="1"/>
    </w:pPr>
    <w:rPr>
      <w:rFonts w:ascii="Times New Roman" w:eastAsia="Times New Roman" w:hAnsi="Times New Roman" w:cs="Times New Roman"/>
      <w:lang w:eastAsia="en-AU"/>
    </w:rPr>
  </w:style>
  <w:style w:type="character" w:customStyle="1" w:styleId="Heading3Char">
    <w:name w:val="Heading 3 Char"/>
    <w:basedOn w:val="DefaultParagraphFont"/>
    <w:link w:val="Heading3"/>
    <w:uiPriority w:val="9"/>
    <w:semiHidden/>
    <w:rsid w:val="008F330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8F3306"/>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24607">
      <w:bodyDiv w:val="1"/>
      <w:marLeft w:val="0"/>
      <w:marRight w:val="0"/>
      <w:marTop w:val="0"/>
      <w:marBottom w:val="0"/>
      <w:divBdr>
        <w:top w:val="none" w:sz="0" w:space="0" w:color="auto"/>
        <w:left w:val="none" w:sz="0" w:space="0" w:color="auto"/>
        <w:bottom w:val="none" w:sz="0" w:space="0" w:color="auto"/>
        <w:right w:val="none" w:sz="0" w:space="0" w:color="auto"/>
      </w:divBdr>
    </w:div>
    <w:div w:id="88157670">
      <w:bodyDiv w:val="1"/>
      <w:marLeft w:val="0"/>
      <w:marRight w:val="0"/>
      <w:marTop w:val="0"/>
      <w:marBottom w:val="0"/>
      <w:divBdr>
        <w:top w:val="none" w:sz="0" w:space="0" w:color="auto"/>
        <w:left w:val="none" w:sz="0" w:space="0" w:color="auto"/>
        <w:bottom w:val="none" w:sz="0" w:space="0" w:color="auto"/>
        <w:right w:val="none" w:sz="0" w:space="0" w:color="auto"/>
      </w:divBdr>
    </w:div>
    <w:div w:id="211580172">
      <w:bodyDiv w:val="1"/>
      <w:marLeft w:val="0"/>
      <w:marRight w:val="0"/>
      <w:marTop w:val="0"/>
      <w:marBottom w:val="0"/>
      <w:divBdr>
        <w:top w:val="none" w:sz="0" w:space="0" w:color="auto"/>
        <w:left w:val="none" w:sz="0" w:space="0" w:color="auto"/>
        <w:bottom w:val="none" w:sz="0" w:space="0" w:color="auto"/>
        <w:right w:val="none" w:sz="0" w:space="0" w:color="auto"/>
      </w:divBdr>
    </w:div>
    <w:div w:id="216553420">
      <w:bodyDiv w:val="1"/>
      <w:marLeft w:val="0"/>
      <w:marRight w:val="0"/>
      <w:marTop w:val="0"/>
      <w:marBottom w:val="0"/>
      <w:divBdr>
        <w:top w:val="none" w:sz="0" w:space="0" w:color="auto"/>
        <w:left w:val="none" w:sz="0" w:space="0" w:color="auto"/>
        <w:bottom w:val="none" w:sz="0" w:space="0" w:color="auto"/>
        <w:right w:val="none" w:sz="0" w:space="0" w:color="auto"/>
      </w:divBdr>
    </w:div>
    <w:div w:id="299574644">
      <w:bodyDiv w:val="1"/>
      <w:marLeft w:val="0"/>
      <w:marRight w:val="0"/>
      <w:marTop w:val="0"/>
      <w:marBottom w:val="0"/>
      <w:divBdr>
        <w:top w:val="none" w:sz="0" w:space="0" w:color="auto"/>
        <w:left w:val="none" w:sz="0" w:space="0" w:color="auto"/>
        <w:bottom w:val="none" w:sz="0" w:space="0" w:color="auto"/>
        <w:right w:val="none" w:sz="0" w:space="0" w:color="auto"/>
      </w:divBdr>
      <w:divsChild>
        <w:div w:id="1556892774">
          <w:marLeft w:val="1166"/>
          <w:marRight w:val="0"/>
          <w:marTop w:val="0"/>
          <w:marBottom w:val="0"/>
          <w:divBdr>
            <w:top w:val="none" w:sz="0" w:space="0" w:color="auto"/>
            <w:left w:val="none" w:sz="0" w:space="0" w:color="auto"/>
            <w:bottom w:val="none" w:sz="0" w:space="0" w:color="auto"/>
            <w:right w:val="none" w:sz="0" w:space="0" w:color="auto"/>
          </w:divBdr>
        </w:div>
      </w:divsChild>
    </w:div>
    <w:div w:id="299768898">
      <w:bodyDiv w:val="1"/>
      <w:marLeft w:val="0"/>
      <w:marRight w:val="0"/>
      <w:marTop w:val="0"/>
      <w:marBottom w:val="0"/>
      <w:divBdr>
        <w:top w:val="none" w:sz="0" w:space="0" w:color="auto"/>
        <w:left w:val="none" w:sz="0" w:space="0" w:color="auto"/>
        <w:bottom w:val="none" w:sz="0" w:space="0" w:color="auto"/>
        <w:right w:val="none" w:sz="0" w:space="0" w:color="auto"/>
      </w:divBdr>
    </w:div>
    <w:div w:id="331493221">
      <w:bodyDiv w:val="1"/>
      <w:marLeft w:val="0"/>
      <w:marRight w:val="0"/>
      <w:marTop w:val="0"/>
      <w:marBottom w:val="0"/>
      <w:divBdr>
        <w:top w:val="none" w:sz="0" w:space="0" w:color="auto"/>
        <w:left w:val="none" w:sz="0" w:space="0" w:color="auto"/>
        <w:bottom w:val="none" w:sz="0" w:space="0" w:color="auto"/>
        <w:right w:val="none" w:sz="0" w:space="0" w:color="auto"/>
      </w:divBdr>
    </w:div>
    <w:div w:id="347875294">
      <w:bodyDiv w:val="1"/>
      <w:marLeft w:val="0"/>
      <w:marRight w:val="0"/>
      <w:marTop w:val="0"/>
      <w:marBottom w:val="0"/>
      <w:divBdr>
        <w:top w:val="none" w:sz="0" w:space="0" w:color="auto"/>
        <w:left w:val="none" w:sz="0" w:space="0" w:color="auto"/>
        <w:bottom w:val="none" w:sz="0" w:space="0" w:color="auto"/>
        <w:right w:val="none" w:sz="0" w:space="0" w:color="auto"/>
      </w:divBdr>
    </w:div>
    <w:div w:id="352803309">
      <w:bodyDiv w:val="1"/>
      <w:marLeft w:val="0"/>
      <w:marRight w:val="0"/>
      <w:marTop w:val="0"/>
      <w:marBottom w:val="0"/>
      <w:divBdr>
        <w:top w:val="none" w:sz="0" w:space="0" w:color="auto"/>
        <w:left w:val="none" w:sz="0" w:space="0" w:color="auto"/>
        <w:bottom w:val="none" w:sz="0" w:space="0" w:color="auto"/>
        <w:right w:val="none" w:sz="0" w:space="0" w:color="auto"/>
      </w:divBdr>
    </w:div>
    <w:div w:id="365299120">
      <w:bodyDiv w:val="1"/>
      <w:marLeft w:val="0"/>
      <w:marRight w:val="0"/>
      <w:marTop w:val="0"/>
      <w:marBottom w:val="0"/>
      <w:divBdr>
        <w:top w:val="none" w:sz="0" w:space="0" w:color="auto"/>
        <w:left w:val="none" w:sz="0" w:space="0" w:color="auto"/>
        <w:bottom w:val="none" w:sz="0" w:space="0" w:color="auto"/>
        <w:right w:val="none" w:sz="0" w:space="0" w:color="auto"/>
      </w:divBdr>
    </w:div>
    <w:div w:id="371543757">
      <w:bodyDiv w:val="1"/>
      <w:marLeft w:val="0"/>
      <w:marRight w:val="0"/>
      <w:marTop w:val="0"/>
      <w:marBottom w:val="0"/>
      <w:divBdr>
        <w:top w:val="none" w:sz="0" w:space="0" w:color="auto"/>
        <w:left w:val="none" w:sz="0" w:space="0" w:color="auto"/>
        <w:bottom w:val="none" w:sz="0" w:space="0" w:color="auto"/>
        <w:right w:val="none" w:sz="0" w:space="0" w:color="auto"/>
      </w:divBdr>
    </w:div>
    <w:div w:id="391537145">
      <w:bodyDiv w:val="1"/>
      <w:marLeft w:val="0"/>
      <w:marRight w:val="0"/>
      <w:marTop w:val="0"/>
      <w:marBottom w:val="0"/>
      <w:divBdr>
        <w:top w:val="none" w:sz="0" w:space="0" w:color="auto"/>
        <w:left w:val="none" w:sz="0" w:space="0" w:color="auto"/>
        <w:bottom w:val="none" w:sz="0" w:space="0" w:color="auto"/>
        <w:right w:val="none" w:sz="0" w:space="0" w:color="auto"/>
      </w:divBdr>
    </w:div>
    <w:div w:id="412046385">
      <w:bodyDiv w:val="1"/>
      <w:marLeft w:val="0"/>
      <w:marRight w:val="0"/>
      <w:marTop w:val="0"/>
      <w:marBottom w:val="0"/>
      <w:divBdr>
        <w:top w:val="none" w:sz="0" w:space="0" w:color="auto"/>
        <w:left w:val="none" w:sz="0" w:space="0" w:color="auto"/>
        <w:bottom w:val="none" w:sz="0" w:space="0" w:color="auto"/>
        <w:right w:val="none" w:sz="0" w:space="0" w:color="auto"/>
      </w:divBdr>
    </w:div>
    <w:div w:id="476999989">
      <w:bodyDiv w:val="1"/>
      <w:marLeft w:val="0"/>
      <w:marRight w:val="0"/>
      <w:marTop w:val="0"/>
      <w:marBottom w:val="0"/>
      <w:divBdr>
        <w:top w:val="none" w:sz="0" w:space="0" w:color="auto"/>
        <w:left w:val="none" w:sz="0" w:space="0" w:color="auto"/>
        <w:bottom w:val="none" w:sz="0" w:space="0" w:color="auto"/>
        <w:right w:val="none" w:sz="0" w:space="0" w:color="auto"/>
      </w:divBdr>
    </w:div>
    <w:div w:id="510264706">
      <w:bodyDiv w:val="1"/>
      <w:marLeft w:val="0"/>
      <w:marRight w:val="0"/>
      <w:marTop w:val="0"/>
      <w:marBottom w:val="0"/>
      <w:divBdr>
        <w:top w:val="none" w:sz="0" w:space="0" w:color="auto"/>
        <w:left w:val="none" w:sz="0" w:space="0" w:color="auto"/>
        <w:bottom w:val="none" w:sz="0" w:space="0" w:color="auto"/>
        <w:right w:val="none" w:sz="0" w:space="0" w:color="auto"/>
      </w:divBdr>
    </w:div>
    <w:div w:id="554897502">
      <w:bodyDiv w:val="1"/>
      <w:marLeft w:val="0"/>
      <w:marRight w:val="0"/>
      <w:marTop w:val="0"/>
      <w:marBottom w:val="0"/>
      <w:divBdr>
        <w:top w:val="none" w:sz="0" w:space="0" w:color="auto"/>
        <w:left w:val="none" w:sz="0" w:space="0" w:color="auto"/>
        <w:bottom w:val="none" w:sz="0" w:space="0" w:color="auto"/>
        <w:right w:val="none" w:sz="0" w:space="0" w:color="auto"/>
      </w:divBdr>
    </w:div>
    <w:div w:id="563831052">
      <w:bodyDiv w:val="1"/>
      <w:marLeft w:val="0"/>
      <w:marRight w:val="0"/>
      <w:marTop w:val="0"/>
      <w:marBottom w:val="0"/>
      <w:divBdr>
        <w:top w:val="none" w:sz="0" w:space="0" w:color="auto"/>
        <w:left w:val="none" w:sz="0" w:space="0" w:color="auto"/>
        <w:bottom w:val="none" w:sz="0" w:space="0" w:color="auto"/>
        <w:right w:val="none" w:sz="0" w:space="0" w:color="auto"/>
      </w:divBdr>
    </w:div>
    <w:div w:id="654527264">
      <w:bodyDiv w:val="1"/>
      <w:marLeft w:val="0"/>
      <w:marRight w:val="0"/>
      <w:marTop w:val="0"/>
      <w:marBottom w:val="0"/>
      <w:divBdr>
        <w:top w:val="none" w:sz="0" w:space="0" w:color="auto"/>
        <w:left w:val="none" w:sz="0" w:space="0" w:color="auto"/>
        <w:bottom w:val="none" w:sz="0" w:space="0" w:color="auto"/>
        <w:right w:val="none" w:sz="0" w:space="0" w:color="auto"/>
      </w:divBdr>
      <w:divsChild>
        <w:div w:id="117380632">
          <w:marLeft w:val="446"/>
          <w:marRight w:val="0"/>
          <w:marTop w:val="0"/>
          <w:marBottom w:val="0"/>
          <w:divBdr>
            <w:top w:val="none" w:sz="0" w:space="0" w:color="auto"/>
            <w:left w:val="none" w:sz="0" w:space="0" w:color="auto"/>
            <w:bottom w:val="none" w:sz="0" w:space="0" w:color="auto"/>
            <w:right w:val="none" w:sz="0" w:space="0" w:color="auto"/>
          </w:divBdr>
        </w:div>
      </w:divsChild>
    </w:div>
    <w:div w:id="656416328">
      <w:bodyDiv w:val="1"/>
      <w:marLeft w:val="0"/>
      <w:marRight w:val="0"/>
      <w:marTop w:val="0"/>
      <w:marBottom w:val="0"/>
      <w:divBdr>
        <w:top w:val="none" w:sz="0" w:space="0" w:color="auto"/>
        <w:left w:val="none" w:sz="0" w:space="0" w:color="auto"/>
        <w:bottom w:val="none" w:sz="0" w:space="0" w:color="auto"/>
        <w:right w:val="none" w:sz="0" w:space="0" w:color="auto"/>
      </w:divBdr>
    </w:div>
    <w:div w:id="775372267">
      <w:bodyDiv w:val="1"/>
      <w:marLeft w:val="0"/>
      <w:marRight w:val="0"/>
      <w:marTop w:val="0"/>
      <w:marBottom w:val="0"/>
      <w:divBdr>
        <w:top w:val="none" w:sz="0" w:space="0" w:color="auto"/>
        <w:left w:val="none" w:sz="0" w:space="0" w:color="auto"/>
        <w:bottom w:val="none" w:sz="0" w:space="0" w:color="auto"/>
        <w:right w:val="none" w:sz="0" w:space="0" w:color="auto"/>
      </w:divBdr>
    </w:div>
    <w:div w:id="817114975">
      <w:bodyDiv w:val="1"/>
      <w:marLeft w:val="0"/>
      <w:marRight w:val="0"/>
      <w:marTop w:val="0"/>
      <w:marBottom w:val="0"/>
      <w:divBdr>
        <w:top w:val="none" w:sz="0" w:space="0" w:color="auto"/>
        <w:left w:val="none" w:sz="0" w:space="0" w:color="auto"/>
        <w:bottom w:val="none" w:sz="0" w:space="0" w:color="auto"/>
        <w:right w:val="none" w:sz="0" w:space="0" w:color="auto"/>
      </w:divBdr>
    </w:div>
    <w:div w:id="1035692453">
      <w:bodyDiv w:val="1"/>
      <w:marLeft w:val="0"/>
      <w:marRight w:val="0"/>
      <w:marTop w:val="0"/>
      <w:marBottom w:val="0"/>
      <w:divBdr>
        <w:top w:val="none" w:sz="0" w:space="0" w:color="auto"/>
        <w:left w:val="none" w:sz="0" w:space="0" w:color="auto"/>
        <w:bottom w:val="none" w:sz="0" w:space="0" w:color="auto"/>
        <w:right w:val="none" w:sz="0" w:space="0" w:color="auto"/>
      </w:divBdr>
    </w:div>
    <w:div w:id="1107193666">
      <w:bodyDiv w:val="1"/>
      <w:marLeft w:val="0"/>
      <w:marRight w:val="0"/>
      <w:marTop w:val="0"/>
      <w:marBottom w:val="0"/>
      <w:divBdr>
        <w:top w:val="none" w:sz="0" w:space="0" w:color="auto"/>
        <w:left w:val="none" w:sz="0" w:space="0" w:color="auto"/>
        <w:bottom w:val="none" w:sz="0" w:space="0" w:color="auto"/>
        <w:right w:val="none" w:sz="0" w:space="0" w:color="auto"/>
      </w:divBdr>
    </w:div>
    <w:div w:id="1115979523">
      <w:bodyDiv w:val="1"/>
      <w:marLeft w:val="0"/>
      <w:marRight w:val="0"/>
      <w:marTop w:val="0"/>
      <w:marBottom w:val="0"/>
      <w:divBdr>
        <w:top w:val="none" w:sz="0" w:space="0" w:color="auto"/>
        <w:left w:val="none" w:sz="0" w:space="0" w:color="auto"/>
        <w:bottom w:val="none" w:sz="0" w:space="0" w:color="auto"/>
        <w:right w:val="none" w:sz="0" w:space="0" w:color="auto"/>
      </w:divBdr>
    </w:div>
    <w:div w:id="1173380499">
      <w:bodyDiv w:val="1"/>
      <w:marLeft w:val="0"/>
      <w:marRight w:val="0"/>
      <w:marTop w:val="0"/>
      <w:marBottom w:val="0"/>
      <w:divBdr>
        <w:top w:val="none" w:sz="0" w:space="0" w:color="auto"/>
        <w:left w:val="none" w:sz="0" w:space="0" w:color="auto"/>
        <w:bottom w:val="none" w:sz="0" w:space="0" w:color="auto"/>
        <w:right w:val="none" w:sz="0" w:space="0" w:color="auto"/>
      </w:divBdr>
      <w:divsChild>
        <w:div w:id="112483894">
          <w:marLeft w:val="1987"/>
          <w:marRight w:val="0"/>
          <w:marTop w:val="0"/>
          <w:marBottom w:val="0"/>
          <w:divBdr>
            <w:top w:val="none" w:sz="0" w:space="0" w:color="auto"/>
            <w:left w:val="none" w:sz="0" w:space="0" w:color="auto"/>
            <w:bottom w:val="none" w:sz="0" w:space="0" w:color="auto"/>
            <w:right w:val="none" w:sz="0" w:space="0" w:color="auto"/>
          </w:divBdr>
        </w:div>
        <w:div w:id="285814966">
          <w:marLeft w:val="1987"/>
          <w:marRight w:val="0"/>
          <w:marTop w:val="0"/>
          <w:marBottom w:val="0"/>
          <w:divBdr>
            <w:top w:val="none" w:sz="0" w:space="0" w:color="auto"/>
            <w:left w:val="none" w:sz="0" w:space="0" w:color="auto"/>
            <w:bottom w:val="none" w:sz="0" w:space="0" w:color="auto"/>
            <w:right w:val="none" w:sz="0" w:space="0" w:color="auto"/>
          </w:divBdr>
        </w:div>
        <w:div w:id="665396969">
          <w:marLeft w:val="1987"/>
          <w:marRight w:val="0"/>
          <w:marTop w:val="0"/>
          <w:marBottom w:val="0"/>
          <w:divBdr>
            <w:top w:val="none" w:sz="0" w:space="0" w:color="auto"/>
            <w:left w:val="none" w:sz="0" w:space="0" w:color="auto"/>
            <w:bottom w:val="none" w:sz="0" w:space="0" w:color="auto"/>
            <w:right w:val="none" w:sz="0" w:space="0" w:color="auto"/>
          </w:divBdr>
        </w:div>
      </w:divsChild>
    </w:div>
    <w:div w:id="1183469325">
      <w:bodyDiv w:val="1"/>
      <w:marLeft w:val="0"/>
      <w:marRight w:val="0"/>
      <w:marTop w:val="0"/>
      <w:marBottom w:val="0"/>
      <w:divBdr>
        <w:top w:val="none" w:sz="0" w:space="0" w:color="auto"/>
        <w:left w:val="none" w:sz="0" w:space="0" w:color="auto"/>
        <w:bottom w:val="none" w:sz="0" w:space="0" w:color="auto"/>
        <w:right w:val="none" w:sz="0" w:space="0" w:color="auto"/>
      </w:divBdr>
    </w:div>
    <w:div w:id="1221668343">
      <w:bodyDiv w:val="1"/>
      <w:marLeft w:val="0"/>
      <w:marRight w:val="0"/>
      <w:marTop w:val="0"/>
      <w:marBottom w:val="0"/>
      <w:divBdr>
        <w:top w:val="none" w:sz="0" w:space="0" w:color="auto"/>
        <w:left w:val="none" w:sz="0" w:space="0" w:color="auto"/>
        <w:bottom w:val="none" w:sz="0" w:space="0" w:color="auto"/>
        <w:right w:val="none" w:sz="0" w:space="0" w:color="auto"/>
      </w:divBdr>
    </w:div>
    <w:div w:id="1224945488">
      <w:bodyDiv w:val="1"/>
      <w:marLeft w:val="0"/>
      <w:marRight w:val="0"/>
      <w:marTop w:val="0"/>
      <w:marBottom w:val="0"/>
      <w:divBdr>
        <w:top w:val="none" w:sz="0" w:space="0" w:color="auto"/>
        <w:left w:val="none" w:sz="0" w:space="0" w:color="auto"/>
        <w:bottom w:val="none" w:sz="0" w:space="0" w:color="auto"/>
        <w:right w:val="none" w:sz="0" w:space="0" w:color="auto"/>
      </w:divBdr>
    </w:div>
    <w:div w:id="1352146174">
      <w:bodyDiv w:val="1"/>
      <w:marLeft w:val="0"/>
      <w:marRight w:val="0"/>
      <w:marTop w:val="0"/>
      <w:marBottom w:val="0"/>
      <w:divBdr>
        <w:top w:val="none" w:sz="0" w:space="0" w:color="auto"/>
        <w:left w:val="none" w:sz="0" w:space="0" w:color="auto"/>
        <w:bottom w:val="none" w:sz="0" w:space="0" w:color="auto"/>
        <w:right w:val="none" w:sz="0" w:space="0" w:color="auto"/>
      </w:divBdr>
    </w:div>
    <w:div w:id="1462000163">
      <w:bodyDiv w:val="1"/>
      <w:marLeft w:val="0"/>
      <w:marRight w:val="0"/>
      <w:marTop w:val="0"/>
      <w:marBottom w:val="0"/>
      <w:divBdr>
        <w:top w:val="none" w:sz="0" w:space="0" w:color="auto"/>
        <w:left w:val="none" w:sz="0" w:space="0" w:color="auto"/>
        <w:bottom w:val="none" w:sz="0" w:space="0" w:color="auto"/>
        <w:right w:val="none" w:sz="0" w:space="0" w:color="auto"/>
      </w:divBdr>
    </w:div>
    <w:div w:id="1479221115">
      <w:bodyDiv w:val="1"/>
      <w:marLeft w:val="0"/>
      <w:marRight w:val="0"/>
      <w:marTop w:val="0"/>
      <w:marBottom w:val="0"/>
      <w:divBdr>
        <w:top w:val="none" w:sz="0" w:space="0" w:color="auto"/>
        <w:left w:val="none" w:sz="0" w:space="0" w:color="auto"/>
        <w:bottom w:val="none" w:sz="0" w:space="0" w:color="auto"/>
        <w:right w:val="none" w:sz="0" w:space="0" w:color="auto"/>
      </w:divBdr>
    </w:div>
    <w:div w:id="1507398040">
      <w:bodyDiv w:val="1"/>
      <w:marLeft w:val="0"/>
      <w:marRight w:val="0"/>
      <w:marTop w:val="0"/>
      <w:marBottom w:val="0"/>
      <w:divBdr>
        <w:top w:val="none" w:sz="0" w:space="0" w:color="auto"/>
        <w:left w:val="none" w:sz="0" w:space="0" w:color="auto"/>
        <w:bottom w:val="none" w:sz="0" w:space="0" w:color="auto"/>
        <w:right w:val="none" w:sz="0" w:space="0" w:color="auto"/>
      </w:divBdr>
    </w:div>
    <w:div w:id="1520663390">
      <w:bodyDiv w:val="1"/>
      <w:marLeft w:val="0"/>
      <w:marRight w:val="0"/>
      <w:marTop w:val="0"/>
      <w:marBottom w:val="0"/>
      <w:divBdr>
        <w:top w:val="none" w:sz="0" w:space="0" w:color="auto"/>
        <w:left w:val="none" w:sz="0" w:space="0" w:color="auto"/>
        <w:bottom w:val="none" w:sz="0" w:space="0" w:color="auto"/>
        <w:right w:val="none" w:sz="0" w:space="0" w:color="auto"/>
      </w:divBdr>
    </w:div>
    <w:div w:id="1527064572">
      <w:bodyDiv w:val="1"/>
      <w:marLeft w:val="0"/>
      <w:marRight w:val="0"/>
      <w:marTop w:val="0"/>
      <w:marBottom w:val="0"/>
      <w:divBdr>
        <w:top w:val="none" w:sz="0" w:space="0" w:color="auto"/>
        <w:left w:val="none" w:sz="0" w:space="0" w:color="auto"/>
        <w:bottom w:val="none" w:sz="0" w:space="0" w:color="auto"/>
        <w:right w:val="none" w:sz="0" w:space="0" w:color="auto"/>
      </w:divBdr>
      <w:divsChild>
        <w:div w:id="1125347682">
          <w:marLeft w:val="446"/>
          <w:marRight w:val="0"/>
          <w:marTop w:val="0"/>
          <w:marBottom w:val="0"/>
          <w:divBdr>
            <w:top w:val="none" w:sz="0" w:space="0" w:color="auto"/>
            <w:left w:val="none" w:sz="0" w:space="0" w:color="auto"/>
            <w:bottom w:val="none" w:sz="0" w:space="0" w:color="auto"/>
            <w:right w:val="none" w:sz="0" w:space="0" w:color="auto"/>
          </w:divBdr>
        </w:div>
      </w:divsChild>
    </w:div>
    <w:div w:id="1669210551">
      <w:bodyDiv w:val="1"/>
      <w:marLeft w:val="0"/>
      <w:marRight w:val="0"/>
      <w:marTop w:val="0"/>
      <w:marBottom w:val="0"/>
      <w:divBdr>
        <w:top w:val="none" w:sz="0" w:space="0" w:color="auto"/>
        <w:left w:val="none" w:sz="0" w:space="0" w:color="auto"/>
        <w:bottom w:val="none" w:sz="0" w:space="0" w:color="auto"/>
        <w:right w:val="none" w:sz="0" w:space="0" w:color="auto"/>
      </w:divBdr>
    </w:div>
    <w:div w:id="1696879855">
      <w:bodyDiv w:val="1"/>
      <w:marLeft w:val="0"/>
      <w:marRight w:val="0"/>
      <w:marTop w:val="0"/>
      <w:marBottom w:val="0"/>
      <w:divBdr>
        <w:top w:val="none" w:sz="0" w:space="0" w:color="auto"/>
        <w:left w:val="none" w:sz="0" w:space="0" w:color="auto"/>
        <w:bottom w:val="none" w:sz="0" w:space="0" w:color="auto"/>
        <w:right w:val="none" w:sz="0" w:space="0" w:color="auto"/>
      </w:divBdr>
    </w:div>
    <w:div w:id="1804418649">
      <w:bodyDiv w:val="1"/>
      <w:marLeft w:val="0"/>
      <w:marRight w:val="0"/>
      <w:marTop w:val="0"/>
      <w:marBottom w:val="0"/>
      <w:divBdr>
        <w:top w:val="none" w:sz="0" w:space="0" w:color="auto"/>
        <w:left w:val="none" w:sz="0" w:space="0" w:color="auto"/>
        <w:bottom w:val="none" w:sz="0" w:space="0" w:color="auto"/>
        <w:right w:val="none" w:sz="0" w:space="0" w:color="auto"/>
      </w:divBdr>
      <w:divsChild>
        <w:div w:id="1074157352">
          <w:marLeft w:val="360"/>
          <w:marRight w:val="0"/>
          <w:marTop w:val="200"/>
          <w:marBottom w:val="0"/>
          <w:divBdr>
            <w:top w:val="none" w:sz="0" w:space="0" w:color="auto"/>
            <w:left w:val="none" w:sz="0" w:space="0" w:color="auto"/>
            <w:bottom w:val="none" w:sz="0" w:space="0" w:color="auto"/>
            <w:right w:val="none" w:sz="0" w:space="0" w:color="auto"/>
          </w:divBdr>
        </w:div>
        <w:div w:id="1326276662">
          <w:marLeft w:val="360"/>
          <w:marRight w:val="0"/>
          <w:marTop w:val="200"/>
          <w:marBottom w:val="0"/>
          <w:divBdr>
            <w:top w:val="none" w:sz="0" w:space="0" w:color="auto"/>
            <w:left w:val="none" w:sz="0" w:space="0" w:color="auto"/>
            <w:bottom w:val="none" w:sz="0" w:space="0" w:color="auto"/>
            <w:right w:val="none" w:sz="0" w:space="0" w:color="auto"/>
          </w:divBdr>
        </w:div>
        <w:div w:id="738938286">
          <w:marLeft w:val="360"/>
          <w:marRight w:val="0"/>
          <w:marTop w:val="200"/>
          <w:marBottom w:val="0"/>
          <w:divBdr>
            <w:top w:val="none" w:sz="0" w:space="0" w:color="auto"/>
            <w:left w:val="none" w:sz="0" w:space="0" w:color="auto"/>
            <w:bottom w:val="none" w:sz="0" w:space="0" w:color="auto"/>
            <w:right w:val="none" w:sz="0" w:space="0" w:color="auto"/>
          </w:divBdr>
        </w:div>
        <w:div w:id="1331830205">
          <w:marLeft w:val="360"/>
          <w:marRight w:val="0"/>
          <w:marTop w:val="200"/>
          <w:marBottom w:val="0"/>
          <w:divBdr>
            <w:top w:val="none" w:sz="0" w:space="0" w:color="auto"/>
            <w:left w:val="none" w:sz="0" w:space="0" w:color="auto"/>
            <w:bottom w:val="none" w:sz="0" w:space="0" w:color="auto"/>
            <w:right w:val="none" w:sz="0" w:space="0" w:color="auto"/>
          </w:divBdr>
        </w:div>
      </w:divsChild>
    </w:div>
    <w:div w:id="1897666165">
      <w:bodyDiv w:val="1"/>
      <w:marLeft w:val="0"/>
      <w:marRight w:val="0"/>
      <w:marTop w:val="0"/>
      <w:marBottom w:val="0"/>
      <w:divBdr>
        <w:top w:val="none" w:sz="0" w:space="0" w:color="auto"/>
        <w:left w:val="none" w:sz="0" w:space="0" w:color="auto"/>
        <w:bottom w:val="none" w:sz="0" w:space="0" w:color="auto"/>
        <w:right w:val="none" w:sz="0" w:space="0" w:color="auto"/>
      </w:divBdr>
    </w:div>
    <w:div w:id="1938715258">
      <w:bodyDiv w:val="1"/>
      <w:marLeft w:val="0"/>
      <w:marRight w:val="0"/>
      <w:marTop w:val="0"/>
      <w:marBottom w:val="0"/>
      <w:divBdr>
        <w:top w:val="none" w:sz="0" w:space="0" w:color="auto"/>
        <w:left w:val="none" w:sz="0" w:space="0" w:color="auto"/>
        <w:bottom w:val="none" w:sz="0" w:space="0" w:color="auto"/>
        <w:right w:val="none" w:sz="0" w:space="0" w:color="auto"/>
      </w:divBdr>
    </w:div>
    <w:div w:id="1952933782">
      <w:bodyDiv w:val="1"/>
      <w:marLeft w:val="0"/>
      <w:marRight w:val="0"/>
      <w:marTop w:val="0"/>
      <w:marBottom w:val="0"/>
      <w:divBdr>
        <w:top w:val="none" w:sz="0" w:space="0" w:color="auto"/>
        <w:left w:val="none" w:sz="0" w:space="0" w:color="auto"/>
        <w:bottom w:val="none" w:sz="0" w:space="0" w:color="auto"/>
        <w:right w:val="none" w:sz="0" w:space="0" w:color="auto"/>
      </w:divBdr>
    </w:div>
    <w:div w:id="1981380319">
      <w:bodyDiv w:val="1"/>
      <w:marLeft w:val="0"/>
      <w:marRight w:val="0"/>
      <w:marTop w:val="0"/>
      <w:marBottom w:val="0"/>
      <w:divBdr>
        <w:top w:val="none" w:sz="0" w:space="0" w:color="auto"/>
        <w:left w:val="none" w:sz="0" w:space="0" w:color="auto"/>
        <w:bottom w:val="none" w:sz="0" w:space="0" w:color="auto"/>
        <w:right w:val="none" w:sz="0" w:space="0" w:color="auto"/>
      </w:divBdr>
    </w:div>
    <w:div w:id="1999721139">
      <w:bodyDiv w:val="1"/>
      <w:marLeft w:val="0"/>
      <w:marRight w:val="0"/>
      <w:marTop w:val="0"/>
      <w:marBottom w:val="0"/>
      <w:divBdr>
        <w:top w:val="none" w:sz="0" w:space="0" w:color="auto"/>
        <w:left w:val="none" w:sz="0" w:space="0" w:color="auto"/>
        <w:bottom w:val="none" w:sz="0" w:space="0" w:color="auto"/>
        <w:right w:val="none" w:sz="0" w:space="0" w:color="auto"/>
      </w:divBdr>
    </w:div>
    <w:div w:id="2069918998">
      <w:bodyDiv w:val="1"/>
      <w:marLeft w:val="0"/>
      <w:marRight w:val="0"/>
      <w:marTop w:val="0"/>
      <w:marBottom w:val="0"/>
      <w:divBdr>
        <w:top w:val="none" w:sz="0" w:space="0" w:color="auto"/>
        <w:left w:val="none" w:sz="0" w:space="0" w:color="auto"/>
        <w:bottom w:val="none" w:sz="0" w:space="0" w:color="auto"/>
        <w:right w:val="none" w:sz="0" w:space="0" w:color="auto"/>
      </w:divBdr>
    </w:div>
    <w:div w:id="208221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business.gov.au/bads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industry.gov.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industry.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aa25a1a23adf4c92a153145de6afe324 xmlns="81b0b899-d3b4-423a-ad23-a4937152e5a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n99e4c9942c6404eb103464a00e6097b xmlns="81b0b899-d3b4-423a-ad23-a4937152e5a8">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712d5b50-1b62-44de-9d3e-74234783b265</TermId>
        </TermInfo>
      </Terms>
    </n99e4c9942c6404eb103464a00e6097b>
    <adb9bed2e36e4a93af574aeb444da63e xmlns="81b0b899-d3b4-423a-ad23-a4937152e5a8">
      <Terms xmlns="http://schemas.microsoft.com/office/infopath/2007/PartnerControls"/>
    </adb9bed2e36e4a93af574aeb444da63e>
    <TaxCatchAll xmlns="81b0b899-d3b4-423a-ad23-a4937152e5a8">
      <Value>333</Value>
      <Value>491</Value>
      <Value>85</Value>
      <Value>1</Value>
    </TaxCatchAll>
    <pe2555c81638466f9eb614edb9ecde52 xmlns="81b0b899-d3b4-423a-ad23-a4937152e5a8">
      <Terms xmlns="http://schemas.microsoft.com/office/infopath/2007/PartnerControls">
        <TermInfo xmlns="http://schemas.microsoft.com/office/infopath/2007/PartnerControls">
          <TermName xmlns="http://schemas.microsoft.com/office/infopath/2007/PartnerControls">Agenda</TermName>
          <TermId xmlns="http://schemas.microsoft.com/office/infopath/2007/PartnerControls">714b106c-1997-42bd-bc30-232239c4425a</TermId>
        </TermInfo>
      </Terms>
    </pe2555c81638466f9eb614edb9ecde52>
    <g7bcb40ba23249a78edca7d43a67c1c9 xmlns="81b0b899-d3b4-423a-ad23-a4937152e5a8">
      <Terms xmlns="http://schemas.microsoft.com/office/infopath/2007/PartnerControls">
        <TermInfo xmlns="http://schemas.microsoft.com/office/infopath/2007/PartnerControls">
          <TermName xmlns="http://schemas.microsoft.com/office/infopath/2007/PartnerControls">Governance</TermName>
          <TermId xmlns="http://schemas.microsoft.com/office/infopath/2007/PartnerControls">f42a5d77-63fb-4900-9351-73f828a02bbd</TermId>
        </TermInfo>
      </Terms>
    </g7bcb40ba23249a78edca7d43a67c1c9>
    <_dlc_DocId xmlns="81b0b899-d3b4-423a-ad23-a4937152e5a8">CVP4KWCTENUR-361242766-1722</_dlc_DocId>
    <_dlc_DocIdUrl xmlns="81b0b899-d3b4-423a-ad23-a4937152e5a8">
      <Url>https://dochub/div/officeofnorthernaustralia/committeesandgroups/nrwmgovernance/_layouts/15/DocIdRedir.aspx?ID=CVP4KWCTENUR-361242766-1722</Url>
      <Description>CVP4KWCTENUR-361242766-1722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715301853E48443827B0412B5CC90D7" ma:contentTypeVersion="13" ma:contentTypeDescription="Create a new document." ma:contentTypeScope="" ma:versionID="2316cd0786122ef404887153be9a9ac2">
  <xsd:schema xmlns:xsd="http://www.w3.org/2001/XMLSchema" xmlns:xs="http://www.w3.org/2001/XMLSchema" xmlns:p="http://schemas.microsoft.com/office/2006/metadata/properties" xmlns:ns1="http://schemas.microsoft.com/sharepoint/v3" xmlns:ns2="81b0b899-d3b4-423a-ad23-a4937152e5a8" xmlns:ns3="d92934b5-032c-4da3-958e-788fdb9771c1" targetNamespace="http://schemas.microsoft.com/office/2006/metadata/properties" ma:root="true" ma:fieldsID="d63c1a782a532c25caeb26549855e8ea" ns1:_="" ns2:_="" ns3:_="">
    <xsd:import namespace="http://schemas.microsoft.com/sharepoint/v3"/>
    <xsd:import namespace="81b0b899-d3b4-423a-ad23-a4937152e5a8"/>
    <xsd:import namespace="d92934b5-032c-4da3-958e-788fdb9771c1"/>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b0b899-d3b4-423a-ad23-a4937152e5a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02e8ca0a-ece4-4eeb-9587-75e521e14479}" ma:internalName="TaxCatchAll" ma:showField="CatchAllData" ma:web="d92934b5-032c-4da3-958e-788fdb9771c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67a04eba-df4a-46cb-bbde-98e4bc5c05e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92934b5-032c-4da3-958e-788fdb9771c1"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910CE-B248-4855-A0B1-08BAFED880CC}">
  <ds:schemaRefs>
    <ds:schemaRef ds:uri="http://purl.org/dc/terms/"/>
    <ds:schemaRef ds:uri="http://schemas.openxmlformats.org/package/2006/metadata/core-properties"/>
    <ds:schemaRef ds:uri="http://schemas.microsoft.com/office/2006/documentManagement/types"/>
    <ds:schemaRef ds:uri="d92934b5-032c-4da3-958e-788fdb9771c1"/>
    <ds:schemaRef ds:uri="http://purl.org/dc/elements/1.1/"/>
    <ds:schemaRef ds:uri="http://schemas.microsoft.com/office/2006/metadata/properties"/>
    <ds:schemaRef ds:uri="http://schemas.microsoft.com/sharepoint/v3"/>
    <ds:schemaRef ds:uri="http://schemas.microsoft.com/office/infopath/2007/PartnerControls"/>
    <ds:schemaRef ds:uri="81b0b899-d3b4-423a-ad23-a4937152e5a8"/>
    <ds:schemaRef ds:uri="http://www.w3.org/XML/1998/namespace"/>
    <ds:schemaRef ds:uri="http://purl.org/dc/dcmitype/"/>
  </ds:schemaRefs>
</ds:datastoreItem>
</file>

<file path=customXml/itemProps2.xml><?xml version="1.0" encoding="utf-8"?>
<ds:datastoreItem xmlns:ds="http://schemas.openxmlformats.org/officeDocument/2006/customXml" ds:itemID="{707C339A-5967-403D-878B-0EDBF40E7AD7}">
  <ds:schemaRefs>
    <ds:schemaRef ds:uri="http://schemas.microsoft.com/sharepoint/events"/>
  </ds:schemaRefs>
</ds:datastoreItem>
</file>

<file path=customXml/itemProps3.xml><?xml version="1.0" encoding="utf-8"?>
<ds:datastoreItem xmlns:ds="http://schemas.openxmlformats.org/officeDocument/2006/customXml" ds:itemID="{471C8B42-F031-4115-B20A-FAAEB2D14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b0b899-d3b4-423a-ad23-a4937152e5a8"/>
    <ds:schemaRef ds:uri="d92934b5-032c-4da3-958e-788fdb977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E5455A-C543-41DE-9165-C2CC9E8B6969}">
  <ds:schemaRefs>
    <ds:schemaRef ds:uri="http://schemas.microsoft.com/sharepoint/v3/contenttype/forms"/>
  </ds:schemaRefs>
</ds:datastoreItem>
</file>

<file path=customXml/itemProps5.xml><?xml version="1.0" encoding="utf-8"?>
<ds:datastoreItem xmlns:ds="http://schemas.openxmlformats.org/officeDocument/2006/customXml" ds:itemID="{A0660958-4725-4DA2-85C9-52EB95210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6</Pages>
  <Words>1699</Words>
  <Characters>9686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11363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Cooper, Colin</cp:lastModifiedBy>
  <cp:revision>31</cp:revision>
  <cp:lastPrinted>2021-02-17T03:20:00Z</cp:lastPrinted>
  <dcterms:created xsi:type="dcterms:W3CDTF">2021-02-10T01:43:00Z</dcterms:created>
  <dcterms:modified xsi:type="dcterms:W3CDTF">2021-02-17T03:20:00Z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0x0101009715301853E48443827B0412B5CC90D7</vt:lpwstr>
  </property>
  <property fmtid="{D5CDD505-2E9C-101B-9397-08002B2CF9AE}" pid="3" name="DocHub_Year">
    <vt:lpwstr>491;#2021|712d5b50-1b62-44de-9d3e-74234783b265</vt:lpwstr>
  </property>
  <property fmtid="{D5CDD505-2E9C-101B-9397-08002B2CF9AE}" pid="4" name="DocHub_DocumentType">
    <vt:lpwstr>85;#Agenda|714b106c-1997-42bd-bc30-232239c4425a</vt:lpwstr>
  </property>
  <property fmtid="{D5CDD505-2E9C-101B-9397-08002B2CF9AE}" pid="5" name="DocHub_SecurityClassification">
    <vt:lpwstr>1;#OFFICIAL|6106d03b-a1a0-4e30-9d91-d5e9fb4314f9</vt:lpwstr>
  </property>
  <property fmtid="{D5CDD505-2E9C-101B-9397-08002B2CF9AE}" pid="6" name="DocHub_Keywords">
    <vt:lpwstr/>
  </property>
  <property fmtid="{D5CDD505-2E9C-101B-9397-08002B2CF9AE}" pid="7" name="DocHub_WorkActivity">
    <vt:lpwstr>333;#Governance|f42a5d77-63fb-4900-9351-73f828a02bbd</vt:lpwstr>
  </property>
  <property fmtid="{D5CDD505-2E9C-101B-9397-08002B2CF9AE}" pid="8" name="DocHub_NRWMCommittee">
    <vt:lpwstr>2207;#Interdepartmental Committee|5c0e2ab0-6dc4-475f-80b0-70a0923ddc5c</vt:lpwstr>
  </property>
  <property fmtid="{D5CDD505-2E9C-101B-9397-08002B2CF9AE}" pid="9" name="_dlc_DocIdItemGuid">
    <vt:lpwstr>e31be9ca-d9b3-416c-8436-4f7f4bf81895</vt:lpwstr>
  </property>
  <property fmtid="{D5CDD505-2E9C-101B-9397-08002B2CF9AE}" pid="10" name="DocHub_NRWMCommitteeMembers">
    <vt:lpwstr/>
  </property>
  <property fmtid="{D5CDD505-2E9C-101B-9397-08002B2CF9AE}" pid="11" name="DocHub_NRWMSite">
    <vt:lpwstr/>
  </property>
</Properties>
</file>