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58BC" w14:textId="73D59CD8" w:rsidR="00E81952" w:rsidRPr="00F27B5D" w:rsidRDefault="003E3EBE" w:rsidP="003E3EBE">
      <w:pPr>
        <w:spacing w:before="240" w:after="0"/>
        <w:rPr>
          <w:color w:val="002060"/>
          <w:sz w:val="24"/>
        </w:rPr>
      </w:pPr>
      <w:r>
        <w:rPr>
          <w:noProof/>
          <w:lang w:eastAsia="en-AU"/>
        </w:rPr>
        <mc:AlternateContent>
          <mc:Choice Requires="wps">
            <w:drawing>
              <wp:anchor distT="0" distB="0" distL="114300" distR="114300" simplePos="0" relativeHeight="251656704" behindDoc="1" locked="0" layoutInCell="1" allowOverlap="1" wp14:anchorId="49257C73" wp14:editId="64EEFE15">
                <wp:simplePos x="0" y="0"/>
                <wp:positionH relativeFrom="column">
                  <wp:posOffset>-152400</wp:posOffset>
                </wp:positionH>
                <wp:positionV relativeFrom="paragraph">
                  <wp:posOffset>12701</wp:posOffset>
                </wp:positionV>
                <wp:extent cx="2851150" cy="33147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851150" cy="3314700"/>
                        </a:xfrm>
                        <a:prstGeom prst="rect">
                          <a:avLst/>
                        </a:prstGeom>
                        <a:solidFill>
                          <a:srgbClr val="E0EBF3">
                            <a:alpha val="87843"/>
                          </a:srgb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FE792" id="Rectangle 2" o:spid="_x0000_s1026" style="position:absolute;margin-left:-12pt;margin-top:1pt;width:224.5pt;height:2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" fillcolor="#e0ebf3" strokecolor="#5b9bd5 [3204]" strokeweight="1pt">
                <v:fill opacity="57568f"/>
              </v:rect>
            </w:pict>
          </mc:Fallback>
        </mc:AlternateContent>
      </w:r>
      <w:r w:rsidR="00E81952" w:rsidRPr="00F27B5D">
        <w:rPr>
          <w:b/>
          <w:color w:val="002060"/>
          <w:sz w:val="24"/>
        </w:rPr>
        <w:t>Customer</w:t>
      </w:r>
      <w:r w:rsidR="00E81952" w:rsidRPr="00F27B5D">
        <w:rPr>
          <w:color w:val="002060"/>
          <w:sz w:val="24"/>
        </w:rPr>
        <w:t xml:space="preserve">: </w:t>
      </w:r>
      <w:r w:rsidR="004F061C" w:rsidRPr="004F061C">
        <w:rPr>
          <w:rFonts w:cs="Calibri"/>
          <w:color w:val="4472C4" w:themeColor="accent5"/>
          <w:sz w:val="24"/>
          <w:szCs w:val="24"/>
        </w:rPr>
        <w:t>Waterflow</w:t>
      </w:r>
      <w:r w:rsidR="004F061C" w:rsidRPr="004F061C">
        <w:rPr>
          <w:rFonts w:cs="Calibri"/>
          <w:color w:val="4472C4" w:themeColor="accent5"/>
          <w:sz w:val="24"/>
          <w:szCs w:val="24"/>
          <w:vertAlign w:val="superscript"/>
        </w:rPr>
        <w:t>TM</w:t>
      </w:r>
      <w:r w:rsidR="004F061C" w:rsidRPr="004F061C">
        <w:rPr>
          <w:rFonts w:cs="Calibri"/>
          <w:color w:val="4472C4" w:themeColor="accent5"/>
          <w:sz w:val="24"/>
          <w:szCs w:val="24"/>
        </w:rPr>
        <w:t>, by Marsden Jacob Associates</w:t>
      </w:r>
      <w:r w:rsidR="004F061C">
        <w:rPr>
          <w:rFonts w:cs="Calibri"/>
          <w:color w:val="4472C4" w:themeColor="accent5"/>
          <w:sz w:val="24"/>
          <w:szCs w:val="24"/>
        </w:rPr>
        <w:t xml:space="preserve"> (MJA)</w:t>
      </w:r>
    </w:p>
    <w:p w14:paraId="6D18EE2C" w14:textId="4CDFC853" w:rsidR="00F00AE7" w:rsidRDefault="004F061C" w:rsidP="00E81952">
      <w:pPr>
        <w:spacing w:before="80" w:after="0"/>
        <w:rPr>
          <w:rFonts w:cstheme="minorHAnsi"/>
        </w:rPr>
      </w:pPr>
      <w:r>
        <w:rPr>
          <w:rFonts w:ascii="Calibri" w:hAnsi="Calibri" w:cs="Calibri"/>
          <w:bCs/>
          <w:lang w:val="en-US"/>
        </w:rPr>
        <w:t xml:space="preserve">Waterflow </w:t>
      </w:r>
      <w:r>
        <w:rPr>
          <w:rFonts w:cstheme="minorHAnsi"/>
        </w:rPr>
        <w:t xml:space="preserve">provides water market information through mobile phone and web-based applications. It came about as a national need to improve </w:t>
      </w:r>
      <w:r>
        <w:rPr>
          <w:rFonts w:ascii="Calibri" w:hAnsi="Calibri" w:cs="Calibri"/>
          <w:bCs/>
          <w:lang w:val="en-US"/>
        </w:rPr>
        <w:t>transparency and reliability of water market information.</w:t>
      </w:r>
      <w:r w:rsidR="00F00AE7" w:rsidRPr="00CA438D">
        <w:rPr>
          <w:rFonts w:cstheme="minorHAnsi"/>
        </w:rPr>
        <w:t xml:space="preserve"> </w:t>
      </w:r>
    </w:p>
    <w:p w14:paraId="707611EE" w14:textId="011433F2" w:rsidR="00E81952" w:rsidRPr="00F00AE7" w:rsidRDefault="00E81952" w:rsidP="00E81952">
      <w:pPr>
        <w:spacing w:before="80" w:after="0"/>
        <w:rPr>
          <w:lang w:val="en"/>
        </w:rPr>
      </w:pPr>
      <w:r w:rsidRPr="003E3EBE">
        <w:rPr>
          <w:b/>
          <w:lang w:val="en"/>
        </w:rPr>
        <w:t xml:space="preserve">Employees: </w:t>
      </w:r>
      <w:r w:rsidR="004F061C" w:rsidRPr="00B56DC5">
        <w:rPr>
          <w:rFonts w:ascii="Calibri" w:hAnsi="Calibri" w:cs="Calibri"/>
        </w:rPr>
        <w:t>MJA</w:t>
      </w:r>
      <w:r w:rsidR="004F061C">
        <w:rPr>
          <w:rFonts w:ascii="Calibri" w:hAnsi="Calibri" w:cs="Calibri"/>
        </w:rPr>
        <w:t xml:space="preserve">’s </w:t>
      </w:r>
      <w:r w:rsidR="004F061C" w:rsidRPr="00B56DC5">
        <w:rPr>
          <w:rFonts w:ascii="Calibri" w:hAnsi="Calibri" w:cs="Calibri"/>
        </w:rPr>
        <w:t xml:space="preserve">water team </w:t>
      </w:r>
      <w:r w:rsidR="004F061C">
        <w:rPr>
          <w:rFonts w:ascii="Calibri" w:hAnsi="Calibri" w:cs="Calibri"/>
        </w:rPr>
        <w:t xml:space="preserve">is nationally recognised as a leading advisor on water market, policy and infrastructure.  </w:t>
      </w:r>
    </w:p>
    <w:p w14:paraId="7C9AD2B7" w14:textId="6A8B9228" w:rsidR="00E81952" w:rsidRPr="003E3EBE" w:rsidRDefault="00E81952" w:rsidP="00E81952">
      <w:pPr>
        <w:spacing w:before="80" w:after="0"/>
      </w:pPr>
      <w:r w:rsidRPr="003E3EBE">
        <w:rPr>
          <w:b/>
        </w:rPr>
        <w:t>Sector</w:t>
      </w:r>
      <w:r w:rsidRPr="003E3EBE">
        <w:t xml:space="preserve">: </w:t>
      </w:r>
      <w:r w:rsidR="004F061C">
        <w:t>Water</w:t>
      </w:r>
    </w:p>
    <w:p w14:paraId="5A92AF0A" w14:textId="041B1CC5" w:rsidR="00E81952" w:rsidRPr="003E3EBE" w:rsidRDefault="00E81952" w:rsidP="00E81952">
      <w:pPr>
        <w:spacing w:before="80" w:after="0"/>
      </w:pPr>
      <w:r w:rsidRPr="003E3EBE">
        <w:rPr>
          <w:b/>
        </w:rPr>
        <w:t>Location</w:t>
      </w:r>
      <w:r w:rsidR="004F061C">
        <w:rPr>
          <w:b/>
        </w:rPr>
        <w:t>s</w:t>
      </w:r>
      <w:r w:rsidRPr="003E3EBE">
        <w:t xml:space="preserve">: </w:t>
      </w:r>
      <w:r w:rsidR="004F061C">
        <w:rPr>
          <w:rFonts w:cstheme="minorHAnsi"/>
        </w:rPr>
        <w:t>Melbourne, Sydney, Perth, Brisbane.</w:t>
      </w:r>
      <w:r w:rsidR="00C04EDE">
        <w:t xml:space="preserve"> </w:t>
      </w:r>
    </w:p>
    <w:p w14:paraId="4851F683" w14:textId="77777777" w:rsidR="001205AB" w:rsidRDefault="00C63A85" w:rsidP="001205AB">
      <w:pPr>
        <w:spacing w:before="80" w:after="0"/>
      </w:pPr>
      <w:r w:rsidRPr="003E3EBE">
        <w:rPr>
          <w:b/>
        </w:rPr>
        <w:t>Electorate</w:t>
      </w:r>
      <w:r w:rsidR="004F061C">
        <w:rPr>
          <w:b/>
        </w:rPr>
        <w:t>s</w:t>
      </w:r>
      <w:r w:rsidRPr="003E3EBE">
        <w:rPr>
          <w:b/>
        </w:rPr>
        <w:t xml:space="preserve">: </w:t>
      </w:r>
      <w:r w:rsidR="004F061C">
        <w:rPr>
          <w:rFonts w:cstheme="minorHAnsi"/>
        </w:rPr>
        <w:t>Melbourne, Sydney, Perth, Brisbane.</w:t>
      </w:r>
    </w:p>
    <w:p w14:paraId="0B6ADE4E" w14:textId="77777777" w:rsidR="00C04EDE" w:rsidRDefault="00411DB4" w:rsidP="00E81952">
      <w:r>
        <w:rPr>
          <w:noProof/>
          <w:lang w:eastAsia="en-AU"/>
        </w:rPr>
        <mc:AlternateContent>
          <mc:Choice Requires="wps">
            <w:drawing>
              <wp:anchor distT="0" distB="0" distL="114300" distR="114300" simplePos="0" relativeHeight="251667456" behindDoc="1" locked="0" layoutInCell="1" allowOverlap="1" wp14:anchorId="0BB195FF" wp14:editId="46688157">
                <wp:simplePos x="0" y="0"/>
                <wp:positionH relativeFrom="column">
                  <wp:posOffset>-152400</wp:posOffset>
                </wp:positionH>
                <wp:positionV relativeFrom="paragraph">
                  <wp:posOffset>250825</wp:posOffset>
                </wp:positionV>
                <wp:extent cx="2851150" cy="519112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2851150" cy="5191125"/>
                        </a:xfrm>
                        <a:prstGeom prst="rect">
                          <a:avLst/>
                        </a:prstGeom>
                        <a:solidFill>
                          <a:srgbClr val="E0EBF3">
                            <a:alpha val="87843"/>
                          </a:srgb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98688" id="Rectangle 1" o:spid="_x0000_s1026" style="position:absolute;margin-left:-12pt;margin-top:19.75pt;width:224.5pt;height:40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" fillcolor="#e0ebf3" strokecolor="#5b9bd5 [3204]" strokeweight=".5pt">
                <v:fill opacity="57568f"/>
              </v:rect>
            </w:pict>
          </mc:Fallback>
        </mc:AlternateContent>
      </w:r>
    </w:p>
    <w:p w14:paraId="1DDEFA3B" w14:textId="77777777" w:rsidR="00811AE0" w:rsidRDefault="00E81952" w:rsidP="00811AE0">
      <w:pPr>
        <w:spacing w:before="240" w:after="0"/>
        <w:rPr>
          <w:rFonts w:cs="Calibri"/>
          <w:color w:val="4472C4" w:themeColor="accent5"/>
          <w:sz w:val="24"/>
          <w:szCs w:val="24"/>
        </w:rPr>
      </w:pPr>
      <w:r w:rsidRPr="00F27B5D">
        <w:rPr>
          <w:b/>
          <w:color w:val="002060"/>
          <w:sz w:val="24"/>
        </w:rPr>
        <w:t>Program</w:t>
      </w:r>
      <w:r w:rsidRPr="00F27B5D">
        <w:rPr>
          <w:color w:val="002060"/>
          <w:sz w:val="24"/>
        </w:rPr>
        <w:t xml:space="preserve">: </w:t>
      </w:r>
      <w:r w:rsidR="004F061C" w:rsidRPr="004F061C">
        <w:rPr>
          <w:rFonts w:cs="Calibri"/>
          <w:color w:val="4472C4" w:themeColor="accent5"/>
          <w:sz w:val="24"/>
          <w:szCs w:val="24"/>
        </w:rPr>
        <w:t>Business, Research and Innovation Initiative (BRII)</w:t>
      </w:r>
    </w:p>
    <w:p w14:paraId="0E325D23" w14:textId="77777777" w:rsidR="004F061C" w:rsidRDefault="004F061C" w:rsidP="004F061C">
      <w:pPr>
        <w:autoSpaceDE w:val="0"/>
        <w:autoSpaceDN w:val="0"/>
        <w:adjustRightInd w:val="0"/>
        <w:spacing w:after="0" w:line="240" w:lineRule="auto"/>
        <w:rPr>
          <w:rFonts w:ascii="Calibri" w:hAnsi="Calibri" w:cs="Calibri"/>
        </w:rPr>
      </w:pPr>
      <w:r>
        <w:rPr>
          <w:rFonts w:ascii="Calibri" w:hAnsi="Calibri" w:cs="Calibri"/>
        </w:rPr>
        <w:br/>
        <w:t xml:space="preserve">The </w:t>
      </w:r>
      <w:r w:rsidRPr="009267CF">
        <w:rPr>
          <w:rFonts w:ascii="Calibri" w:hAnsi="Calibri" w:cs="Calibri"/>
        </w:rPr>
        <w:t xml:space="preserve">Business Research and Innovation Initiative (BRII) </w:t>
      </w:r>
      <w:r>
        <w:rPr>
          <w:rFonts w:ascii="Calibri" w:hAnsi="Calibri" w:cs="Calibri"/>
        </w:rPr>
        <w:t>p</w:t>
      </w:r>
      <w:r w:rsidRPr="009267CF">
        <w:rPr>
          <w:rFonts w:ascii="Calibri" w:hAnsi="Calibri" w:cs="Calibri"/>
        </w:rPr>
        <w:t>rovides small to medium sized enterprises (SMEs) with funding to develop innovative solutions for government policy and service delivery challenges</w:t>
      </w:r>
      <w:r>
        <w:rPr>
          <w:rFonts w:ascii="Calibri" w:hAnsi="Calibri" w:cs="Calibri"/>
        </w:rPr>
        <w:t>.</w:t>
      </w:r>
    </w:p>
    <w:p w14:paraId="3D2BC7EE" w14:textId="77777777" w:rsidR="00E81952" w:rsidRDefault="004F061C" w:rsidP="004F061C">
      <w:pPr>
        <w:autoSpaceDE w:val="0"/>
        <w:autoSpaceDN w:val="0"/>
        <w:adjustRightInd w:val="0"/>
        <w:spacing w:after="0" w:line="240" w:lineRule="auto"/>
        <w:rPr>
          <w:rFonts w:ascii="Calibri" w:hAnsi="Calibri" w:cs="Calibri"/>
        </w:rPr>
      </w:pPr>
      <w:r>
        <w:rPr>
          <w:rFonts w:ascii="Calibri" w:hAnsi="Calibri" w:cs="Calibri"/>
        </w:rPr>
        <w:br/>
        <w:t>T</w:t>
      </w:r>
      <w:r w:rsidRPr="00EE7438">
        <w:rPr>
          <w:rFonts w:ascii="Calibri" w:hAnsi="Calibri" w:cs="Calibri"/>
        </w:rPr>
        <w:t xml:space="preserve">he </w:t>
      </w:r>
      <w:r>
        <w:rPr>
          <w:rFonts w:ascii="Calibri" w:hAnsi="Calibri" w:cs="Calibri"/>
        </w:rPr>
        <w:t>Department of Agriculture, Water and Resources</w:t>
      </w:r>
      <w:r w:rsidRPr="00EE7438">
        <w:rPr>
          <w:rFonts w:ascii="Calibri" w:hAnsi="Calibri" w:cs="Calibri"/>
        </w:rPr>
        <w:t xml:space="preserve"> </w:t>
      </w:r>
      <w:r>
        <w:rPr>
          <w:rFonts w:ascii="Calibri" w:hAnsi="Calibri" w:cs="Calibri"/>
        </w:rPr>
        <w:t>proposed this BRII challenge.</w:t>
      </w:r>
    </w:p>
    <w:p w14:paraId="53A1C27D" w14:textId="77777777" w:rsidR="004F061C" w:rsidRDefault="004F061C" w:rsidP="004F061C">
      <w:pPr>
        <w:autoSpaceDE w:val="0"/>
        <w:autoSpaceDN w:val="0"/>
        <w:adjustRightInd w:val="0"/>
        <w:spacing w:after="0" w:line="240" w:lineRule="auto"/>
      </w:pPr>
    </w:p>
    <w:p w14:paraId="7FAF04C1" w14:textId="77777777" w:rsidR="004F061C" w:rsidRDefault="00DE2B5A" w:rsidP="004F061C">
      <w:pPr>
        <w:pStyle w:val="ListParagraph"/>
        <w:spacing w:line="240" w:lineRule="auto"/>
        <w:ind w:left="0"/>
        <w:rPr>
          <w:rFonts w:ascii="Calibri" w:hAnsi="Calibri" w:cs="Calibri"/>
          <w:bCs/>
          <w:lang w:val="en-US"/>
        </w:rPr>
      </w:pPr>
      <w:r w:rsidRPr="00F00AE7">
        <w:rPr>
          <w:b/>
        </w:rPr>
        <w:t>Support</w:t>
      </w:r>
      <w:r w:rsidR="00E81952">
        <w:t>:</w:t>
      </w:r>
      <w:r w:rsidR="00E81952" w:rsidRPr="00DE208D">
        <w:t xml:space="preserve"> </w:t>
      </w:r>
      <w:r w:rsidR="004F061C">
        <w:rPr>
          <w:rFonts w:cstheme="minorHAnsi"/>
        </w:rPr>
        <w:t>In mid-2017, Marsden Jacob Associates</w:t>
      </w:r>
      <w:r w:rsidR="004F061C" w:rsidRPr="00574DBF">
        <w:rPr>
          <w:rFonts w:ascii="Calibri" w:hAnsi="Calibri" w:cs="Calibri"/>
          <w:bCs/>
          <w:lang w:val="en-US"/>
        </w:rPr>
        <w:t xml:space="preserve"> </w:t>
      </w:r>
      <w:r w:rsidR="004F061C">
        <w:rPr>
          <w:rFonts w:ascii="Calibri" w:hAnsi="Calibri" w:cs="Calibri"/>
          <w:bCs/>
          <w:lang w:val="en-US"/>
        </w:rPr>
        <w:t xml:space="preserve">was awarded a </w:t>
      </w:r>
      <w:r w:rsidR="004F061C" w:rsidRPr="00574DBF">
        <w:rPr>
          <w:rFonts w:ascii="Calibri" w:hAnsi="Calibri" w:cs="Calibri"/>
          <w:bCs/>
          <w:lang w:val="en-US"/>
        </w:rPr>
        <w:t>BRII</w:t>
      </w:r>
      <w:r w:rsidR="004F061C">
        <w:rPr>
          <w:rFonts w:ascii="Calibri" w:hAnsi="Calibri" w:cs="Calibri"/>
          <w:bCs/>
          <w:lang w:val="en-US"/>
        </w:rPr>
        <w:t xml:space="preserve"> </w:t>
      </w:r>
      <w:r w:rsidR="004F061C" w:rsidRPr="00574DBF">
        <w:rPr>
          <w:rFonts w:ascii="Calibri" w:hAnsi="Calibri" w:cs="Calibri"/>
          <w:bCs/>
          <w:lang w:val="en-US"/>
        </w:rPr>
        <w:t xml:space="preserve">Feasibility Study grant </w:t>
      </w:r>
      <w:r w:rsidR="004F061C">
        <w:rPr>
          <w:rFonts w:ascii="Calibri" w:hAnsi="Calibri" w:cs="Calibri"/>
          <w:bCs/>
          <w:lang w:val="en-US"/>
        </w:rPr>
        <w:t xml:space="preserve">of </w:t>
      </w:r>
      <w:r w:rsidR="004F061C" w:rsidRPr="00574DBF">
        <w:rPr>
          <w:rFonts w:ascii="Calibri" w:hAnsi="Calibri" w:cs="Calibri"/>
          <w:bCs/>
          <w:lang w:val="en-US"/>
        </w:rPr>
        <w:t>$99,897</w:t>
      </w:r>
      <w:r w:rsidR="004F061C">
        <w:rPr>
          <w:rFonts w:ascii="Calibri" w:hAnsi="Calibri" w:cs="Calibri"/>
          <w:bCs/>
          <w:lang w:val="en-US"/>
        </w:rPr>
        <w:t xml:space="preserve"> to prove how its Waterflow product would improve transparency and reliability of water market information.</w:t>
      </w:r>
    </w:p>
    <w:p w14:paraId="78566E06" w14:textId="77777777" w:rsidR="00E81952" w:rsidRPr="0066011A" w:rsidRDefault="004F061C" w:rsidP="004F061C">
      <w:pPr>
        <w:pStyle w:val="ListParagraph"/>
        <w:spacing w:line="240" w:lineRule="auto"/>
        <w:ind w:left="0"/>
        <w:rPr>
          <w:lang w:val="en"/>
        </w:rPr>
      </w:pPr>
      <w:r>
        <w:rPr>
          <w:rFonts w:ascii="Calibri" w:hAnsi="Calibri" w:cs="Calibri"/>
          <w:bCs/>
          <w:lang w:val="en-US"/>
        </w:rPr>
        <w:br/>
        <w:t xml:space="preserve">That study was successful and </w:t>
      </w:r>
      <w:r w:rsidRPr="00574DBF">
        <w:rPr>
          <w:rFonts w:ascii="Calibri" w:hAnsi="Calibri" w:cs="Calibri"/>
          <w:bCs/>
          <w:lang w:val="en-US"/>
        </w:rPr>
        <w:t xml:space="preserve">from </w:t>
      </w:r>
      <w:r>
        <w:rPr>
          <w:rFonts w:ascii="Calibri" w:hAnsi="Calibri" w:cs="Calibri"/>
          <w:bCs/>
          <w:lang w:val="en-US"/>
        </w:rPr>
        <w:t xml:space="preserve">October 2017 the Waterflow project kicked into gear through the support of a $1 million BRII </w:t>
      </w:r>
      <w:r w:rsidRPr="00574DBF">
        <w:rPr>
          <w:rFonts w:ascii="Calibri" w:hAnsi="Calibri" w:cs="Calibri"/>
          <w:bCs/>
          <w:lang w:val="en-US"/>
        </w:rPr>
        <w:t>Proof of Concept grant</w:t>
      </w:r>
      <w:r>
        <w:rPr>
          <w:rFonts w:ascii="Calibri" w:hAnsi="Calibri" w:cs="Calibri"/>
          <w:bCs/>
          <w:lang w:val="en-US"/>
        </w:rPr>
        <w:t>.</w:t>
      </w:r>
    </w:p>
    <w:p w14:paraId="26C7DD95" w14:textId="77777777" w:rsidR="0066011A" w:rsidRDefault="00E81952" w:rsidP="00A77861">
      <w:pPr>
        <w:spacing w:after="0"/>
      </w:pPr>
      <w:r>
        <w:t xml:space="preserve">For more information on </w:t>
      </w:r>
      <w:r w:rsidR="00365A79" w:rsidRPr="00365A79">
        <w:rPr>
          <w:rFonts w:cs="Calibri"/>
          <w:color w:val="4472C4" w:themeColor="accent5"/>
        </w:rPr>
        <w:t>Marsden Jacob Associates</w:t>
      </w:r>
      <w:r w:rsidR="00365A79">
        <w:rPr>
          <w:rFonts w:cs="Calibri"/>
          <w:color w:val="4472C4" w:themeColor="accent5"/>
        </w:rPr>
        <w:t xml:space="preserve">’ </w:t>
      </w:r>
      <w:r w:rsidR="00365A79" w:rsidRPr="00365A79">
        <w:rPr>
          <w:rFonts w:cs="Calibri"/>
        </w:rPr>
        <w:t>initiative</w:t>
      </w:r>
      <w:r w:rsidR="00365A79" w:rsidRPr="00365A79">
        <w:rPr>
          <w:rFonts w:cs="Calibri"/>
          <w:color w:val="4472C4" w:themeColor="accent5"/>
        </w:rPr>
        <w:t xml:space="preserve"> </w:t>
      </w:r>
      <w:r>
        <w:t xml:space="preserve">visit </w:t>
      </w:r>
      <w:hyperlink r:id="rId12" w:history="1">
        <w:r w:rsidR="00365A79">
          <w:rPr>
            <w:rStyle w:val="Hyperlink"/>
          </w:rPr>
          <w:t>Waterflow</w:t>
        </w:r>
      </w:hyperlink>
      <w:r>
        <w:t>.</w:t>
      </w:r>
    </w:p>
    <w:p w14:paraId="5C8C6B47" w14:textId="77777777" w:rsidR="004F061C" w:rsidRDefault="004F061C" w:rsidP="00A77861">
      <w:pPr>
        <w:spacing w:after="0"/>
      </w:pPr>
    </w:p>
    <w:p w14:paraId="11FC6DF2" w14:textId="77777777" w:rsidR="00811AE0" w:rsidRPr="006B3D7D" w:rsidRDefault="00811AE0" w:rsidP="00A77861">
      <w:pPr>
        <w:spacing w:after="0"/>
      </w:pPr>
      <w:r w:rsidRPr="006B3D7D">
        <w:rPr>
          <w:lang w:val="en"/>
        </w:rPr>
        <w:t xml:space="preserve">For more information on </w:t>
      </w:r>
      <w:r w:rsidR="00365A79">
        <w:rPr>
          <w:b/>
          <w:lang w:val="en"/>
        </w:rPr>
        <w:t>BRII</w:t>
      </w:r>
      <w:r w:rsidRPr="006B3D7D">
        <w:rPr>
          <w:lang w:val="en"/>
        </w:rPr>
        <w:t xml:space="preserve"> visit </w:t>
      </w:r>
      <w:hyperlink r:id="rId13" w:history="1">
        <w:r w:rsidRPr="006B3D7D">
          <w:rPr>
            <w:rStyle w:val="Hyperlink"/>
            <w:lang w:val="en"/>
          </w:rPr>
          <w:t>business.gov.au</w:t>
        </w:r>
      </w:hyperlink>
      <w:r w:rsidRPr="006B3D7D">
        <w:rPr>
          <w:lang w:val="en"/>
        </w:rPr>
        <w:t xml:space="preserve"> or call 13 28 46</w:t>
      </w:r>
    </w:p>
    <w:p w14:paraId="43011B4A" w14:textId="3D908765" w:rsidR="005D6813" w:rsidRDefault="00811AE0" w:rsidP="005D6813">
      <w:pPr>
        <w:spacing w:after="0"/>
        <w:ind w:right="-238"/>
      </w:pPr>
      <w:r>
        <w:br w:type="column"/>
      </w:r>
      <w:r w:rsidR="005D6813">
        <w:rPr>
          <w:noProof/>
          <w:lang w:eastAsia="en-AU"/>
        </w:rPr>
        <w:drawing>
          <wp:inline distT="0" distB="0" distL="0" distR="0" wp14:anchorId="10BA2F4C" wp14:editId="2CB1FE75">
            <wp:extent cx="2832233" cy="1466850"/>
            <wp:effectExtent l="0" t="0" r="6350" b="0"/>
            <wp:docPr id="9" name="Picture 9" descr="image of mobile and laptop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JA-images-390x200-opt.jpg"/>
                    <pic:cNvPicPr/>
                  </pic:nvPicPr>
                  <pic:blipFill>
                    <a:blip r:embed="rId14">
                      <a:extLst>
                        <a:ext uri="{28A0092B-C50C-407E-A947-70E740481C1C}">
                          <a14:useLocalDpi xmlns:a14="http://schemas.microsoft.com/office/drawing/2010/main" val="0"/>
                        </a:ext>
                      </a:extLst>
                    </a:blip>
                    <a:stretch>
                      <a:fillRect/>
                    </a:stretch>
                  </pic:blipFill>
                  <pic:spPr>
                    <a:xfrm>
                      <a:off x="0" y="0"/>
                      <a:ext cx="2835954" cy="1468777"/>
                    </a:xfrm>
                    <a:prstGeom prst="rect">
                      <a:avLst/>
                    </a:prstGeom>
                  </pic:spPr>
                </pic:pic>
              </a:graphicData>
            </a:graphic>
          </wp:inline>
        </w:drawing>
      </w:r>
    </w:p>
    <w:p w14:paraId="0AE991F1" w14:textId="77777777" w:rsidR="005D6813" w:rsidRDefault="005D6813" w:rsidP="005D6813">
      <w:pPr>
        <w:spacing w:after="0"/>
        <w:ind w:right="-238"/>
        <w:rPr>
          <w:lang w:val="en-US"/>
        </w:rPr>
      </w:pPr>
    </w:p>
    <w:p w14:paraId="0DC46ED1" w14:textId="2AF79DC2" w:rsidR="00A130FD" w:rsidRDefault="00A130FD" w:rsidP="00055392">
      <w:pPr>
        <w:rPr>
          <w:rFonts w:cstheme="minorHAnsi"/>
        </w:rPr>
      </w:pPr>
      <w:r>
        <w:rPr>
          <w:lang w:val="en-US"/>
        </w:rPr>
        <w:t>Waterflow is not a trading platform. Rather, it provides, at no cost; a market commentary and informs to save water market participants many hours researching water prices, availability and rule considerations</w:t>
      </w:r>
      <w:r w:rsidR="00DF253D">
        <w:rPr>
          <w:rFonts w:cstheme="minorHAnsi"/>
        </w:rPr>
        <w:t>.</w:t>
      </w:r>
    </w:p>
    <w:p w14:paraId="43DBF99A" w14:textId="77777777" w:rsidR="00A130FD" w:rsidRDefault="00A130FD" w:rsidP="00055392">
      <w:pPr>
        <w:rPr>
          <w:rFonts w:cstheme="minorHAnsi"/>
        </w:rPr>
      </w:pPr>
      <w:r>
        <w:rPr>
          <w:rFonts w:cstheme="minorHAnsi"/>
        </w:rPr>
        <w:t>Marsden Jacob</w:t>
      </w:r>
      <w:r w:rsidDel="00BF02AA">
        <w:rPr>
          <w:rFonts w:cstheme="minorHAnsi"/>
        </w:rPr>
        <w:t xml:space="preserve"> </w:t>
      </w:r>
      <w:r>
        <w:rPr>
          <w:rFonts w:cstheme="minorHAnsi"/>
        </w:rPr>
        <w:t xml:space="preserve">partnered with software development company, Alliance </w:t>
      </w:r>
      <w:bookmarkStart w:id="0" w:name="_GoBack"/>
      <w:bookmarkEnd w:id="0"/>
      <w:r>
        <w:rPr>
          <w:rFonts w:cstheme="minorHAnsi"/>
        </w:rPr>
        <w:t>Software, to develop Waterflow and make it work on both mobile and web-based platforms</w:t>
      </w:r>
      <w:r w:rsidRPr="00385E31">
        <w:rPr>
          <w:rFonts w:cstheme="minorHAnsi"/>
        </w:rPr>
        <w:t>.</w:t>
      </w:r>
    </w:p>
    <w:p w14:paraId="69037331" w14:textId="77777777" w:rsidR="00A130FD" w:rsidRDefault="00A130FD" w:rsidP="00055392">
      <w:pPr>
        <w:rPr>
          <w:rFonts w:cstheme="minorHAnsi"/>
          <w:lang w:val="en-US"/>
        </w:rPr>
      </w:pPr>
      <w:r>
        <w:rPr>
          <w:rFonts w:cstheme="minorHAnsi"/>
          <w:lang w:val="en-US"/>
        </w:rPr>
        <w:t>Waterflow’s mobile app presents quick and easy-to-understand water markets information.</w:t>
      </w:r>
    </w:p>
    <w:p w14:paraId="44670E5E" w14:textId="77777777" w:rsidR="00A130FD" w:rsidRDefault="00A130FD" w:rsidP="00055392">
      <w:pPr>
        <w:rPr>
          <w:rFonts w:cstheme="minorHAnsi"/>
        </w:rPr>
      </w:pPr>
      <w:r w:rsidRPr="00F60440">
        <w:rPr>
          <w:rFonts w:cstheme="minorHAnsi"/>
          <w:lang w:val="en-US"/>
        </w:rPr>
        <w:t xml:space="preserve">The web application </w:t>
      </w:r>
      <w:r>
        <w:rPr>
          <w:rFonts w:cstheme="minorHAnsi"/>
          <w:lang w:val="en-US"/>
        </w:rPr>
        <w:t xml:space="preserve">also provides the same content as the mobile application, however, premium users can also access </w:t>
      </w:r>
      <w:r w:rsidRPr="00F60440">
        <w:rPr>
          <w:rFonts w:cstheme="minorHAnsi"/>
          <w:lang w:val="en-US"/>
        </w:rPr>
        <w:t>more detailed data and analysis</w:t>
      </w:r>
      <w:r w:rsidRPr="00F60440">
        <w:rPr>
          <w:rFonts w:cstheme="minorHAnsi"/>
        </w:rPr>
        <w:t>.</w:t>
      </w:r>
    </w:p>
    <w:p w14:paraId="409F17BF" w14:textId="77777777" w:rsidR="00055392" w:rsidRDefault="00055392" w:rsidP="00055392">
      <w:pPr>
        <w:rPr>
          <w:rFonts w:cstheme="minorHAnsi"/>
        </w:rPr>
      </w:pPr>
      <w:r>
        <w:t xml:space="preserve">It </w:t>
      </w:r>
      <w:r w:rsidRPr="007929EF">
        <w:t>help</w:t>
      </w:r>
      <w:r>
        <w:t>s</w:t>
      </w:r>
      <w:r w:rsidRPr="007929EF">
        <w:t xml:space="preserve"> </w:t>
      </w:r>
      <w:r>
        <w:t xml:space="preserve">water market participants to better </w:t>
      </w:r>
      <w:r w:rsidRPr="007929EF">
        <w:t>understand markets and make better</w:t>
      </w:r>
      <w:r>
        <w:t>-</w:t>
      </w:r>
      <w:r w:rsidRPr="007929EF">
        <w:t>informed trades.</w:t>
      </w:r>
    </w:p>
    <w:p w14:paraId="325ECDEF" w14:textId="77777777" w:rsidR="00A130FD" w:rsidRDefault="00A130FD" w:rsidP="00055392">
      <w:r>
        <w:t xml:space="preserve">Many users have likened Waterflow’s search and price comparison tools to being the ‘Trivago search’ for water markets. </w:t>
      </w:r>
    </w:p>
    <w:p w14:paraId="7A0F119A" w14:textId="77777777" w:rsidR="008E6D5C" w:rsidRPr="00CA438D" w:rsidRDefault="00A130FD" w:rsidP="00055392">
      <w:pPr>
        <w:rPr>
          <w:rFonts w:cstheme="minorHAnsi"/>
        </w:rPr>
      </w:pPr>
      <w:r>
        <w:t>But the Marsden Jacob team feels that this is only the beginning of the benefits that Waterflow can provide, through the many data sources that are being drawn together on the platform.</w:t>
      </w:r>
      <w:r w:rsidR="008E6D5C" w:rsidRPr="00CA438D">
        <w:rPr>
          <w:rFonts w:cstheme="minorHAnsi"/>
        </w:rPr>
        <w:t xml:space="preserve"> </w:t>
      </w:r>
    </w:p>
    <w:p w14:paraId="2F234199" w14:textId="77777777" w:rsidR="00EF31CD" w:rsidRDefault="00A204A3" w:rsidP="00EF31CD">
      <w:pPr>
        <w:pStyle w:val="IntenseQuote"/>
        <w:ind w:left="-284" w:right="-377"/>
      </w:pPr>
      <w:r>
        <w:t>“</w:t>
      </w:r>
      <w:r w:rsidR="00A130FD" w:rsidRPr="004542B1">
        <w:rPr>
          <w:rFonts w:ascii="Calibri" w:hAnsi="Calibri" w:cs="Calibri"/>
        </w:rPr>
        <w:t>BRII has enabled us to develop</w:t>
      </w:r>
      <w:r w:rsidR="00A130FD">
        <w:rPr>
          <w:rFonts w:ascii="Calibri" w:hAnsi="Calibri" w:cs="Calibri"/>
        </w:rPr>
        <w:t xml:space="preserve"> and</w:t>
      </w:r>
      <w:r w:rsidR="00A130FD" w:rsidRPr="004542B1">
        <w:rPr>
          <w:rFonts w:ascii="Calibri" w:hAnsi="Calibri" w:cs="Calibri"/>
        </w:rPr>
        <w:t xml:space="preserve"> test a water market information platform that </w:t>
      </w:r>
      <w:r w:rsidR="00A130FD">
        <w:rPr>
          <w:rFonts w:ascii="Calibri" w:hAnsi="Calibri" w:cs="Calibri"/>
        </w:rPr>
        <w:t xml:space="preserve">will </w:t>
      </w:r>
      <w:r w:rsidR="00A130FD" w:rsidRPr="004542B1">
        <w:rPr>
          <w:rFonts w:ascii="Calibri" w:hAnsi="Calibri" w:cs="Calibri"/>
        </w:rPr>
        <w:t>be accessible via mobile and web applications, and confirm that there is a distinct market need for this service</w:t>
      </w:r>
      <w:r w:rsidR="00A130FD">
        <w:rPr>
          <w:rFonts w:ascii="Calibri" w:hAnsi="Calibri" w:cs="Calibri"/>
        </w:rPr>
        <w:t xml:space="preserve">.” </w:t>
      </w:r>
      <w:r w:rsidR="00A130FD">
        <w:rPr>
          <w:rFonts w:ascii="Calibri" w:hAnsi="Calibri" w:cs="Calibri"/>
        </w:rPr>
        <w:br/>
        <w:t>Rod Carr, Marsden Jacob Associates Director</w:t>
      </w:r>
    </w:p>
    <w:sectPr w:rsidR="00EF31CD" w:rsidSect="0049471B">
      <w:headerReference w:type="default" r:id="rId15"/>
      <w:pgSz w:w="11906" w:h="16838"/>
      <w:pgMar w:top="1915" w:right="1440" w:bottom="39" w:left="1440" w:header="284"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C7396" w14:textId="77777777" w:rsidR="00BC522C" w:rsidRDefault="00BC522C" w:rsidP="00DE208D">
      <w:pPr>
        <w:spacing w:after="0" w:line="240" w:lineRule="auto"/>
      </w:pPr>
      <w:r>
        <w:separator/>
      </w:r>
    </w:p>
  </w:endnote>
  <w:endnote w:type="continuationSeparator" w:id="0">
    <w:p w14:paraId="5708C31C" w14:textId="77777777" w:rsidR="00BC522C" w:rsidRDefault="00BC522C" w:rsidP="00DE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1DD08" w14:textId="77777777" w:rsidR="00BC522C" w:rsidRDefault="00BC522C" w:rsidP="00DE208D">
      <w:pPr>
        <w:spacing w:after="0" w:line="240" w:lineRule="auto"/>
      </w:pPr>
      <w:r>
        <w:separator/>
      </w:r>
    </w:p>
  </w:footnote>
  <w:footnote w:type="continuationSeparator" w:id="0">
    <w:p w14:paraId="1095B7C1" w14:textId="77777777" w:rsidR="00BC522C" w:rsidRDefault="00BC522C" w:rsidP="00DE2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F9369" w14:textId="77777777" w:rsidR="00DE208D" w:rsidRDefault="00DE208D" w:rsidP="00DE208D">
    <w:pPr>
      <w:pStyle w:val="Header"/>
      <w:jc w:val="center"/>
    </w:pPr>
    <w:r>
      <w:rPr>
        <w:noProof/>
        <w:lang w:eastAsia="en-AU"/>
      </w:rPr>
      <w:drawing>
        <wp:inline distT="0" distB="0" distL="0" distR="0" wp14:anchorId="07ECDD98" wp14:editId="24FDD3E2">
          <wp:extent cx="2451100" cy="72517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5170"/>
                  </a:xfrm>
                  <a:prstGeom prst="rect">
                    <a:avLst/>
                  </a:prstGeom>
                  <a:noFill/>
                </pic:spPr>
              </pic:pic>
            </a:graphicData>
          </a:graphic>
        </wp:inline>
      </w:drawing>
    </w:r>
    <w:r>
      <w:rPr>
        <w:noProof/>
        <w:lang w:eastAsia="en-AU"/>
      </w:rPr>
      <w:drawing>
        <wp:inline distT="0" distB="0" distL="0" distR="0" wp14:anchorId="38B63967" wp14:editId="41C4F604">
          <wp:extent cx="2261870" cy="7378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1870" cy="737870"/>
                  </a:xfrm>
                  <a:prstGeom prst="rect">
                    <a:avLst/>
                  </a:prstGeom>
                  <a:noFill/>
                </pic:spPr>
              </pic:pic>
            </a:graphicData>
          </a:graphic>
        </wp:inline>
      </w:drawing>
    </w:r>
  </w:p>
  <w:p w14:paraId="5BA70F1D" w14:textId="77777777" w:rsidR="00DE208D" w:rsidRDefault="00DE2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0944"/>
    <w:multiLevelType w:val="hybridMultilevel"/>
    <w:tmpl w:val="42D2B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8D"/>
    <w:rsid w:val="00055392"/>
    <w:rsid w:val="001149CB"/>
    <w:rsid w:val="001205AB"/>
    <w:rsid w:val="0014767F"/>
    <w:rsid w:val="001A69B2"/>
    <w:rsid w:val="002230FA"/>
    <w:rsid w:val="002451BD"/>
    <w:rsid w:val="002533A3"/>
    <w:rsid w:val="002C4D8E"/>
    <w:rsid w:val="002D29DB"/>
    <w:rsid w:val="00365A79"/>
    <w:rsid w:val="003E3EBE"/>
    <w:rsid w:val="00411DB4"/>
    <w:rsid w:val="004176C9"/>
    <w:rsid w:val="004439FC"/>
    <w:rsid w:val="00453DAD"/>
    <w:rsid w:val="0047460A"/>
    <w:rsid w:val="0049471B"/>
    <w:rsid w:val="004E52FF"/>
    <w:rsid w:val="004F061C"/>
    <w:rsid w:val="00505B66"/>
    <w:rsid w:val="005370F9"/>
    <w:rsid w:val="005D46B4"/>
    <w:rsid w:val="005D6813"/>
    <w:rsid w:val="005D7900"/>
    <w:rsid w:val="00634E45"/>
    <w:rsid w:val="0066011A"/>
    <w:rsid w:val="00685B33"/>
    <w:rsid w:val="006925D1"/>
    <w:rsid w:val="006D58C7"/>
    <w:rsid w:val="00811AE0"/>
    <w:rsid w:val="008466AC"/>
    <w:rsid w:val="008C6243"/>
    <w:rsid w:val="008E5CE9"/>
    <w:rsid w:val="008E6D5C"/>
    <w:rsid w:val="00910C62"/>
    <w:rsid w:val="00913BC4"/>
    <w:rsid w:val="009B3A78"/>
    <w:rsid w:val="00A130FD"/>
    <w:rsid w:val="00A204A3"/>
    <w:rsid w:val="00A77861"/>
    <w:rsid w:val="00B92EAA"/>
    <w:rsid w:val="00BC522C"/>
    <w:rsid w:val="00C04EDE"/>
    <w:rsid w:val="00C06317"/>
    <w:rsid w:val="00C32473"/>
    <w:rsid w:val="00C63A85"/>
    <w:rsid w:val="00C71D40"/>
    <w:rsid w:val="00C90F7A"/>
    <w:rsid w:val="00CD2017"/>
    <w:rsid w:val="00D652C7"/>
    <w:rsid w:val="00DE208D"/>
    <w:rsid w:val="00DE2B5A"/>
    <w:rsid w:val="00DF253D"/>
    <w:rsid w:val="00E81952"/>
    <w:rsid w:val="00E9048E"/>
    <w:rsid w:val="00EF31CD"/>
    <w:rsid w:val="00F00AE7"/>
    <w:rsid w:val="00F27B5D"/>
    <w:rsid w:val="00F83D93"/>
    <w:rsid w:val="00FB6CC4"/>
    <w:rsid w:val="00FD2E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368BA"/>
  <w15:chartTrackingRefBased/>
  <w15:docId w15:val="{227F7D73-6ABC-4F6A-83B8-F778EF5A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08D"/>
  </w:style>
  <w:style w:type="paragraph" w:styleId="Footer">
    <w:name w:val="footer"/>
    <w:basedOn w:val="Normal"/>
    <w:link w:val="FooterChar"/>
    <w:uiPriority w:val="99"/>
    <w:unhideWhenUsed/>
    <w:rsid w:val="00DE2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08D"/>
  </w:style>
  <w:style w:type="paragraph" w:styleId="NoSpacing">
    <w:name w:val="No Spacing"/>
    <w:link w:val="NoSpacingChar"/>
    <w:uiPriority w:val="1"/>
    <w:qFormat/>
    <w:rsid w:val="00DE208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208D"/>
    <w:rPr>
      <w:rFonts w:eastAsiaTheme="minorEastAsia"/>
      <w:lang w:val="en-US"/>
    </w:rPr>
  </w:style>
  <w:style w:type="character" w:styleId="Hyperlink">
    <w:name w:val="Hyperlink"/>
    <w:basedOn w:val="DefaultParagraphFont"/>
    <w:uiPriority w:val="99"/>
    <w:unhideWhenUsed/>
    <w:rsid w:val="006925D1"/>
    <w:rPr>
      <w:color w:val="0563C1" w:themeColor="hyperlink"/>
      <w:u w:val="single"/>
    </w:rPr>
  </w:style>
  <w:style w:type="paragraph" w:styleId="BalloonText">
    <w:name w:val="Balloon Text"/>
    <w:basedOn w:val="Normal"/>
    <w:link w:val="BalloonTextChar"/>
    <w:uiPriority w:val="99"/>
    <w:semiHidden/>
    <w:unhideWhenUsed/>
    <w:rsid w:val="00D65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C7"/>
    <w:rPr>
      <w:rFonts w:ascii="Segoe UI" w:hAnsi="Segoe UI" w:cs="Segoe UI"/>
      <w:sz w:val="18"/>
      <w:szCs w:val="18"/>
    </w:rPr>
  </w:style>
  <w:style w:type="character" w:styleId="CommentReference">
    <w:name w:val="annotation reference"/>
    <w:basedOn w:val="DefaultParagraphFont"/>
    <w:uiPriority w:val="99"/>
    <w:semiHidden/>
    <w:unhideWhenUsed/>
    <w:rsid w:val="005D46B4"/>
    <w:rPr>
      <w:sz w:val="16"/>
      <w:szCs w:val="16"/>
    </w:rPr>
  </w:style>
  <w:style w:type="paragraph" w:styleId="CommentText">
    <w:name w:val="annotation text"/>
    <w:basedOn w:val="Normal"/>
    <w:link w:val="CommentTextChar"/>
    <w:uiPriority w:val="99"/>
    <w:semiHidden/>
    <w:unhideWhenUsed/>
    <w:rsid w:val="005D46B4"/>
    <w:pPr>
      <w:spacing w:line="240" w:lineRule="auto"/>
    </w:pPr>
    <w:rPr>
      <w:sz w:val="20"/>
      <w:szCs w:val="20"/>
    </w:rPr>
  </w:style>
  <w:style w:type="character" w:customStyle="1" w:styleId="CommentTextChar">
    <w:name w:val="Comment Text Char"/>
    <w:basedOn w:val="DefaultParagraphFont"/>
    <w:link w:val="CommentText"/>
    <w:uiPriority w:val="99"/>
    <w:semiHidden/>
    <w:rsid w:val="005D46B4"/>
    <w:rPr>
      <w:sz w:val="20"/>
      <w:szCs w:val="20"/>
    </w:rPr>
  </w:style>
  <w:style w:type="paragraph" w:styleId="CommentSubject">
    <w:name w:val="annotation subject"/>
    <w:basedOn w:val="CommentText"/>
    <w:next w:val="CommentText"/>
    <w:link w:val="CommentSubjectChar"/>
    <w:uiPriority w:val="99"/>
    <w:semiHidden/>
    <w:unhideWhenUsed/>
    <w:rsid w:val="005D46B4"/>
    <w:rPr>
      <w:b/>
      <w:bCs/>
    </w:rPr>
  </w:style>
  <w:style w:type="character" w:customStyle="1" w:styleId="CommentSubjectChar">
    <w:name w:val="Comment Subject Char"/>
    <w:basedOn w:val="CommentTextChar"/>
    <w:link w:val="CommentSubject"/>
    <w:uiPriority w:val="99"/>
    <w:semiHidden/>
    <w:rsid w:val="005D46B4"/>
    <w:rPr>
      <w:b/>
      <w:bCs/>
      <w:sz w:val="20"/>
      <w:szCs w:val="20"/>
    </w:rPr>
  </w:style>
  <w:style w:type="character" w:styleId="FollowedHyperlink">
    <w:name w:val="FollowedHyperlink"/>
    <w:basedOn w:val="DefaultParagraphFont"/>
    <w:uiPriority w:val="99"/>
    <w:semiHidden/>
    <w:unhideWhenUsed/>
    <w:rsid w:val="00DE2B5A"/>
    <w:rPr>
      <w:color w:val="954F72" w:themeColor="followedHyperlink"/>
      <w:u w:val="single"/>
    </w:rPr>
  </w:style>
  <w:style w:type="character" w:styleId="IntenseEmphasis">
    <w:name w:val="Intense Emphasis"/>
    <w:basedOn w:val="DefaultParagraphFont"/>
    <w:uiPriority w:val="21"/>
    <w:qFormat/>
    <w:rsid w:val="00EF31CD"/>
    <w:rPr>
      <w:i/>
      <w:iCs/>
      <w:color w:val="5B9BD5" w:themeColor="accent1"/>
    </w:rPr>
  </w:style>
  <w:style w:type="paragraph" w:styleId="IntenseQuote">
    <w:name w:val="Intense Quote"/>
    <w:basedOn w:val="Normal"/>
    <w:next w:val="Normal"/>
    <w:link w:val="IntenseQuoteChar"/>
    <w:uiPriority w:val="30"/>
    <w:qFormat/>
    <w:rsid w:val="00EF31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31CD"/>
    <w:rPr>
      <w:i/>
      <w:iCs/>
      <w:color w:val="5B9BD5" w:themeColor="accent1"/>
    </w:rPr>
  </w:style>
  <w:style w:type="paragraph" w:styleId="ListParagraph">
    <w:name w:val="List Paragraph"/>
    <w:aliases w:val="Bullet Point,Bullet points,Bulleted Para,Bulletr List Paragraph,Content descriptions,FooterText,L,List Paragraph1,List Paragraph11,NAST Quote,NFP GP Bulleted List,Paragraphe de liste1,Recommendation,bullet point list,numbered,列出段落,列出段落1"/>
    <w:basedOn w:val="Normal"/>
    <w:link w:val="ListParagraphChar"/>
    <w:uiPriority w:val="34"/>
    <w:qFormat/>
    <w:rsid w:val="00F00AE7"/>
    <w:pPr>
      <w:spacing w:line="256" w:lineRule="auto"/>
      <w:ind w:left="720"/>
      <w:contextualSpacing/>
    </w:pPr>
  </w:style>
  <w:style w:type="character" w:customStyle="1" w:styleId="ListParagraphChar">
    <w:name w:val="List Paragraph Char"/>
    <w:aliases w:val="Bullet Point Char,Bullet points Char,Bulleted Para Char,Bulletr List Paragraph Char,Content descriptions Char,FooterText Char,L Char,List Paragraph1 Char,List Paragraph11 Char,NAST Quote Char,NFP GP Bulleted List Char,numbered Char"/>
    <w:basedOn w:val="DefaultParagraphFont"/>
    <w:link w:val="ListParagraph"/>
    <w:uiPriority w:val="34"/>
    <w:locked/>
    <w:rsid w:val="00F00AE7"/>
  </w:style>
  <w:style w:type="paragraph" w:styleId="BodyText">
    <w:name w:val="Body Text"/>
    <w:basedOn w:val="Normal"/>
    <w:link w:val="BodyTextChar"/>
    <w:qFormat/>
    <w:rsid w:val="00A204A3"/>
    <w:pPr>
      <w:spacing w:before="120" w:after="120" w:line="264" w:lineRule="auto"/>
    </w:pPr>
    <w:rPr>
      <w:rFonts w:eastAsia="Times New Roman" w:cs="Times New Roman"/>
      <w:sz w:val="17"/>
      <w:szCs w:val="24"/>
      <w:lang w:eastAsia="en-AU"/>
    </w:rPr>
  </w:style>
  <w:style w:type="character" w:customStyle="1" w:styleId="BodyTextChar">
    <w:name w:val="Body Text Char"/>
    <w:basedOn w:val="DefaultParagraphFont"/>
    <w:link w:val="BodyText"/>
    <w:rsid w:val="00A204A3"/>
    <w:rPr>
      <w:rFonts w:eastAsia="Times New Roman" w:cs="Times New Roman"/>
      <w:sz w:val="17"/>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aterflow.i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DF1B3E6952D4393B808EEAA276728" ma:contentTypeVersion="21" ma:contentTypeDescription="Create a new document." ma:contentTypeScope="" ma:versionID="3273f5bc7a04440bea06affa83b820fe">
  <xsd:schema xmlns:xsd="http://www.w3.org/2001/XMLSchema" xmlns:xs="http://www.w3.org/2001/XMLSchema" xmlns:p="http://schemas.microsoft.com/office/2006/metadata/properties" xmlns:ns1="http://schemas.microsoft.com/sharepoint/v3" xmlns:ns2="2a251b7e-61e4-4816-a71f-b295a9ad20fb" xmlns:ns3="42c59cea-ac93-4201-910c-b12625148cad" xmlns:ns4="http://schemas.microsoft.com/sharepoint/v4" targetNamespace="http://schemas.microsoft.com/office/2006/metadata/properties" ma:root="true" ma:fieldsID="8217ed9e705d185d7570d6ad82feaa1f" ns1:_="" ns2:_="" ns3:_="" ns4:_="">
    <xsd:import namespace="http://schemas.microsoft.com/sharepoint/v3"/>
    <xsd:import namespace="2a251b7e-61e4-4816-a71f-b295a9ad20fb"/>
    <xsd:import namespace="42c59cea-ac93-4201-910c-b12625148ca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DocHub_RoundNumber"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2c59cea-ac93-4201-910c-b12625148ca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8412</Value>
      <Value>4967</Value>
      <Value>3</Value>
      <Value>16487</Value>
      <Value>308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Promotion</TermName>
          <TermId xmlns="http://schemas.microsoft.com/office/infopath/2007/PartnerControls">80b42329-7960-478b-a63b-57e86a0af13c</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Promotional Material</TermName>
          <TermId xmlns="http://schemas.microsoft.com/office/infopath/2007/PartnerControls">77abdf83-7213-4949-85fb-759003655bdd</TermId>
        </TermInfo>
      </Terms>
    </pe2555c81638466f9eb614edb9ecde52>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adb9bed2e36e4a93af574aeb444da63e xmlns="2a251b7e-61e4-4816-a71f-b295a9ad20fb">
      <Terms xmlns="http://schemas.microsoft.com/office/infopath/2007/PartnerControls"/>
    </adb9bed2e36e4a93af574aeb444da63e>
    <_dlc_DocId xmlns="2a251b7e-61e4-4816-a71f-b295a9ad20fb">YZXQVS7QACYM-500084538-773</_dlc_DocId>
    <_dlc_DocIdUrl xmlns="2a251b7e-61e4-4816-a71f-b295a9ad20fb">
      <Url>https://dochub/div/ausindustry/programmesprojectstaskforces/brii/_layouts/15/DocIdRedir.aspx?ID=YZXQVS7QACYM-500084538-773</Url>
      <Description>YZXQVS7QACYM-500084538-773</Description>
    </_dlc_DocIdUrl>
    <DocHub_RoundNumber xmlns="2a251b7e-61e4-4816-a71f-b295a9ad20fb">1</DocHub_RoundNumber>
    <o1116530bc244d4bbd793e6e47aad9f9 xmlns="2a251b7e-61e4-4816-a71f-b295a9ad20fb">
      <Terms xmlns="http://schemas.microsoft.com/office/infopath/2007/PartnerControls">
        <TermInfo xmlns="http://schemas.microsoft.com/office/infopath/2007/PartnerControls">
          <TermName xmlns="http://schemas.microsoft.com/office/infopath/2007/PartnerControls">The Marsden Jacob Unit Trust</TermName>
          <TermId xmlns="http://schemas.microsoft.com/office/infopath/2007/PartnerControls">a9e868c6-2dda-42e9-8b99-99fadcb74f7c</TermId>
        </TermInfo>
      </Terms>
    </o1116530bc244d4bbd793e6e47aad9f9>
    <IconOverlay xmlns="http://schemas.microsoft.com/sharepoint/v4" xsi:nil="true"/>
    <DocHub_ProjectGrantBenefitNo xmlns="2a251b7e-61e4-4816-a71f-b295a9ad20fb" xsi:nil="true"/>
    <Comments xmlns="http://schemas.microsoft.com/sharepoint/v3">customer story
case study</Comment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C744F-735A-4DE9-96C8-B0B12F8487A2}">
  <ds:schemaRefs>
    <ds:schemaRef ds:uri="http://schemas.microsoft.com/sharepoint/v3/contenttype/forms"/>
  </ds:schemaRefs>
</ds:datastoreItem>
</file>

<file path=customXml/itemProps2.xml><?xml version="1.0" encoding="utf-8"?>
<ds:datastoreItem xmlns:ds="http://schemas.openxmlformats.org/officeDocument/2006/customXml" ds:itemID="{56460D9D-BC18-49A0-848A-BD54697AD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c59cea-ac93-4201-910c-b12625148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DFBA2-38DF-4282-B5F4-871EBD4D2931}">
  <ds:schemaRefs>
    <ds:schemaRef ds:uri="http://schemas.openxmlformats.org/package/2006/metadata/core-properties"/>
    <ds:schemaRef ds:uri="http://schemas.microsoft.com/office/infopath/2007/PartnerControls"/>
    <ds:schemaRef ds:uri="http://purl.org/dc/terms/"/>
    <ds:schemaRef ds:uri="2a251b7e-61e4-4816-a71f-b295a9ad20fb"/>
    <ds:schemaRef ds:uri="42c59cea-ac93-4201-910c-b12625148cad"/>
    <ds:schemaRef ds:uri="http://purl.org/dc/elements/1.1/"/>
    <ds:schemaRef ds:uri="http://www.w3.org/XML/1998/namespace"/>
    <ds:schemaRef ds:uri="http://schemas.microsoft.com/office/2006/documentManagement/types"/>
    <ds:schemaRef ds:uri="http://purl.org/dc/dcmitype/"/>
    <ds:schemaRef ds:uri="http://schemas.microsoft.com/sharepoint/v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608409C0-DEE3-4D41-8BBC-E8D236D71C9B}">
  <ds:schemaRefs>
    <ds:schemaRef ds:uri="http://schemas.microsoft.com/sharepoint/events"/>
  </ds:schemaRefs>
</ds:datastoreItem>
</file>

<file path=customXml/itemProps5.xml><?xml version="1.0" encoding="utf-8"?>
<ds:datastoreItem xmlns:ds="http://schemas.openxmlformats.org/officeDocument/2006/customXml" ds:itemID="{8346B735-1949-4A3B-A33D-ED9E6331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Salgado, Stephanie</dc:creator>
  <cp:keywords/>
  <dc:description/>
  <cp:lastModifiedBy>Maroya, Anthony</cp:lastModifiedBy>
  <cp:revision>2</cp:revision>
  <cp:lastPrinted>2019-01-06T22:56:00Z</cp:lastPrinted>
  <dcterms:created xsi:type="dcterms:W3CDTF">2019-08-27T01:28:00Z</dcterms:created>
  <dcterms:modified xsi:type="dcterms:W3CDTF">2019-08-27T01:28:00Z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0x01010089EDF1B3E6952D4393B808EEAA276728</vt:lpwstr>
  </property>
  <property fmtid="{D5CDD505-2E9C-101B-9397-08002B2CF9AE}" pid="3" name="_dlc_DocIdItemGuid">
    <vt:lpwstr>924cd905-e0c2-4b6e-ba3b-f3778b2d9c75</vt:lpwstr>
  </property>
  <property fmtid="{D5CDD505-2E9C-101B-9397-08002B2CF9AE}" pid="4" name="DocHub_Year">
    <vt:lpwstr>16487;#2019|7e451fe0-4dc6-437a-a849-bab7965a9aee</vt:lpwstr>
  </property>
  <property fmtid="{D5CDD505-2E9C-101B-9397-08002B2CF9AE}" pid="5" name="DocHub_CaseStudyLocation">
    <vt:lpwstr>6109;#ACT|f1c12fe4-7e3f-4284-a9a7-497112a59315</vt:lpwstr>
  </property>
  <property fmtid="{D5CDD505-2E9C-101B-9397-08002B2CF9AE}" pid="6" name="DocHub_CaseStudyTheme">
    <vt:lpwstr>9142;#Diversified Operations|25bc630c-ea75-4bdf-860d-df8ca4266639</vt:lpwstr>
  </property>
  <property fmtid="{D5CDD505-2E9C-101B-9397-08002B2CF9AE}" pid="7" name="DocHub_DocumentType">
    <vt:lpwstr>4967;#Promotional Material|77abdf83-7213-4949-85fb-759003655bdd</vt:lpwstr>
  </property>
  <property fmtid="{D5CDD505-2E9C-101B-9397-08002B2CF9AE}" pid="8" name="DocHub_SecurityClassification">
    <vt:lpwstr>3;#UNCLASSIFIED|6106d03b-a1a0-4e30-9d91-d5e9fb4314f9</vt:lpwstr>
  </property>
  <property fmtid="{D5CDD505-2E9C-101B-9397-08002B2CF9AE}" pid="9" name="DocHub_Electorate">
    <vt:lpwstr>6295;#ACT|f1c12fe4-7e3f-4284-a9a7-497112a59315</vt:lpwstr>
  </property>
  <property fmtid="{D5CDD505-2E9C-101B-9397-08002B2CF9AE}" pid="10" name="DocHub_CaseStudyRemotenessIndicator">
    <vt:lpwstr>6113;#Urban|267b6479-6103-44f0-b809-1b7dc5f9e873</vt:lpwstr>
  </property>
  <property fmtid="{D5CDD505-2E9C-101B-9397-08002B2CF9AE}" pid="11" name="DocHub_CaseStudyDemographic">
    <vt:lpwstr/>
  </property>
  <property fmtid="{D5CDD505-2E9C-101B-9397-08002B2CF9AE}" pid="12" name="DocHub_CaseStudySector">
    <vt:lpwstr>9670;#Public Administration|81b9f8d9-9777-49e2-863d-220f5406b0bb</vt:lpwstr>
  </property>
  <property fmtid="{D5CDD505-2E9C-101B-9397-08002B2CF9AE}" pid="13" name="DocHub_CorporateProgramme">
    <vt:lpwstr>10364;#Case Study|5bc5c7a0-50d0-4fc2-b1c2-f2ab5cac0b09</vt:lpwstr>
  </property>
  <property fmtid="{D5CDD505-2E9C-101B-9397-08002B2CF9AE}" pid="14" name="DocHub_CaseStudyEntity">
    <vt:lpwstr>9676;#*Communications Branch|3ad343a3-8750-41a5-a106-6c9bb0200c30</vt:lpwstr>
  </property>
  <property fmtid="{D5CDD505-2E9C-101B-9397-08002B2CF9AE}" pid="15" name="DocHub_WorkActivity">
    <vt:lpwstr>308;#Promotion|80b42329-7960-478b-a63b-57e86a0af13c</vt:lpwstr>
  </property>
  <property fmtid="{D5CDD505-2E9C-101B-9397-08002B2CF9AE}" pid="16" name="DocHub_Keywords">
    <vt:lpwstr/>
  </property>
  <property fmtid="{D5CDD505-2E9C-101B-9397-08002B2CF9AE}" pid="17" name="DocHub_CaseStudyTypeOfEntity">
    <vt:lpwstr>6480;#Research organisation/agency|3880c644-e504-45aa-8c5b-aa67cdc34319</vt:lpwstr>
  </property>
  <property fmtid="{D5CDD505-2E9C-101B-9397-08002B2CF9AE}" pid="18" name="DocHub_CommsStatus">
    <vt:lpwstr>6162;#Active|59b42990-d5c1-4865-9080-b65df9b9068d</vt:lpwstr>
  </property>
  <property fmtid="{D5CDD505-2E9C-101B-9397-08002B2CF9AE}" pid="19" name="DocHub_EntityCustomer">
    <vt:lpwstr>8412;#The Marsden Jacob Unit Trust|a9e868c6-2dda-42e9-8b99-99fadcb74f7c</vt:lpwstr>
  </property>
</Properties>
</file>