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2C" w:rsidRDefault="00593E02" w:rsidP="00AB4696">
      <w:pPr>
        <w:spacing w:before="0"/>
        <w:rPr>
          <w:b/>
          <w:bCs/>
          <w:color w:val="FFFFFF" w:themeColor="background1"/>
        </w:rPr>
      </w:pPr>
      <w:r>
        <w:rPr>
          <w:noProof/>
          <w:lang w:eastAsia="en-AU"/>
        </w:rPr>
        <w:drawing>
          <wp:anchor distT="0" distB="0" distL="114300" distR="114300" simplePos="0" relativeHeight="251668480" behindDoc="0" locked="1" layoutInCell="1" allowOverlap="1" wp14:anchorId="2EADD769" wp14:editId="26CC47C5">
            <wp:simplePos x="0" y="0"/>
            <wp:positionH relativeFrom="page">
              <wp:posOffset>2698750</wp:posOffset>
            </wp:positionH>
            <wp:positionV relativeFrom="page">
              <wp:posOffset>1200150</wp:posOffset>
            </wp:positionV>
            <wp:extent cx="4533900" cy="3498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Photos-4.png"/>
                    <pic:cNvPicPr/>
                  </pic:nvPicPr>
                  <pic:blipFill>
                    <a:blip r:embed="rId8">
                      <a:extLst>
                        <a:ext uri="{28A0092B-C50C-407E-A947-70E740481C1C}">
                          <a14:useLocalDpi xmlns:a14="http://schemas.microsoft.com/office/drawing/2010/main" val="0"/>
                        </a:ext>
                      </a:extLst>
                    </a:blip>
                    <a:stretch>
                      <a:fillRect/>
                    </a:stretch>
                  </pic:blipFill>
                  <pic:spPr>
                    <a:xfrm>
                      <a:off x="0" y="0"/>
                      <a:ext cx="4533900" cy="3498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180340" distB="0" distL="114300" distR="114300" simplePos="0" relativeHeight="251667456" behindDoc="0" locked="1" layoutInCell="1" allowOverlap="1" wp14:anchorId="7418141E" wp14:editId="213AD7E5">
                <wp:simplePos x="0" y="0"/>
                <wp:positionH relativeFrom="page">
                  <wp:align>right</wp:align>
                </wp:positionH>
                <wp:positionV relativeFrom="page">
                  <wp:posOffset>3711575</wp:posOffset>
                </wp:positionV>
                <wp:extent cx="4832985" cy="1079500"/>
                <wp:effectExtent l="0" t="0" r="5715" b="6350"/>
                <wp:wrapTopAndBottom/>
                <wp:docPr id="6" name="Rectangle 6"/>
                <wp:cNvGraphicFramePr/>
                <a:graphic xmlns:a="http://schemas.openxmlformats.org/drawingml/2006/main">
                  <a:graphicData uri="http://schemas.microsoft.com/office/word/2010/wordprocessingShape">
                    <wps:wsp>
                      <wps:cNvSpPr/>
                      <wps:spPr>
                        <a:xfrm>
                          <a:off x="0" y="0"/>
                          <a:ext cx="4832985" cy="1079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6ABD" id="Rectangle 6" o:spid="_x0000_s1026" style="position:absolute;margin-left:329.35pt;margin-top:292.25pt;width:380.55pt;height:85pt;z-index:251667456;visibility:visible;mso-wrap-style:square;mso-width-percent:0;mso-height-percent:0;mso-wrap-distance-left:9pt;mso-wrap-distance-top:14.2pt;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" fillcolor="white [3212]" stroked="f" strokeweight="1pt">
                <w10:wrap type="topAndBottom" anchorx="page" anchory="page"/>
                <w10:anchorlock/>
              </v:rect>
            </w:pict>
          </mc:Fallback>
        </mc:AlternateContent>
      </w:r>
      <w:r w:rsidR="00006F2C">
        <w:rPr>
          <w:b/>
          <w:bCs/>
          <w:color w:val="FFFFFF" w:themeColor="background1"/>
        </w:rPr>
        <w:t>Business Research and Innovation Initiative</w:t>
      </w:r>
    </w:p>
    <w:p w:rsidR="00593E02" w:rsidRPr="00006F2C" w:rsidRDefault="00AB4696" w:rsidP="00006F2C">
      <w:pPr>
        <w:spacing w:before="0"/>
        <w:rPr>
          <w:b/>
          <w:bCs/>
          <w:color w:val="FFFFFF" w:themeColor="background1"/>
          <w:sz w:val="24"/>
          <w:szCs w:val="24"/>
        </w:rPr>
      </w:pPr>
      <w:r w:rsidRPr="00006F2C">
        <w:rPr>
          <w:b/>
          <w:bCs/>
          <w:color w:val="FFFFFF" w:themeColor="background1"/>
          <w:sz w:val="24"/>
          <w:szCs w:val="24"/>
        </w:rPr>
        <w:t>Fact Sheet</w:t>
      </w:r>
    </w:p>
    <w:p w:rsidR="00593E02" w:rsidRPr="00006F2C" w:rsidRDefault="001352EB" w:rsidP="00006F2C">
      <w:pPr>
        <w:pStyle w:val="Title"/>
        <w:ind w:right="7625"/>
        <w:rPr>
          <w:szCs w:val="36"/>
        </w:rPr>
        <w:sectPr w:rsidR="00593E02" w:rsidRPr="00006F2C" w:rsidSect="00560860">
          <w:headerReference w:type="default" r:id="rId9"/>
          <w:footerReference w:type="default" r:id="rId10"/>
          <w:headerReference w:type="first" r:id="rId11"/>
          <w:footerReference w:type="first" r:id="rId12"/>
          <w:pgSz w:w="11906" w:h="16838" w:code="9"/>
          <w:pgMar w:top="510" w:right="510" w:bottom="510" w:left="510" w:header="454" w:footer="227" w:gutter="0"/>
          <w:cols w:space="708"/>
          <w:titlePg/>
          <w:docGrid w:linePitch="360"/>
        </w:sectPr>
      </w:pPr>
      <w:sdt>
        <w:sdtPr>
          <w:rPr>
            <w:sz w:val="30"/>
            <w:szCs w:val="30"/>
          </w:rPr>
          <w:alias w:val="Title"/>
          <w:tag w:val=""/>
          <w:id w:val="-992257587"/>
          <w:placeholder>
            <w:docPart w:val="7E2C8BF66DE746EE9250E28252923F90"/>
          </w:placeholder>
          <w:dataBinding w:prefixMappings="xmlns:ns0='http://purl.org/dc/elements/1.1/' xmlns:ns1='http://schemas.openxmlformats.org/package/2006/metadata/core-properties' " w:xpath="/ns1:coreProperties[1]/ns0:title[1]" w:storeItemID="{6C3C8BC8-F283-45AE-878A-BAB7291924A1}"/>
          <w:text/>
        </w:sdtPr>
        <w:sdtEndPr/>
        <w:sdtContent>
          <w:r w:rsidR="009F4FA4">
            <w:rPr>
              <w:sz w:val="30"/>
              <w:szCs w:val="30"/>
            </w:rPr>
            <w:t>Using t</w:t>
          </w:r>
          <w:r w:rsidR="00855305" w:rsidRPr="00855305">
            <w:rPr>
              <w:sz w:val="30"/>
              <w:szCs w:val="30"/>
            </w:rPr>
            <w:t xml:space="preserve">echnology </w:t>
          </w:r>
          <w:r w:rsidR="000C2288">
            <w:rPr>
              <w:sz w:val="30"/>
              <w:szCs w:val="30"/>
            </w:rPr>
            <w:t>to help identify and assess poor market disclosure by listed companies</w:t>
          </w:r>
        </w:sdtContent>
      </w:sdt>
      <w:bookmarkStart w:id="0" w:name="_Toc42610888"/>
    </w:p>
    <w:bookmarkEnd w:id="0"/>
    <w:p w:rsidR="00006F2C" w:rsidRDefault="00006F2C" w:rsidP="00474019">
      <w:pPr>
        <w:rPr>
          <w:rFonts w:asciiTheme="majorHAnsi" w:eastAsiaTheme="majorEastAsia" w:hAnsiTheme="majorHAnsi" w:cstheme="majorBidi"/>
          <w:b/>
          <w:color w:val="264F90" w:themeColor="accent2"/>
          <w:sz w:val="36"/>
          <w:szCs w:val="32"/>
          <w:lang w:val="en-US"/>
        </w:rPr>
      </w:pPr>
    </w:p>
    <w:p w:rsidR="00474019" w:rsidRPr="00E12AD5" w:rsidRDefault="00474019" w:rsidP="00E12AD5">
      <w:pPr>
        <w:pStyle w:val="Heading2"/>
        <w:rPr>
          <w:color w:val="264F90" w:themeColor="accent2"/>
          <w:lang w:val="en-GB"/>
        </w:rPr>
      </w:pPr>
      <w:r w:rsidRPr="00E12AD5">
        <w:rPr>
          <w:color w:val="264F90" w:themeColor="accent2"/>
          <w:lang w:val="en-GB"/>
        </w:rPr>
        <w:t>Challenge summary</w:t>
      </w:r>
    </w:p>
    <w:p w:rsidR="00855305" w:rsidRDefault="00855305" w:rsidP="00855305">
      <w:pPr>
        <w:rPr>
          <w:lang w:val="en-US"/>
        </w:rPr>
      </w:pPr>
      <w:r w:rsidRPr="00855305">
        <w:rPr>
          <w:lang w:val="en-US"/>
        </w:rPr>
        <w:t xml:space="preserve">The </w:t>
      </w:r>
      <w:r w:rsidR="000C2288">
        <w:rPr>
          <w:lang w:val="en-US"/>
        </w:rPr>
        <w:t>Australian</w:t>
      </w:r>
      <w:r w:rsidRPr="00855305">
        <w:rPr>
          <w:lang w:val="en-US"/>
        </w:rPr>
        <w:t xml:space="preserve"> </w:t>
      </w:r>
      <w:r w:rsidR="000C2288" w:rsidRPr="000C2288">
        <w:rPr>
          <w:lang w:val="en-US"/>
        </w:rPr>
        <w:t xml:space="preserve">Securities and Investment Commission (ASIC) is seeking an innovative technology solution to </w:t>
      </w:r>
      <w:proofErr w:type="spellStart"/>
      <w:r w:rsidR="000C2288" w:rsidRPr="000C2288">
        <w:rPr>
          <w:lang w:val="en-US"/>
        </w:rPr>
        <w:t>analyse</w:t>
      </w:r>
      <w:proofErr w:type="spellEnd"/>
      <w:r w:rsidR="000C2288" w:rsidRPr="000C2288">
        <w:rPr>
          <w:lang w:val="en-US"/>
        </w:rPr>
        <w:t xml:space="preserve"> market announcements (and other corporate disclosures) by listed companies and entities to help identify and assess poor market disclosure.</w:t>
      </w:r>
    </w:p>
    <w:p w:rsidR="0017622F" w:rsidRPr="00E12AD5" w:rsidRDefault="0017622F" w:rsidP="0017622F">
      <w:pPr>
        <w:pStyle w:val="Heading2"/>
        <w:rPr>
          <w:color w:val="264F90" w:themeColor="accent2"/>
          <w:lang w:val="en-GB"/>
        </w:rPr>
      </w:pPr>
      <w:r w:rsidRPr="00E12AD5">
        <w:rPr>
          <w:color w:val="264F90" w:themeColor="accent2"/>
          <w:lang w:val="en-GB"/>
        </w:rPr>
        <w:t>Potential themes</w:t>
      </w:r>
    </w:p>
    <w:p w:rsidR="000C2288" w:rsidRPr="000C2288" w:rsidRDefault="000C2288" w:rsidP="000C2288">
      <w:pPr>
        <w:rPr>
          <w:lang w:val="en-US"/>
        </w:rPr>
      </w:pPr>
      <w:r w:rsidRPr="000C2288">
        <w:rPr>
          <w:lang w:val="en-US"/>
        </w:rPr>
        <w:t>Artificial intelligence, machine learning, advanced data analytics, unstructured data processing, image recognition, optical character recognition (OCR), and interoperable systems.</w:t>
      </w:r>
    </w:p>
    <w:p w:rsidR="006F05B0" w:rsidRPr="00E12AD5" w:rsidRDefault="006F05B0" w:rsidP="006F05B0">
      <w:pPr>
        <w:pStyle w:val="Heading2"/>
        <w:rPr>
          <w:color w:val="264F90" w:themeColor="accent2"/>
          <w:lang w:val="en-GB"/>
        </w:rPr>
      </w:pPr>
      <w:r w:rsidRPr="00E12AD5">
        <w:rPr>
          <w:color w:val="264F90" w:themeColor="accent2"/>
          <w:lang w:val="en-GB"/>
        </w:rPr>
        <w:t>Overview of challenge</w:t>
      </w:r>
    </w:p>
    <w:p w:rsidR="000C2288" w:rsidRPr="000C2288" w:rsidRDefault="000C2288" w:rsidP="000C2288">
      <w:pPr>
        <w:rPr>
          <w:lang w:val="en-US"/>
        </w:rPr>
      </w:pPr>
      <w:r w:rsidRPr="000C2288">
        <w:rPr>
          <w:lang w:val="en-US"/>
        </w:rPr>
        <w:t>ASIC’s regulatory activity includes manual review and assessment of various documents and materials related to capital markets and financial services.</w:t>
      </w:r>
    </w:p>
    <w:p w:rsidR="000C2288" w:rsidRPr="000C2288" w:rsidRDefault="000C2288" w:rsidP="000C2288">
      <w:pPr>
        <w:rPr>
          <w:lang w:val="en-US"/>
        </w:rPr>
      </w:pPr>
      <w:r w:rsidRPr="000C2288">
        <w:rPr>
          <w:lang w:val="en-US"/>
        </w:rPr>
        <w:t xml:space="preserve">This BRII challenge focuses on developing a technology solution to help ASIC </w:t>
      </w:r>
      <w:proofErr w:type="spellStart"/>
      <w:r w:rsidRPr="000C2288">
        <w:rPr>
          <w:lang w:val="en-US"/>
        </w:rPr>
        <w:t>analyse</w:t>
      </w:r>
      <w:proofErr w:type="spellEnd"/>
      <w:r w:rsidRPr="000C2288">
        <w:rPr>
          <w:lang w:val="en-US"/>
        </w:rPr>
        <w:t xml:space="preserve"> corporate disclosures and other datasets to identify and assess compliance by listed companies with a range of requirements, including:</w:t>
      </w:r>
    </w:p>
    <w:p w:rsidR="000C2288" w:rsidRDefault="000C2288" w:rsidP="000C2288">
      <w:pPr>
        <w:pStyle w:val="ListParagraph"/>
        <w:numPr>
          <w:ilvl w:val="0"/>
          <w:numId w:val="20"/>
        </w:numPr>
        <w:rPr>
          <w:lang w:val="en-US"/>
        </w:rPr>
      </w:pPr>
      <w:r w:rsidRPr="000C2288">
        <w:rPr>
          <w:lang w:val="en-US"/>
        </w:rPr>
        <w:t>continuous disclosure (price sensitive disclosure) and other disclosure obligations to the market</w:t>
      </w:r>
    </w:p>
    <w:p w:rsidR="000C2288" w:rsidRDefault="000C2288" w:rsidP="000C2288">
      <w:pPr>
        <w:pStyle w:val="ListParagraph"/>
        <w:numPr>
          <w:ilvl w:val="0"/>
          <w:numId w:val="20"/>
        </w:numPr>
        <w:rPr>
          <w:lang w:val="en-US"/>
        </w:rPr>
      </w:pPr>
      <w:r>
        <w:rPr>
          <w:lang w:val="en-US"/>
        </w:rPr>
        <w:t>financial reporting obligations</w:t>
      </w:r>
    </w:p>
    <w:p w:rsidR="000C2288" w:rsidRDefault="000C2288" w:rsidP="000C2288">
      <w:pPr>
        <w:pStyle w:val="ListParagraph"/>
        <w:numPr>
          <w:ilvl w:val="0"/>
          <w:numId w:val="20"/>
        </w:numPr>
        <w:rPr>
          <w:lang w:val="en-US"/>
        </w:rPr>
      </w:pPr>
      <w:r w:rsidRPr="000C2288">
        <w:rPr>
          <w:lang w:val="en-US"/>
        </w:rPr>
        <w:t>the prohibition against</w:t>
      </w:r>
      <w:r w:rsidR="009F4FA4">
        <w:rPr>
          <w:lang w:val="en-US"/>
        </w:rPr>
        <w:t xml:space="preserve"> </w:t>
      </w:r>
      <w:r w:rsidRPr="000C2288">
        <w:rPr>
          <w:lang w:val="en-US"/>
        </w:rPr>
        <w:t>misleading or deceptive disclosure (such</w:t>
      </w:r>
      <w:r>
        <w:rPr>
          <w:lang w:val="en-US"/>
        </w:rPr>
        <w:t xml:space="preserve"> </w:t>
      </w:r>
      <w:r w:rsidRPr="000C2288">
        <w:rPr>
          <w:lang w:val="en-US"/>
        </w:rPr>
        <w:t xml:space="preserve">as misleading </w:t>
      </w:r>
      <w:r>
        <w:rPr>
          <w:lang w:val="en-US"/>
        </w:rPr>
        <w:t xml:space="preserve">categorization </w:t>
      </w:r>
      <w:r w:rsidRPr="000C2288">
        <w:rPr>
          <w:lang w:val="en-US"/>
        </w:rPr>
        <w:t>of market announcements)</w:t>
      </w:r>
    </w:p>
    <w:p w:rsidR="000C2288" w:rsidRPr="000C2288" w:rsidRDefault="000C2288" w:rsidP="000C2288">
      <w:pPr>
        <w:pStyle w:val="ListParagraph"/>
        <w:numPr>
          <w:ilvl w:val="0"/>
          <w:numId w:val="20"/>
        </w:numPr>
        <w:rPr>
          <w:lang w:val="en-US"/>
        </w:rPr>
      </w:pPr>
      <w:proofErr w:type="gramStart"/>
      <w:r w:rsidRPr="000C2288">
        <w:rPr>
          <w:lang w:val="en-US"/>
        </w:rPr>
        <w:t>the</w:t>
      </w:r>
      <w:proofErr w:type="gramEnd"/>
      <w:r w:rsidRPr="000C2288">
        <w:rPr>
          <w:lang w:val="en-US"/>
        </w:rPr>
        <w:t xml:space="preserve"> prohibition against practices that manipulate the pricing of securities.</w:t>
      </w:r>
    </w:p>
    <w:p w:rsidR="000C2288" w:rsidRDefault="000C2288" w:rsidP="000C2288">
      <w:pPr>
        <w:rPr>
          <w:lang w:val="en-US"/>
        </w:rPr>
      </w:pPr>
      <w:r w:rsidRPr="000C2288">
        <w:rPr>
          <w:lang w:val="en-US"/>
        </w:rPr>
        <w:t>The goal of the solution is to deliver a more efficient and effective way for ASIC to supervise and enforce conduct of business, disclosure and reporting obligations of listed companies.</w:t>
      </w:r>
    </w:p>
    <w:p w:rsidR="006F05B0" w:rsidRPr="00E12AD5" w:rsidRDefault="006F05B0" w:rsidP="00006F2C">
      <w:pPr>
        <w:pStyle w:val="Heading2"/>
        <w:rPr>
          <w:color w:val="264F90" w:themeColor="accent2"/>
          <w:lang w:val="en-GB"/>
        </w:rPr>
      </w:pPr>
      <w:r w:rsidRPr="00E12AD5">
        <w:rPr>
          <w:color w:val="264F90" w:themeColor="accent2"/>
          <w:lang w:val="en-GB"/>
        </w:rPr>
        <w:t>Solution requirements</w:t>
      </w:r>
    </w:p>
    <w:p w:rsidR="000C2288" w:rsidRPr="000C2288" w:rsidRDefault="000C2288" w:rsidP="000C2288">
      <w:pPr>
        <w:rPr>
          <w:lang w:val="en-US"/>
        </w:rPr>
      </w:pPr>
      <w:r w:rsidRPr="000C2288">
        <w:rPr>
          <w:lang w:val="en-US"/>
        </w:rPr>
        <w:t>As part of this challenge, ASIC wants to explore the potential of integrating various technology-assisted functions into a single service or functionality.</w:t>
      </w:r>
    </w:p>
    <w:p w:rsidR="000C2288" w:rsidRPr="000C2288" w:rsidRDefault="000C2288" w:rsidP="000C2288">
      <w:pPr>
        <w:rPr>
          <w:lang w:val="en-US"/>
        </w:rPr>
      </w:pPr>
      <w:r w:rsidRPr="000C2288">
        <w:rPr>
          <w:lang w:val="en-US"/>
        </w:rPr>
        <w:t>The solution will need to:</w:t>
      </w:r>
    </w:p>
    <w:p w:rsidR="000C2288" w:rsidRDefault="000C2288" w:rsidP="000C2288">
      <w:pPr>
        <w:pStyle w:val="ListParagraph"/>
        <w:numPr>
          <w:ilvl w:val="0"/>
          <w:numId w:val="21"/>
        </w:numPr>
        <w:rPr>
          <w:lang w:val="en-US"/>
        </w:rPr>
      </w:pPr>
      <w:r w:rsidRPr="000C2288">
        <w:rPr>
          <w:lang w:val="en-US"/>
        </w:rPr>
        <w:t xml:space="preserve">assess new information being communicated to the market by a listed company (such as through market announcements, price query letters and responses), and </w:t>
      </w:r>
      <w:proofErr w:type="spellStart"/>
      <w:r w:rsidRPr="000C2288">
        <w:rPr>
          <w:lang w:val="en-US"/>
        </w:rPr>
        <w:t>analyse</w:t>
      </w:r>
      <w:proofErr w:type="spellEnd"/>
      <w:r w:rsidRPr="000C2288">
        <w:rPr>
          <w:lang w:val="en-US"/>
        </w:rPr>
        <w:t xml:space="preserve"> it against historical market information from the company and other data sources to identify anomalies in disclosure</w:t>
      </w:r>
    </w:p>
    <w:p w:rsidR="000C2288" w:rsidRPr="000C2288" w:rsidRDefault="000C2288" w:rsidP="000C2288">
      <w:pPr>
        <w:pStyle w:val="ListParagraph"/>
        <w:numPr>
          <w:ilvl w:val="0"/>
          <w:numId w:val="21"/>
        </w:numPr>
        <w:rPr>
          <w:lang w:val="en-US"/>
        </w:rPr>
      </w:pPr>
      <w:r>
        <w:rPr>
          <w:lang w:val="en-US"/>
        </w:rPr>
        <w:t xml:space="preserve">compare a listed company’s market </w:t>
      </w:r>
      <w:r w:rsidRPr="000C2288">
        <w:rPr>
          <w:lang w:val="en-US"/>
        </w:rPr>
        <w:t>disclosures to sector peers to identify anomalies in disclosure</w:t>
      </w:r>
    </w:p>
    <w:p w:rsidR="000C2288" w:rsidRPr="000C2288" w:rsidRDefault="000C2288" w:rsidP="000C2288">
      <w:pPr>
        <w:pStyle w:val="ListParagraph"/>
        <w:numPr>
          <w:ilvl w:val="0"/>
          <w:numId w:val="21"/>
        </w:numPr>
        <w:rPr>
          <w:lang w:val="en-US"/>
        </w:rPr>
      </w:pPr>
      <w:proofErr w:type="gramStart"/>
      <w:r w:rsidRPr="000C2288">
        <w:rPr>
          <w:lang w:val="en-US"/>
        </w:rPr>
        <w:t>compare</w:t>
      </w:r>
      <w:proofErr w:type="gramEnd"/>
      <w:r w:rsidRPr="000C2288">
        <w:rPr>
          <w:lang w:val="en-US"/>
        </w:rPr>
        <w:t xml:space="preserve"> financial statements by a listed company with the company’s market announcements and other data sources (including concerning the company’s peers) for indicators of potential non-compliance with a company’s financial reporting and related disclosure obligations.</w:t>
      </w:r>
    </w:p>
    <w:p w:rsidR="000C2288" w:rsidRPr="000C2288" w:rsidRDefault="000C2288" w:rsidP="000C2288">
      <w:pPr>
        <w:rPr>
          <w:lang w:val="en-US"/>
        </w:rPr>
      </w:pPr>
      <w:r w:rsidRPr="000C2288">
        <w:rPr>
          <w:lang w:val="en-US"/>
        </w:rPr>
        <w:t>In addition, the technology-assisted solution will be required to:</w:t>
      </w:r>
    </w:p>
    <w:p w:rsidR="000C2288" w:rsidRDefault="000C2288" w:rsidP="000C2288">
      <w:pPr>
        <w:pStyle w:val="ListParagraph"/>
        <w:numPr>
          <w:ilvl w:val="0"/>
          <w:numId w:val="22"/>
        </w:numPr>
        <w:rPr>
          <w:lang w:val="en-US"/>
        </w:rPr>
      </w:pPr>
      <w:r w:rsidRPr="000C2288">
        <w:rPr>
          <w:lang w:val="en-US"/>
        </w:rPr>
        <w:t>source, collect and integrate market announcements, financial reports and other relevant data sources across a variety of formats</w:t>
      </w:r>
    </w:p>
    <w:p w:rsidR="000C2288" w:rsidRDefault="000C2288" w:rsidP="000C2288">
      <w:pPr>
        <w:pStyle w:val="ListParagraph"/>
        <w:numPr>
          <w:ilvl w:val="0"/>
          <w:numId w:val="22"/>
        </w:numPr>
        <w:rPr>
          <w:lang w:val="en-US"/>
        </w:rPr>
      </w:pPr>
      <w:r w:rsidRPr="000C2288">
        <w:rPr>
          <w:lang w:val="en-US"/>
        </w:rPr>
        <w:t>apply legal obligations, ASIC and industry guidance and other indicators related to listed company disclosures to the market</w:t>
      </w:r>
    </w:p>
    <w:p w:rsidR="00EC27BB" w:rsidRDefault="000C2288" w:rsidP="000C2288">
      <w:pPr>
        <w:pStyle w:val="ListParagraph"/>
        <w:numPr>
          <w:ilvl w:val="0"/>
          <w:numId w:val="22"/>
        </w:numPr>
        <w:rPr>
          <w:lang w:val="en-US"/>
        </w:rPr>
      </w:pPr>
      <w:r w:rsidRPr="000C2288">
        <w:rPr>
          <w:lang w:val="en-US"/>
        </w:rPr>
        <w:lastRenderedPageBreak/>
        <w:t>efficiently and accurately identify anomalies and areas of concern across the materials and documents being assessed</w:t>
      </w:r>
    </w:p>
    <w:p w:rsidR="00EC27BB" w:rsidRDefault="000C2288" w:rsidP="000C2288">
      <w:pPr>
        <w:pStyle w:val="ListParagraph"/>
        <w:numPr>
          <w:ilvl w:val="0"/>
          <w:numId w:val="22"/>
        </w:numPr>
        <w:rPr>
          <w:lang w:val="en-US"/>
        </w:rPr>
      </w:pPr>
      <w:r w:rsidRPr="00EC27BB">
        <w:rPr>
          <w:lang w:val="en-US"/>
        </w:rPr>
        <w:t>cross-examine data found</w:t>
      </w:r>
      <w:r w:rsidR="00EC27BB" w:rsidRPr="00EC27BB">
        <w:rPr>
          <w:lang w:val="en-US"/>
        </w:rPr>
        <w:t xml:space="preserve"> </w:t>
      </w:r>
      <w:r w:rsidRPr="00EC27BB">
        <w:rPr>
          <w:lang w:val="en-US"/>
        </w:rPr>
        <w:t>in related materials/documents</w:t>
      </w:r>
      <w:r w:rsidR="00EC27BB" w:rsidRPr="00EC27BB">
        <w:rPr>
          <w:lang w:val="en-US"/>
        </w:rPr>
        <w:t xml:space="preserve"> </w:t>
      </w:r>
      <w:r w:rsidRPr="00EC27BB">
        <w:rPr>
          <w:lang w:val="en-US"/>
        </w:rPr>
        <w:t>(e.g. ‘Fact Finder’)</w:t>
      </w:r>
    </w:p>
    <w:p w:rsidR="00EC27BB" w:rsidRDefault="000C2288" w:rsidP="000C2288">
      <w:pPr>
        <w:pStyle w:val="ListParagraph"/>
        <w:numPr>
          <w:ilvl w:val="0"/>
          <w:numId w:val="22"/>
        </w:numPr>
        <w:rPr>
          <w:lang w:val="en-US"/>
        </w:rPr>
      </w:pPr>
      <w:r w:rsidRPr="00EC27BB">
        <w:rPr>
          <w:lang w:val="en-US"/>
        </w:rPr>
        <w:t xml:space="preserve">rank and </w:t>
      </w:r>
      <w:proofErr w:type="spellStart"/>
      <w:r w:rsidRPr="00EC27BB">
        <w:rPr>
          <w:lang w:val="en-US"/>
        </w:rPr>
        <w:t>prioritise</w:t>
      </w:r>
      <w:proofErr w:type="spellEnd"/>
      <w:r w:rsidRPr="00EC27BB">
        <w:rPr>
          <w:lang w:val="en-US"/>
        </w:rPr>
        <w:t xml:space="preserve"> risks of materials/ documents being </w:t>
      </w:r>
      <w:proofErr w:type="spellStart"/>
      <w:r w:rsidRPr="00EC27BB">
        <w:rPr>
          <w:lang w:val="en-US"/>
        </w:rPr>
        <w:t>analysed</w:t>
      </w:r>
      <w:proofErr w:type="spellEnd"/>
    </w:p>
    <w:p w:rsidR="00EC27BB" w:rsidRDefault="000C2288" w:rsidP="000C2288">
      <w:pPr>
        <w:pStyle w:val="ListParagraph"/>
        <w:numPr>
          <w:ilvl w:val="0"/>
          <w:numId w:val="22"/>
        </w:numPr>
        <w:rPr>
          <w:lang w:val="en-US"/>
        </w:rPr>
      </w:pPr>
      <w:r w:rsidRPr="00EC27BB">
        <w:rPr>
          <w:lang w:val="en-US"/>
        </w:rPr>
        <w:t>extract key information from materials/documents to allow ASIC staff to be better informed of the features of the materials/ documents being assessed</w:t>
      </w:r>
      <w:r w:rsidR="00EC27BB" w:rsidRPr="00EC27BB">
        <w:rPr>
          <w:lang w:val="en-US"/>
        </w:rPr>
        <w:t xml:space="preserve"> </w:t>
      </w:r>
    </w:p>
    <w:p w:rsidR="00EC27BB" w:rsidRDefault="000C2288" w:rsidP="000C2288">
      <w:pPr>
        <w:pStyle w:val="ListParagraph"/>
        <w:numPr>
          <w:ilvl w:val="0"/>
          <w:numId w:val="22"/>
        </w:numPr>
        <w:rPr>
          <w:lang w:val="en-US"/>
        </w:rPr>
      </w:pPr>
      <w:r w:rsidRPr="00EC27BB">
        <w:rPr>
          <w:lang w:val="en-US"/>
        </w:rPr>
        <w:t>automate (as far as practical)</w:t>
      </w:r>
      <w:r w:rsidR="00EC27BB" w:rsidRPr="00EC27BB">
        <w:rPr>
          <w:lang w:val="en-US"/>
        </w:rPr>
        <w:t xml:space="preserve"> </w:t>
      </w:r>
      <w:r w:rsidRPr="00EC27BB">
        <w:rPr>
          <w:lang w:val="en-US"/>
        </w:rPr>
        <w:t>an explanation of ASIC’s potential</w:t>
      </w:r>
      <w:r w:rsidR="00EC27BB" w:rsidRPr="00EC27BB">
        <w:rPr>
          <w:lang w:val="en-US"/>
        </w:rPr>
        <w:t xml:space="preserve"> concerns with the material </w:t>
      </w:r>
      <w:r w:rsidRPr="00EC27BB">
        <w:rPr>
          <w:lang w:val="en-US"/>
        </w:rPr>
        <w:t>in question</w:t>
      </w:r>
    </w:p>
    <w:p w:rsidR="00EC27BB" w:rsidRDefault="000C2288" w:rsidP="000C2288">
      <w:pPr>
        <w:pStyle w:val="ListParagraph"/>
        <w:numPr>
          <w:ilvl w:val="0"/>
          <w:numId w:val="22"/>
        </w:numPr>
        <w:rPr>
          <w:lang w:val="en-US"/>
        </w:rPr>
      </w:pPr>
      <w:r w:rsidRPr="00EC27BB">
        <w:rPr>
          <w:lang w:val="en-US"/>
        </w:rPr>
        <w:t>integrate with commonly used forms of IT architecture (including ASIC’s) and related tools</w:t>
      </w:r>
    </w:p>
    <w:p w:rsidR="001352EB" w:rsidRDefault="001352EB" w:rsidP="001352EB">
      <w:pPr>
        <w:pStyle w:val="ListParagraph"/>
        <w:numPr>
          <w:ilvl w:val="0"/>
          <w:numId w:val="22"/>
        </w:numPr>
        <w:rPr>
          <w:lang w:val="en-US"/>
        </w:rPr>
      </w:pPr>
      <w:r w:rsidRPr="00EC27BB">
        <w:rPr>
          <w:lang w:val="en-US"/>
        </w:rPr>
        <w:t>satisfy high security protocols in its design</w:t>
      </w:r>
    </w:p>
    <w:p w:rsidR="001352EB" w:rsidRPr="00EC27BB" w:rsidRDefault="001352EB" w:rsidP="001352EB">
      <w:pPr>
        <w:pStyle w:val="ListParagraph"/>
        <w:numPr>
          <w:ilvl w:val="0"/>
          <w:numId w:val="22"/>
        </w:numPr>
        <w:rPr>
          <w:lang w:val="en-US"/>
        </w:rPr>
      </w:pPr>
      <w:proofErr w:type="gramStart"/>
      <w:r w:rsidRPr="00EC27BB">
        <w:rPr>
          <w:lang w:val="en-US"/>
        </w:rPr>
        <w:t>enrich</w:t>
      </w:r>
      <w:proofErr w:type="gramEnd"/>
      <w:r w:rsidRPr="00EC27BB">
        <w:rPr>
          <w:lang w:val="en-US"/>
        </w:rPr>
        <w:t xml:space="preserve"> analysis by considering other relevant extraneous data.</w:t>
      </w:r>
    </w:p>
    <w:p w:rsidR="001352EB" w:rsidRPr="00EC27BB" w:rsidRDefault="001352EB" w:rsidP="001352EB">
      <w:pPr>
        <w:rPr>
          <w:lang w:val="en-US"/>
        </w:rPr>
      </w:pPr>
      <w:r w:rsidRPr="00EC27BB">
        <w:rPr>
          <w:lang w:val="en-US"/>
        </w:rPr>
        <w:t>Successful applicants for this BRII challenge will be required to enter into a non-disclosure agreement with ASIC.</w:t>
      </w:r>
    </w:p>
    <w:p w:rsidR="001352EB" w:rsidRDefault="001352EB" w:rsidP="001352EB">
      <w:pPr>
        <w:pStyle w:val="ListParagraph"/>
        <w:ind w:left="360"/>
        <w:rPr>
          <w:lang w:val="en-US"/>
        </w:rPr>
      </w:pPr>
    </w:p>
    <w:p w:rsidR="00375C44" w:rsidRPr="00375C44" w:rsidRDefault="00375C44" w:rsidP="000C2288">
      <w:pPr>
        <w:rPr>
          <w:lang w:val="en-US"/>
        </w:rPr>
      </w:pPr>
    </w:p>
    <w:p w:rsidR="006F05B0" w:rsidRPr="00E12AD5" w:rsidRDefault="0017622F" w:rsidP="001352EB">
      <w:pPr>
        <w:pStyle w:val="Heading2"/>
        <w:rPr>
          <w:color w:val="264F90" w:themeColor="accent2"/>
          <w:lang w:val="en-GB"/>
        </w:rPr>
      </w:pPr>
      <w:r>
        <w:rPr>
          <w:lang w:val="en-US"/>
        </w:rPr>
        <w:br w:type="column"/>
      </w:r>
      <w:r w:rsidR="001352EB" w:rsidRPr="00E12AD5">
        <w:rPr>
          <w:color w:val="264F90" w:themeColor="accent2"/>
          <w:lang w:val="en-GB"/>
        </w:rPr>
        <w:t xml:space="preserve"> </w:t>
      </w:r>
      <w:r w:rsidR="006F05B0" w:rsidRPr="00E12AD5">
        <w:rPr>
          <w:color w:val="264F90" w:themeColor="accent2"/>
          <w:lang w:val="en-GB"/>
        </w:rPr>
        <w:t>Benefits of the solution</w:t>
      </w:r>
    </w:p>
    <w:p w:rsidR="001352EB" w:rsidRPr="00CE31CF" w:rsidRDefault="001352EB" w:rsidP="001352EB">
      <w:pPr>
        <w:rPr>
          <w:lang w:val="en-US"/>
        </w:rPr>
      </w:pPr>
      <w:r>
        <w:rPr>
          <w:lang w:val="en-US"/>
        </w:rPr>
        <w:t xml:space="preserve">A </w:t>
      </w:r>
      <w:r w:rsidRPr="00CE31CF">
        <w:rPr>
          <w:lang w:val="en-US"/>
        </w:rPr>
        <w:t>solution of this kind would help ASIC to drive:</w:t>
      </w:r>
    </w:p>
    <w:p w:rsidR="001352EB" w:rsidRDefault="001352EB" w:rsidP="001352EB">
      <w:pPr>
        <w:pStyle w:val="ListParagraph"/>
        <w:numPr>
          <w:ilvl w:val="0"/>
          <w:numId w:val="23"/>
        </w:numPr>
        <w:rPr>
          <w:lang w:val="en-US"/>
        </w:rPr>
      </w:pPr>
      <w:r w:rsidRPr="00CE31CF">
        <w:rPr>
          <w:lang w:val="en-US"/>
        </w:rPr>
        <w:t>automated analysis of high volumes of documents and materials</w:t>
      </w:r>
    </w:p>
    <w:p w:rsidR="001352EB" w:rsidRDefault="001352EB" w:rsidP="001352EB">
      <w:pPr>
        <w:pStyle w:val="ListParagraph"/>
        <w:numPr>
          <w:ilvl w:val="0"/>
          <w:numId w:val="23"/>
        </w:numPr>
        <w:rPr>
          <w:lang w:val="en-US"/>
        </w:rPr>
      </w:pPr>
      <w:r w:rsidRPr="00CE31CF">
        <w:rPr>
          <w:lang w:val="en-US"/>
        </w:rPr>
        <w:t xml:space="preserve">greater cost efficiency by </w:t>
      </w:r>
      <w:proofErr w:type="spellStart"/>
      <w:r w:rsidRPr="00CE31CF">
        <w:rPr>
          <w:lang w:val="en-US"/>
        </w:rPr>
        <w:t>minimising</w:t>
      </w:r>
      <w:proofErr w:type="spellEnd"/>
      <w:r w:rsidRPr="00CE31CF">
        <w:rPr>
          <w:lang w:val="en-US"/>
        </w:rPr>
        <w:t xml:space="preserve"> time spent on manual review and assessment</w:t>
      </w:r>
    </w:p>
    <w:p w:rsidR="001352EB" w:rsidRPr="00CE31CF" w:rsidRDefault="001352EB" w:rsidP="001352EB">
      <w:pPr>
        <w:pStyle w:val="ListParagraph"/>
        <w:numPr>
          <w:ilvl w:val="0"/>
          <w:numId w:val="23"/>
        </w:numPr>
        <w:rPr>
          <w:lang w:val="en-US"/>
        </w:rPr>
      </w:pPr>
      <w:proofErr w:type="gramStart"/>
      <w:r w:rsidRPr="00CE31CF">
        <w:rPr>
          <w:lang w:val="en-US"/>
        </w:rPr>
        <w:t>better</w:t>
      </w:r>
      <w:proofErr w:type="gramEnd"/>
      <w:r w:rsidRPr="00CE31CF">
        <w:rPr>
          <w:lang w:val="en-US"/>
        </w:rPr>
        <w:t xml:space="preserve"> targeting of its resources and supervisory focus, thereby reducing the regulatory burden on compliant listed companies.</w:t>
      </w:r>
    </w:p>
    <w:p w:rsidR="001352EB" w:rsidRDefault="001352EB" w:rsidP="001352EB">
      <w:pPr>
        <w:rPr>
          <w:lang w:val="en-US"/>
        </w:rPr>
      </w:pPr>
      <w:r w:rsidRPr="00CE31CF">
        <w:rPr>
          <w:lang w:val="en-US"/>
        </w:rPr>
        <w:t>And, importantly, an adapted and tailored form of the solution will benefit listed companies by reducing the regulatory burden on them. These companies would be able to meet their risk management and compliance requirements in less time, using fewer resources.</w:t>
      </w:r>
    </w:p>
    <w:p w:rsidR="001352EB" w:rsidRPr="00CE31CF" w:rsidRDefault="001352EB" w:rsidP="001352EB">
      <w:pPr>
        <w:rPr>
          <w:lang w:val="en-US"/>
        </w:rPr>
      </w:pPr>
      <w:r w:rsidRPr="00CE31CF">
        <w:rPr>
          <w:lang w:val="en-US"/>
        </w:rPr>
        <w:t xml:space="preserve">Furthermore, the solution is expected to </w:t>
      </w:r>
      <w:bookmarkStart w:id="1" w:name="_GoBack"/>
      <w:bookmarkEnd w:id="1"/>
      <w:r w:rsidRPr="00CE31CF">
        <w:rPr>
          <w:lang w:val="en-US"/>
        </w:rPr>
        <w:t>enhance market integrity, and deliver better outcomes for investors and consumers.</w:t>
      </w:r>
    </w:p>
    <w:p w:rsidR="001352EB" w:rsidRPr="00375C44" w:rsidRDefault="001352EB" w:rsidP="001352EB">
      <w:pPr>
        <w:rPr>
          <w:lang w:val="en-US"/>
        </w:rPr>
      </w:pPr>
      <w:r>
        <w:rPr>
          <w:lang w:val="en-US"/>
        </w:rPr>
        <w:br w:type="column"/>
      </w:r>
      <w:r>
        <w:rPr>
          <w:lang w:val="en-US"/>
        </w:rPr>
        <w:t>M</w:t>
      </w:r>
      <w:r w:rsidRPr="00CE31CF">
        <w:rPr>
          <w:lang w:val="en-US"/>
        </w:rPr>
        <w:t>ore broadly, the solution would demonstrate technological capability to regulators and regulated firms. This includes helping identify and assess compliance by businesses across a range of conduct of business and disclosure obligations beyond capital markets.</w:t>
      </w:r>
    </w:p>
    <w:p w:rsidR="006F05B0" w:rsidRPr="00E12AD5" w:rsidRDefault="006F05B0" w:rsidP="00006F2C">
      <w:pPr>
        <w:pStyle w:val="Heading2"/>
        <w:rPr>
          <w:color w:val="264F90" w:themeColor="accent2"/>
          <w:lang w:val="en-GB"/>
        </w:rPr>
      </w:pPr>
      <w:r w:rsidRPr="00E12AD5">
        <w:rPr>
          <w:color w:val="264F90" w:themeColor="accent2"/>
          <w:lang w:val="en-GB"/>
        </w:rPr>
        <w:t>How to apply</w:t>
      </w:r>
    </w:p>
    <w:p w:rsidR="006F05B0" w:rsidRPr="006F05B0" w:rsidRDefault="006F05B0" w:rsidP="006F05B0">
      <w:pPr>
        <w:rPr>
          <w:lang w:val="en-US"/>
        </w:rPr>
      </w:pPr>
      <w:r w:rsidRPr="006F05B0">
        <w:rPr>
          <w:lang w:val="en-US"/>
        </w:rPr>
        <w:t>For information on how to apply, visit</w:t>
      </w:r>
      <w:r w:rsidRPr="006F05B0">
        <w:rPr>
          <w:u w:val="single"/>
          <w:lang w:val="en-US"/>
        </w:rPr>
        <w:t xml:space="preserve"> </w:t>
      </w:r>
      <w:hyperlink r:id="rId13">
        <w:r w:rsidRPr="006F05B0">
          <w:rPr>
            <w:rStyle w:val="Hyperlink"/>
            <w:lang w:val="en-US"/>
          </w:rPr>
          <w:t>business.gov.au/BRII</w:t>
        </w:r>
      </w:hyperlink>
      <w:r w:rsidRPr="006F05B0">
        <w:rPr>
          <w:lang w:val="en-US"/>
        </w:rPr>
        <w:t xml:space="preserve"> </w:t>
      </w:r>
    </w:p>
    <w:p w:rsidR="006F05B0" w:rsidRPr="006F05B0" w:rsidRDefault="006F05B0" w:rsidP="006F05B0">
      <w:pPr>
        <w:rPr>
          <w:lang w:val="en-US"/>
        </w:rPr>
      </w:pPr>
    </w:p>
    <w:p w:rsidR="00593E02" w:rsidRPr="008D0E83" w:rsidRDefault="00593E02" w:rsidP="006F05B0">
      <w:pPr>
        <w:rPr>
          <w:lang w:val="en-GB"/>
        </w:rPr>
      </w:pPr>
    </w:p>
    <w:sectPr w:rsidR="00593E02" w:rsidRPr="008D0E83" w:rsidSect="008D0E83">
      <w:type w:val="continuous"/>
      <w:pgSz w:w="11906" w:h="16838" w:code="9"/>
      <w:pgMar w:top="510" w:right="510" w:bottom="510" w:left="510" w:header="454" w:footer="227" w:gutter="0"/>
      <w:cols w:num="3"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29" w:rsidRDefault="00D23829" w:rsidP="00D560DC">
      <w:pPr>
        <w:spacing w:before="0" w:after="0" w:line="240" w:lineRule="auto"/>
      </w:pPr>
      <w:r>
        <w:separator/>
      </w:r>
    </w:p>
  </w:endnote>
  <w:endnote w:type="continuationSeparator" w:id="0">
    <w:p w:rsidR="00D23829" w:rsidRDefault="00D23829"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60"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72576" behindDoc="0" locked="0" layoutInCell="1" allowOverlap="1" wp14:anchorId="2E5E4303" wp14:editId="713D94DE">
              <wp:simplePos x="0" y="0"/>
              <wp:positionH relativeFrom="page">
                <wp:align>center</wp:align>
              </wp:positionH>
              <wp:positionV relativeFrom="page">
                <wp:posOffset>10261600</wp:posOffset>
              </wp:positionV>
              <wp:extent cx="10692000" cy="0"/>
              <wp:effectExtent l="0" t="0" r="0" b="0"/>
              <wp:wrapNone/>
              <wp:docPr id="3" name="Straight Connector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D24E4" id="Straight Connector 3" o:spid="_x0000_s1026" style="position:absolute;z-index:25167257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VIDw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69504" behindDoc="0" locked="0" layoutInCell="1" allowOverlap="1" wp14:anchorId="10D92827" wp14:editId="4057251F">
              <wp:simplePos x="0" y="0"/>
              <wp:positionH relativeFrom="page">
                <wp:align>center</wp:align>
              </wp:positionH>
              <wp:positionV relativeFrom="page">
                <wp:posOffset>10261600</wp:posOffset>
              </wp:positionV>
              <wp:extent cx="10692000" cy="0"/>
              <wp:effectExtent l="0" t="0" r="0" b="0"/>
              <wp:wrapNone/>
              <wp:docPr id="1" name="Straight Connector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DE0EC" id="Straight Connector 1" o:spid="_x0000_s1026" style="position:absolute;z-index:25166950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9jDg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29" w:rsidRDefault="00D23829" w:rsidP="00D560DC">
      <w:pPr>
        <w:spacing w:before="0" w:after="0" w:line="240" w:lineRule="auto"/>
      </w:pPr>
      <w:r>
        <w:separator/>
      </w:r>
    </w:p>
  </w:footnote>
  <w:footnote w:type="continuationSeparator" w:id="0">
    <w:p w:rsidR="00D23829" w:rsidRDefault="00D23829"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Default="00560860" w:rsidP="00560860">
    <w:pPr>
      <w:pStyle w:val="Header"/>
      <w:spacing w:after="1260"/>
    </w:pPr>
    <w:r>
      <w:rPr>
        <w:noProof/>
        <w:lang w:eastAsia="en-AU"/>
      </w:rPr>
      <w:drawing>
        <wp:anchor distT="0" distB="0" distL="114300" distR="114300" simplePos="0" relativeHeight="251673600" behindDoc="1" locked="0" layoutInCell="1" allowOverlap="1" wp14:anchorId="43760D53" wp14:editId="65AADB83">
          <wp:simplePos x="0" y="0"/>
          <wp:positionH relativeFrom="page">
            <wp:posOffset>323850</wp:posOffset>
          </wp:positionH>
          <wp:positionV relativeFrom="page">
            <wp:posOffset>431800</wp:posOffset>
          </wp:positionV>
          <wp:extent cx="7236000" cy="117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BGs-3.jpg"/>
                  <pic:cNvPicPr/>
                </pic:nvPicPr>
                <pic:blipFill>
                  <a:blip r:embed="rId1">
                    <a:extLst>
                      <a:ext uri="{28A0092B-C50C-407E-A947-70E740481C1C}">
                        <a14:useLocalDpi xmlns:a14="http://schemas.microsoft.com/office/drawing/2010/main" val="0"/>
                      </a:ext>
                    </a:extLst>
                  </a:blip>
                  <a:stretch>
                    <a:fillRect/>
                  </a:stretch>
                </pic:blipFill>
                <pic:spPr>
                  <a:xfrm>
                    <a:off x="0" y="0"/>
                    <a:ext cx="7236000" cy="117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D" w:rsidRDefault="0039793D" w:rsidP="00D560DC">
    <w:pPr>
      <w:pStyle w:val="Header"/>
    </w:pPr>
    <w:r>
      <w:rPr>
        <w:noProof/>
        <w:lang w:eastAsia="en-AU"/>
      </w:rPr>
      <w:drawing>
        <wp:inline distT="0" distB="0" distL="0" distR="0" wp14:anchorId="66BA6636" wp14:editId="58AEAB98">
          <wp:extent cx="5112000" cy="64560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0" cy="645608"/>
                  </a:xfrm>
                  <a:prstGeom prst="rect">
                    <a:avLst/>
                  </a:prstGeom>
                </pic:spPr>
              </pic:pic>
            </a:graphicData>
          </a:graphic>
        </wp:inline>
      </w:drawing>
    </w:r>
  </w:p>
  <w:p w:rsidR="00D560DC" w:rsidRPr="00D560DC" w:rsidRDefault="00560860" w:rsidP="00560860">
    <w:pPr>
      <w:pStyle w:val="Header"/>
      <w:spacing w:after="1400"/>
    </w:pPr>
    <w:r>
      <w:rPr>
        <w:noProof/>
        <w:lang w:eastAsia="en-AU"/>
      </w:rPr>
      <w:drawing>
        <wp:anchor distT="0" distB="0" distL="114300" distR="114300" simplePos="0" relativeHeight="251670528" behindDoc="1" locked="0" layoutInCell="1" allowOverlap="1" wp14:anchorId="19EB20C2" wp14:editId="2C54EEA3">
          <wp:simplePos x="0" y="0"/>
          <wp:positionH relativeFrom="page">
            <wp:align>center</wp:align>
          </wp:positionH>
          <wp:positionV relativeFrom="page">
            <wp:posOffset>1476375</wp:posOffset>
          </wp:positionV>
          <wp:extent cx="7560000" cy="2231280"/>
          <wp:effectExtent l="0" t="0" r="3175" b="0"/>
          <wp:wrapNone/>
          <wp:docPr id="24" name="Picture 24" descr="A picture containing plane, ski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Gs-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23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26072AB"/>
    <w:multiLevelType w:val="hybridMultilevel"/>
    <w:tmpl w:val="9A3A4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9E44AC"/>
    <w:multiLevelType w:val="hybridMultilevel"/>
    <w:tmpl w:val="9C5E6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555020E5"/>
    <w:multiLevelType w:val="hybridMultilevel"/>
    <w:tmpl w:val="6DA02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C52AD5"/>
    <w:multiLevelType w:val="multilevel"/>
    <w:tmpl w:val="D1B6E9E4"/>
    <w:lvl w:ilvl="0">
      <w:numFmt w:val="bullet"/>
      <w:lvlText w:val="·"/>
      <w:lvlJc w:val="left"/>
      <w:pPr>
        <w:tabs>
          <w:tab w:val="left" w:pos="288"/>
        </w:tabs>
      </w:pPr>
      <w:rPr>
        <w:rFonts w:ascii="Symbol" w:eastAsia="Symbol" w:hAnsi="Symbol"/>
        <w:color w:val="010208"/>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A5568"/>
    <w:multiLevelType w:val="hybridMultilevel"/>
    <w:tmpl w:val="846E1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943D0B"/>
    <w:multiLevelType w:val="hybridMultilevel"/>
    <w:tmpl w:val="440CE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59A6C93"/>
    <w:multiLevelType w:val="multilevel"/>
    <w:tmpl w:val="296C9230"/>
    <w:lvl w:ilvl="0">
      <w:numFmt w:val="bullet"/>
      <w:lvlText w:val="·"/>
      <w:lvlJc w:val="left"/>
      <w:pPr>
        <w:tabs>
          <w:tab w:val="left" w:pos="288"/>
        </w:tabs>
      </w:pPr>
      <w:rPr>
        <w:rFonts w:ascii="Symbol" w:eastAsia="Symbol" w:hAnsi="Symbol"/>
        <w:color w:val="010208"/>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5"/>
  </w:num>
  <w:num w:numId="20">
    <w:abstractNumId w:val="12"/>
  </w:num>
  <w:num w:numId="21">
    <w:abstractNumId w:val="1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6A"/>
    <w:rsid w:val="00006F2C"/>
    <w:rsid w:val="00012CBC"/>
    <w:rsid w:val="00017597"/>
    <w:rsid w:val="00027E66"/>
    <w:rsid w:val="00061D6A"/>
    <w:rsid w:val="00072A91"/>
    <w:rsid w:val="000870D9"/>
    <w:rsid w:val="000C2288"/>
    <w:rsid w:val="000F5AA4"/>
    <w:rsid w:val="001352EB"/>
    <w:rsid w:val="0017622F"/>
    <w:rsid w:val="002016AD"/>
    <w:rsid w:val="002A77A4"/>
    <w:rsid w:val="002B5E7A"/>
    <w:rsid w:val="002D2624"/>
    <w:rsid w:val="00307CDE"/>
    <w:rsid w:val="003139B0"/>
    <w:rsid w:val="00375C44"/>
    <w:rsid w:val="003932FC"/>
    <w:rsid w:val="0039793D"/>
    <w:rsid w:val="0041233C"/>
    <w:rsid w:val="00432A99"/>
    <w:rsid w:val="00474019"/>
    <w:rsid w:val="004B2364"/>
    <w:rsid w:val="004B3D3F"/>
    <w:rsid w:val="00527D37"/>
    <w:rsid w:val="00535C06"/>
    <w:rsid w:val="00560860"/>
    <w:rsid w:val="00593E02"/>
    <w:rsid w:val="006F05B0"/>
    <w:rsid w:val="006F24F0"/>
    <w:rsid w:val="007014A6"/>
    <w:rsid w:val="007265A7"/>
    <w:rsid w:val="007661CA"/>
    <w:rsid w:val="0080053F"/>
    <w:rsid w:val="00853B77"/>
    <w:rsid w:val="00855305"/>
    <w:rsid w:val="008A340B"/>
    <w:rsid w:val="008D0E83"/>
    <w:rsid w:val="00901119"/>
    <w:rsid w:val="009F4FA4"/>
    <w:rsid w:val="00AB4696"/>
    <w:rsid w:val="00AB76A4"/>
    <w:rsid w:val="00AF71F9"/>
    <w:rsid w:val="00B612DA"/>
    <w:rsid w:val="00BA4643"/>
    <w:rsid w:val="00BC2448"/>
    <w:rsid w:val="00C310DE"/>
    <w:rsid w:val="00C32C96"/>
    <w:rsid w:val="00C6165A"/>
    <w:rsid w:val="00CF40FC"/>
    <w:rsid w:val="00D06FDA"/>
    <w:rsid w:val="00D23829"/>
    <w:rsid w:val="00D43D9C"/>
    <w:rsid w:val="00D548FC"/>
    <w:rsid w:val="00D560DC"/>
    <w:rsid w:val="00DB5904"/>
    <w:rsid w:val="00DB786A"/>
    <w:rsid w:val="00E12AD5"/>
    <w:rsid w:val="00E47880"/>
    <w:rsid w:val="00E47EE2"/>
    <w:rsid w:val="00EC27BB"/>
    <w:rsid w:val="00F17B9E"/>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1C0022-908B-4B2C-A68D-4DBB886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012CBC"/>
    <w:pPr>
      <w:spacing w:line="340" w:lineRule="atLeast"/>
      <w:outlineLvl w:val="1"/>
    </w:pPr>
    <w:rPr>
      <w:color w:val="000000" w:themeColor="text1"/>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012CBC"/>
    <w:pPr>
      <w:outlineLvl w:val="3"/>
    </w:pPr>
    <w:rPr>
      <w:b/>
      <w:iCs/>
      <w:color w:val="000000" w:themeColor="text1"/>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593E02"/>
    <w:pPr>
      <w:numPr>
        <w:ilvl w:val="1"/>
      </w:numPr>
      <w:spacing w:before="0" w:after="600" w:line="340" w:lineRule="atLeast"/>
      <w:ind w:right="7484"/>
    </w:pPr>
    <w:rPr>
      <w:b w:val="0"/>
      <w:color w:val="FFFFFF" w:themeColor="background1"/>
      <w:sz w:val="28"/>
      <w:szCs w:val="22"/>
    </w:rPr>
  </w:style>
  <w:style w:type="character" w:customStyle="1" w:styleId="SubtitleChar">
    <w:name w:val="Subtitle Char"/>
    <w:basedOn w:val="DefaultParagraphFont"/>
    <w:link w:val="Subtitle"/>
    <w:uiPriority w:val="11"/>
    <w:rsid w:val="00593E02"/>
    <w:rPr>
      <w:rFonts w:asciiTheme="majorHAnsi" w:eastAsiaTheme="majorEastAsia" w:hAnsiTheme="majorHAnsi" w:cstheme="majorBidi"/>
      <w:color w:val="FFFFFF" w:themeColor="background1"/>
      <w:sz w:val="28"/>
      <w:szCs w:val="22"/>
    </w:rPr>
  </w:style>
  <w:style w:type="paragraph" w:styleId="Title">
    <w:name w:val="Title"/>
    <w:basedOn w:val="Heading1"/>
    <w:next w:val="Normal"/>
    <w:link w:val="TitleChar"/>
    <w:uiPriority w:val="10"/>
    <w:qFormat/>
    <w:rsid w:val="00593E02"/>
    <w:pPr>
      <w:spacing w:before="160" w:after="80" w:line="240" w:lineRule="auto"/>
      <w:ind w:right="7484"/>
      <w:contextualSpacing/>
    </w:pPr>
    <w:rPr>
      <w:color w:val="FFFFFF" w:themeColor="background1"/>
      <w:spacing w:val="-10"/>
      <w:kern w:val="28"/>
      <w:szCs w:val="56"/>
    </w:rPr>
  </w:style>
  <w:style w:type="character" w:customStyle="1" w:styleId="TitleChar">
    <w:name w:val="Title Char"/>
    <w:basedOn w:val="DefaultParagraphFont"/>
    <w:link w:val="Title"/>
    <w:uiPriority w:val="10"/>
    <w:rsid w:val="00593E02"/>
    <w:rPr>
      <w:rFonts w:asciiTheme="majorHAnsi" w:eastAsiaTheme="majorEastAsia" w:hAnsiTheme="majorHAnsi" w:cstheme="majorBidi"/>
      <w:b/>
      <w:color w:val="FFFFFF" w:themeColor="background1"/>
      <w:spacing w:val="-10"/>
      <w:kern w:val="28"/>
      <w:sz w:val="3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012CBC"/>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012CBC"/>
    <w:rPr>
      <w:rFonts w:asciiTheme="majorHAnsi" w:eastAsiaTheme="majorEastAsia" w:hAnsiTheme="majorHAnsi" w:cstheme="majorBidi"/>
      <w:b/>
      <w:iCs/>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072A91"/>
    <w:pPr>
      <w:pBdr>
        <w:top w:val="single" w:sz="4" w:space="14" w:color="DAECFA"/>
        <w:left w:val="single" w:sz="4" w:space="14" w:color="264F90" w:themeColor="accent2"/>
        <w:bottom w:val="single" w:sz="4" w:space="14" w:color="DAECFA"/>
        <w:right w:val="single" w:sz="4" w:space="14" w:color="DAECFA"/>
      </w:pBdr>
      <w:shd w:val="clear" w:color="auto" w:fill="DAECFA"/>
      <w:spacing w:line="300" w:lineRule="atLeast"/>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basedOn w:val="Normal"/>
    <w:uiPriority w:val="34"/>
    <w:qFormat/>
    <w:rsid w:val="00474019"/>
    <w:pPr>
      <w:ind w:left="720"/>
      <w:contextualSpacing/>
    </w:pPr>
  </w:style>
  <w:style w:type="paragraph" w:styleId="BalloonText">
    <w:name w:val="Balloon Text"/>
    <w:basedOn w:val="Normal"/>
    <w:link w:val="BalloonTextChar"/>
    <w:uiPriority w:val="99"/>
    <w:semiHidden/>
    <w:unhideWhenUsed/>
    <w:rsid w:val="00006F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siness.gov.au/BR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C8BF66DE746EE9250E28252923F90"/>
        <w:category>
          <w:name w:val="General"/>
          <w:gallery w:val="placeholder"/>
        </w:category>
        <w:types>
          <w:type w:val="bbPlcHdr"/>
        </w:types>
        <w:behaviors>
          <w:behavior w:val="content"/>
        </w:behaviors>
        <w:guid w:val="{1380F4BE-1955-4A38-ADF9-381E5E996453}"/>
      </w:docPartPr>
      <w:docPartBody>
        <w:p w:rsidR="009A714B" w:rsidRDefault="00507E5F">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5B9BD5"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7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F"/>
    <w:rsid w:val="00050845"/>
    <w:rsid w:val="00104F71"/>
    <w:rsid w:val="00337E69"/>
    <w:rsid w:val="00507E5F"/>
    <w:rsid w:val="00524753"/>
    <w:rsid w:val="005A005D"/>
    <w:rsid w:val="008B35EB"/>
    <w:rsid w:val="009320C1"/>
    <w:rsid w:val="009A714B"/>
    <w:rsid w:val="00BB023E"/>
    <w:rsid w:val="00D86A5C"/>
    <w:rsid w:val="00F50E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4"/>
    <w:unhideWhenUsed/>
    <w:qFormat/>
    <w:rsid w:val="00507E5F"/>
    <w:pPr>
      <w:spacing w:before="320" w:after="160" w:line="340" w:lineRule="atLeast"/>
      <w:outlineLvl w:val="1"/>
    </w:pPr>
    <w:rPr>
      <w:b/>
      <w:color w:val="44546A" w:themeColor="text2"/>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5F"/>
    <w:rPr>
      <w:color w:val="808080"/>
    </w:rPr>
  </w:style>
  <w:style w:type="paragraph" w:customStyle="1" w:styleId="6846594F50764889A74E25393235B106">
    <w:name w:val="6846594F50764889A74E25393235B106"/>
    <w:rsid w:val="00507E5F"/>
  </w:style>
  <w:style w:type="paragraph" w:customStyle="1" w:styleId="IconBox1Heading">
    <w:name w:val="Icon Box 1 Heading"/>
    <w:basedOn w:val="Heading1"/>
    <w:uiPriority w:val="15"/>
    <w:qFormat/>
    <w:rsid w:val="00507E5F"/>
    <w:pPr>
      <w:spacing w:before="480" w:after="160" w:line="420" w:lineRule="atLeast"/>
      <w:ind w:left="3402" w:right="283"/>
    </w:pPr>
    <w:rPr>
      <w:b/>
      <w:color w:val="ED7D31" w:themeColor="accent2"/>
      <w:sz w:val="36"/>
      <w:lang w:val="en-AU"/>
    </w:rPr>
  </w:style>
  <w:style w:type="paragraph" w:customStyle="1" w:styleId="IconBox1Text">
    <w:name w:val="Icon Box 1 Text"/>
    <w:basedOn w:val="Normal"/>
    <w:uiPriority w:val="15"/>
    <w:qFormat/>
    <w:rsid w:val="00507E5F"/>
    <w:pPr>
      <w:spacing w:before="160" w:after="80" w:line="280" w:lineRule="atLeast"/>
      <w:ind w:left="3402" w:right="283"/>
    </w:pPr>
    <w:rPr>
      <w:color w:val="000000" w:themeColor="text1"/>
      <w:sz w:val="20"/>
      <w:szCs w:val="20"/>
      <w:lang w:val="en-AU"/>
    </w:rPr>
  </w:style>
  <w:style w:type="paragraph" w:customStyle="1" w:styleId="IconBox1Bullet">
    <w:name w:val="Icon Box 1 Bullet"/>
    <w:basedOn w:val="IconBox1Text"/>
    <w:uiPriority w:val="16"/>
    <w:qFormat/>
    <w:rsid w:val="00507E5F"/>
    <w:pPr>
      <w:numPr>
        <w:numId w:val="1"/>
      </w:numPr>
      <w:spacing w:before="80"/>
      <w:ind w:left="3686" w:hanging="284"/>
    </w:pPr>
  </w:style>
  <w:style w:type="character" w:customStyle="1" w:styleId="Heading1Char">
    <w:name w:val="Heading 1 Char"/>
    <w:basedOn w:val="DefaultParagraphFont"/>
    <w:link w:val="Heading1"/>
    <w:uiPriority w:val="9"/>
    <w:rsid w:val="00507E5F"/>
    <w:rPr>
      <w:rFonts w:asciiTheme="majorHAnsi" w:eastAsiaTheme="majorEastAsia" w:hAnsiTheme="majorHAnsi" w:cstheme="majorBidi"/>
      <w:color w:val="2E74B5" w:themeColor="accent1" w:themeShade="BF"/>
      <w:sz w:val="32"/>
      <w:szCs w:val="32"/>
    </w:rPr>
  </w:style>
  <w:style w:type="paragraph" w:customStyle="1" w:styleId="IconBox2Heading">
    <w:name w:val="Icon Box 2 Heading"/>
    <w:basedOn w:val="IconBox1Heading"/>
    <w:uiPriority w:val="17"/>
    <w:qFormat/>
    <w:rsid w:val="00507E5F"/>
    <w:rPr>
      <w:color w:val="FFFFFF" w:themeColor="background1"/>
    </w:rPr>
  </w:style>
  <w:style w:type="paragraph" w:customStyle="1" w:styleId="IconBox2Text">
    <w:name w:val="Icon Box 2 Text"/>
    <w:basedOn w:val="IconBox1Text"/>
    <w:uiPriority w:val="17"/>
    <w:qFormat/>
    <w:rsid w:val="00507E5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507E5F"/>
    <w:pPr>
      <w:numPr>
        <w:numId w:val="2"/>
      </w:numPr>
    </w:pPr>
    <w:rPr>
      <w:color w:val="FFFFFF" w:themeColor="background1"/>
    </w:rPr>
  </w:style>
  <w:style w:type="character" w:customStyle="1" w:styleId="Heading2Char">
    <w:name w:val="Heading 2 Char"/>
    <w:basedOn w:val="DefaultParagraphFont"/>
    <w:link w:val="Heading2"/>
    <w:uiPriority w:val="4"/>
    <w:rsid w:val="00507E5F"/>
    <w:rPr>
      <w:rFonts w:asciiTheme="majorHAnsi" w:eastAsiaTheme="majorEastAsia" w:hAnsiTheme="majorHAnsi" w:cstheme="majorBidi"/>
      <w:b/>
      <w:color w:val="44546A" w:themeColor="text2"/>
      <w:sz w:val="28"/>
      <w:szCs w:val="26"/>
      <w:lang w:val="en-AU"/>
    </w:rPr>
  </w:style>
  <w:style w:type="paragraph" w:customStyle="1" w:styleId="NotesLines">
    <w:name w:val="Notes Lines"/>
    <w:basedOn w:val="Normal"/>
    <w:uiPriority w:val="19"/>
    <w:qFormat/>
    <w:rsid w:val="00507E5F"/>
    <w:pPr>
      <w:pBdr>
        <w:between w:val="single" w:sz="4" w:space="1" w:color="auto"/>
      </w:pBdr>
      <w:spacing w:before="160" w:after="80" w:line="360" w:lineRule="atLeast"/>
    </w:pPr>
    <w:rPr>
      <w:color w:val="000000" w:themeColor="text1"/>
      <w:sz w:val="20"/>
      <w:szCs w:val="20"/>
      <w:lang w:val="en-AU"/>
    </w:rPr>
  </w:style>
  <w:style w:type="paragraph" w:customStyle="1" w:styleId="Photocaption">
    <w:name w:val="Photo caption"/>
    <w:basedOn w:val="Normal"/>
    <w:uiPriority w:val="14"/>
    <w:qFormat/>
    <w:rsid w:val="009320C1"/>
    <w:pPr>
      <w:pBdr>
        <w:bottom w:val="single" w:sz="4" w:space="8" w:color="A5A5A5" w:themeColor="accent3"/>
      </w:pBdr>
      <w:spacing w:before="160" w:line="240" w:lineRule="atLeast"/>
    </w:pPr>
    <w:rPr>
      <w:color w:val="000000" w:themeColor="text1"/>
      <w:sz w:val="16"/>
      <w:szCs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DFBD-B511-46E7-BAE4-6BBD4B11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Using Technology to help identify and assess poor market disclosure by listed companies</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to help identify and assess poor market disclosure by listed companies</dc:title>
  <dc:subject/>
  <dc:creator>Ben Fulford</dc:creator>
  <cp:keywords/>
  <dc:description/>
  <cp:lastModifiedBy>Tye, Shannon</cp:lastModifiedBy>
  <cp:revision>2</cp:revision>
  <cp:lastPrinted>2021-04-14T04:41:00Z</cp:lastPrinted>
  <dcterms:created xsi:type="dcterms:W3CDTF">2021-04-14T06:04:00Z</dcterms:created>
  <dcterms:modified xsi:type="dcterms:W3CDTF">2021-04-14T06:04:00Z</dcterms:modified>
</cp:coreProperties>
</file>