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C4" w:rsidRDefault="005E6EF0" w:rsidP="00207111">
      <w:pPr>
        <w:pStyle w:val="Heading6"/>
        <w:spacing w:after="120"/>
        <w:jc w:val="center"/>
      </w:pPr>
      <w:r>
        <w:rPr>
          <w:noProof/>
        </w:rPr>
        <w:drawing>
          <wp:inline distT="0" distB="0" distL="0" distR="0" wp14:anchorId="3B520164" wp14:editId="540C2142">
            <wp:extent cx="5746750" cy="729539"/>
            <wp:effectExtent l="0" t="0" r="0" b="0"/>
            <wp:docPr id="2" name="Picture 2" descr="Department of Industry, Innovation &amp; Science | Business Contact | 13 28 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0" cy="729539"/>
                    </a:xfrm>
                    <a:prstGeom prst="rect">
                      <a:avLst/>
                    </a:prstGeom>
                    <a:noFill/>
                    <a:ln>
                      <a:noFill/>
                    </a:ln>
                  </pic:spPr>
                </pic:pic>
              </a:graphicData>
            </a:graphic>
          </wp:inline>
        </w:drawing>
      </w:r>
    </w:p>
    <w:p w:rsidR="00B326C4" w:rsidRPr="00306901" w:rsidRDefault="00B326C4" w:rsidP="00B018CF">
      <w:pPr>
        <w:pStyle w:val="Heading1"/>
        <w:rPr>
          <w:color w:val="1F497D" w:themeColor="text2"/>
          <w:sz w:val="28"/>
          <w:szCs w:val="28"/>
        </w:rPr>
      </w:pPr>
      <w:bookmarkStart w:id="0" w:name="OLE_LINK3"/>
      <w:bookmarkStart w:id="1" w:name="OLE_LINK4"/>
      <w:r w:rsidRPr="00306901">
        <w:rPr>
          <w:color w:val="1F497D" w:themeColor="text2"/>
        </w:rPr>
        <w:t>Innovation Australia</w:t>
      </w:r>
      <w:r w:rsidR="00B018CF" w:rsidRPr="00306901">
        <w:rPr>
          <w:color w:val="1F497D" w:themeColor="text2"/>
        </w:rPr>
        <w:tab/>
      </w:r>
      <w:r w:rsidR="008D5EF5">
        <w:rPr>
          <w:color w:val="1F497D" w:themeColor="text2"/>
        </w:rPr>
        <w:t xml:space="preserve">    </w:t>
      </w:r>
      <w:r w:rsidR="00EF2B37">
        <w:rPr>
          <w:color w:val="1F497D" w:themeColor="text2"/>
        </w:rPr>
        <w:t xml:space="preserve">        </w:t>
      </w:r>
      <w:r w:rsidRPr="00306901">
        <w:rPr>
          <w:color w:val="1F497D" w:themeColor="text2"/>
        </w:rPr>
        <w:t>Information Paper</w:t>
      </w:r>
    </w:p>
    <w:p w:rsidR="00D61F8B" w:rsidRDefault="00D61F8B" w:rsidP="00F137A5">
      <w:pPr>
        <w:ind w:left="4320" w:hanging="4320"/>
        <w:jc w:val="right"/>
      </w:pPr>
      <w:r>
        <w:t xml:space="preserve">Venture Capital Act 2002 </w:t>
      </w:r>
    </w:p>
    <w:p w:rsidR="00B326C4" w:rsidRDefault="00B326C4" w:rsidP="00F137A5">
      <w:pPr>
        <w:jc w:val="right"/>
      </w:pPr>
      <w:r>
        <w:t xml:space="preserve">Issued </w:t>
      </w:r>
      <w:r w:rsidR="008C6071">
        <w:t>September</w:t>
      </w:r>
      <w:r w:rsidR="005934CA">
        <w:t xml:space="preserve"> 2015</w:t>
      </w:r>
    </w:p>
    <w:p w:rsidR="00B326C4" w:rsidRPr="00982E3B" w:rsidRDefault="00982E3B" w:rsidP="002B05E0">
      <w:pPr>
        <w:pStyle w:val="Heading2"/>
        <w:spacing w:before="360" w:after="240"/>
        <w:jc w:val="center"/>
        <w:rPr>
          <w:color w:val="FF0000"/>
        </w:rPr>
      </w:pPr>
      <w:r w:rsidRPr="00982E3B">
        <w:rPr>
          <w:color w:val="FF0000"/>
        </w:rPr>
        <w:t xml:space="preserve">Interpretation of </w:t>
      </w:r>
      <w:r w:rsidR="004619F3">
        <w:rPr>
          <w:color w:val="FF0000"/>
        </w:rPr>
        <w:t>‘A</w:t>
      </w:r>
      <w:r w:rsidRPr="00982E3B">
        <w:rPr>
          <w:color w:val="FF0000"/>
        </w:rPr>
        <w:t>ssociate’ in section 9-3(1)(e) of the Venture Capital Act 2002</w:t>
      </w:r>
    </w:p>
    <w:p w:rsidR="00D61F8B" w:rsidRPr="00610EDA" w:rsidRDefault="00D61F8B" w:rsidP="00D61F8B">
      <w:pPr>
        <w:pBdr>
          <w:top w:val="single" w:sz="4" w:space="1" w:color="auto"/>
        </w:pBdr>
      </w:pPr>
      <w:r w:rsidRPr="00610EDA">
        <w:t>Operative provisions:</w:t>
      </w:r>
    </w:p>
    <w:p w:rsidR="00D61F8B" w:rsidRPr="00610EDA" w:rsidRDefault="00D61F8B" w:rsidP="00D61F8B">
      <w:pPr>
        <w:numPr>
          <w:ilvl w:val="0"/>
          <w:numId w:val="29"/>
        </w:numPr>
      </w:pPr>
      <w:r>
        <w:t xml:space="preserve">Section </w:t>
      </w:r>
      <w:r w:rsidR="0097590C">
        <w:t>9-3(1)(e)</w:t>
      </w:r>
      <w:r w:rsidR="003556AE">
        <w:t xml:space="preserve"> </w:t>
      </w:r>
      <w:r w:rsidR="0097590C">
        <w:t xml:space="preserve">of the </w:t>
      </w:r>
      <w:r w:rsidR="0097590C" w:rsidRPr="00C42DC6">
        <w:rPr>
          <w:i/>
        </w:rPr>
        <w:t>Venture Capital Act 2002</w:t>
      </w:r>
      <w:r w:rsidR="0097590C">
        <w:t xml:space="preserve"> (VCA 2002)</w:t>
      </w:r>
    </w:p>
    <w:p w:rsidR="0097590C" w:rsidRPr="00610EDA" w:rsidRDefault="0097590C" w:rsidP="0097590C">
      <w:pPr>
        <w:numPr>
          <w:ilvl w:val="0"/>
          <w:numId w:val="29"/>
        </w:numPr>
      </w:pPr>
      <w:r>
        <w:t>Section 318(e)</w:t>
      </w:r>
      <w:r w:rsidR="009C7AFF">
        <w:t xml:space="preserve"> of the</w:t>
      </w:r>
      <w:r>
        <w:t xml:space="preserve"> </w:t>
      </w:r>
      <w:r w:rsidRPr="00C42DC6">
        <w:rPr>
          <w:i/>
        </w:rPr>
        <w:t xml:space="preserve">Income Tax Assessment Act </w:t>
      </w:r>
      <w:r w:rsidR="008E538D">
        <w:rPr>
          <w:i/>
        </w:rPr>
        <w:t>1936</w:t>
      </w:r>
      <w:r w:rsidR="008E538D">
        <w:t xml:space="preserve"> (ITAA36</w:t>
      </w:r>
      <w:r>
        <w:t>)</w:t>
      </w:r>
    </w:p>
    <w:p w:rsidR="00D61F8B" w:rsidRDefault="00D61F8B" w:rsidP="00D61F8B">
      <w:pPr>
        <w:pBdr>
          <w:bottom w:val="single" w:sz="4" w:space="1" w:color="auto"/>
        </w:pBdr>
      </w:pPr>
    </w:p>
    <w:p w:rsidR="00B326C4" w:rsidRPr="00306901" w:rsidRDefault="00B326C4" w:rsidP="00B018CF">
      <w:pPr>
        <w:pStyle w:val="Heading3"/>
        <w:rPr>
          <w:color w:val="1F497D" w:themeColor="text2"/>
        </w:rPr>
      </w:pPr>
      <w:r w:rsidRPr="00306901">
        <w:rPr>
          <w:color w:val="1F497D" w:themeColor="text2"/>
        </w:rPr>
        <w:t>Purpose</w:t>
      </w:r>
    </w:p>
    <w:bookmarkEnd w:id="0"/>
    <w:bookmarkEnd w:id="1"/>
    <w:p w:rsidR="00D61F8B" w:rsidRDefault="00D61F8B" w:rsidP="00D61F8B">
      <w:pPr>
        <w:spacing w:line="288" w:lineRule="atLeast"/>
      </w:pPr>
      <w:r w:rsidRPr="00A968C0">
        <w:t xml:space="preserve">This </w:t>
      </w:r>
      <w:r w:rsidR="00B25D72">
        <w:t xml:space="preserve">information </w:t>
      </w:r>
      <w:r w:rsidRPr="00A968C0">
        <w:t>paper explains Innovatio</w:t>
      </w:r>
      <w:r w:rsidR="008E538D">
        <w:t xml:space="preserve">n Australia's (the Board) </w:t>
      </w:r>
      <w:r w:rsidRPr="00A968C0">
        <w:t xml:space="preserve">approach to the </w:t>
      </w:r>
      <w:r>
        <w:t xml:space="preserve">operation of </w:t>
      </w:r>
      <w:r w:rsidR="008E538D">
        <w:t>section</w:t>
      </w:r>
      <w:r w:rsidR="00185B9A">
        <w:t xml:space="preserve"> </w:t>
      </w:r>
      <w:r w:rsidR="008E538D">
        <w:t xml:space="preserve">9-3(1)(e) </w:t>
      </w:r>
      <w:r w:rsidR="00C067ED">
        <w:t xml:space="preserve">of the VCA 2002 </w:t>
      </w:r>
      <w:r w:rsidR="008E538D">
        <w:t>and section 318(e)</w:t>
      </w:r>
      <w:r>
        <w:t xml:space="preserve"> </w:t>
      </w:r>
      <w:r w:rsidRPr="00A968C0">
        <w:t xml:space="preserve">of the </w:t>
      </w:r>
      <w:r w:rsidR="008E538D">
        <w:t>ITAA36</w:t>
      </w:r>
      <w:r>
        <w:t>.</w:t>
      </w:r>
    </w:p>
    <w:p w:rsidR="00D61F8B" w:rsidRPr="000745CD" w:rsidRDefault="00D61F8B" w:rsidP="00D61F8B">
      <w:pPr>
        <w:rPr>
          <w:sz w:val="16"/>
          <w:szCs w:val="16"/>
        </w:rPr>
      </w:pPr>
    </w:p>
    <w:p w:rsidR="00D61F8B" w:rsidRPr="0021727B" w:rsidRDefault="00D61F8B" w:rsidP="00D61F8B">
      <w:r w:rsidRPr="00A968C0">
        <w:t xml:space="preserve">This paper is not financial </w:t>
      </w:r>
      <w:r>
        <w:t>services, tax or legal advice. Readers should seek such advice from qualified professionals for their particular circumstances.</w:t>
      </w:r>
    </w:p>
    <w:p w:rsidR="00D61F8B" w:rsidRPr="00306901" w:rsidRDefault="00D61F8B" w:rsidP="00D61F8B">
      <w:pPr>
        <w:pStyle w:val="Heading3"/>
        <w:rPr>
          <w:color w:val="1F497D" w:themeColor="text2"/>
        </w:rPr>
      </w:pPr>
      <w:r w:rsidRPr="00306901">
        <w:rPr>
          <w:color w:val="1F497D" w:themeColor="text2"/>
        </w:rPr>
        <w:t>Background</w:t>
      </w:r>
    </w:p>
    <w:p w:rsidR="00185B9A" w:rsidRDefault="00FF48A0" w:rsidP="000126BD">
      <w:pPr>
        <w:pStyle w:val="BodyText"/>
        <w:tabs>
          <w:tab w:val="clear" w:pos="720"/>
          <w:tab w:val="left" w:pos="0"/>
        </w:tabs>
      </w:pPr>
      <w:r>
        <w:t xml:space="preserve">Section 9-3(1)(e) of the VCA 2002 </w:t>
      </w:r>
      <w:r w:rsidR="00185B9A">
        <w:t xml:space="preserve">specifies that one of the requirements for registration of an </w:t>
      </w:r>
      <w:r w:rsidR="00FB5907">
        <w:t>Early Stage Venture Capital Limited Partnership (</w:t>
      </w:r>
      <w:r w:rsidR="00185B9A">
        <w:t>ESVCLP</w:t>
      </w:r>
      <w:r w:rsidR="00FB5907">
        <w:t>)</w:t>
      </w:r>
      <w:r w:rsidR="00185B9A">
        <w:t>, in relation to a limited partnership, is that:</w:t>
      </w:r>
    </w:p>
    <w:p w:rsidR="00382939" w:rsidRDefault="00382939" w:rsidP="000126BD">
      <w:pPr>
        <w:pStyle w:val="BodyText"/>
        <w:tabs>
          <w:tab w:val="clear" w:pos="720"/>
          <w:tab w:val="left" w:pos="0"/>
        </w:tabs>
      </w:pPr>
    </w:p>
    <w:p w:rsidR="00185B9A" w:rsidRDefault="00185B9A" w:rsidP="000126BD">
      <w:pPr>
        <w:pStyle w:val="BodyText"/>
        <w:ind w:left="993"/>
      </w:pPr>
      <w:r>
        <w:t xml:space="preserve">‘none of the partners has committed capital in the partnership, that, taken together with the sum of the amounts of committed capital in the partnership of </w:t>
      </w:r>
      <w:r w:rsidRPr="00FF036D">
        <w:t>any of that partner’s associates</w:t>
      </w:r>
      <w:r>
        <w:t xml:space="preserve"> (other than associates to whom subs</w:t>
      </w:r>
      <w:r w:rsidR="00FB5907">
        <w:t>ection (5) applies</w:t>
      </w:r>
      <w:r w:rsidR="007B6EB6">
        <w:t xml:space="preserve"> to</w:t>
      </w:r>
      <w:r w:rsidR="00D259CD">
        <w:t xml:space="preserve"> an ADI, </w:t>
      </w:r>
      <w:r w:rsidR="00744DE7">
        <w:t>or a life insurance company or a widely held superannuation fund</w:t>
      </w:r>
      <w:r w:rsidR="00FB5907">
        <w:t>), exceeds 30 per cent</w:t>
      </w:r>
      <w:r>
        <w:t xml:space="preserve"> of the partnership’s committed capital’.</w:t>
      </w:r>
    </w:p>
    <w:p w:rsidR="009653FC" w:rsidRDefault="009653FC" w:rsidP="000126BD">
      <w:pPr>
        <w:pStyle w:val="BodyText"/>
        <w:ind w:left="993"/>
      </w:pPr>
    </w:p>
    <w:p w:rsidR="00185B9A" w:rsidRDefault="00185B9A" w:rsidP="000126BD">
      <w:r>
        <w:t>Section</w:t>
      </w:r>
      <w:r w:rsidR="00FB5907">
        <w:t xml:space="preserve"> 1-10 of the VC</w:t>
      </w:r>
      <w:r>
        <w:t>A</w:t>
      </w:r>
      <w:r w:rsidR="00FB5907">
        <w:t xml:space="preserve"> 2002</w:t>
      </w:r>
      <w:r>
        <w:t xml:space="preserve"> provides that expressions in the </w:t>
      </w:r>
      <w:r w:rsidR="00FB5907">
        <w:t>VCA 2002</w:t>
      </w:r>
      <w:r>
        <w:t xml:space="preserve"> have the same meaning as in the </w:t>
      </w:r>
      <w:r>
        <w:rPr>
          <w:i/>
        </w:rPr>
        <w:t>Income Tax Assessment Act 1997</w:t>
      </w:r>
      <w:r>
        <w:t xml:space="preserve"> (</w:t>
      </w:r>
      <w:r w:rsidR="00FB5907" w:rsidRPr="00FB5907">
        <w:t>ITAA97</w:t>
      </w:r>
      <w:r w:rsidR="0065327E">
        <w:t xml:space="preserve">). </w:t>
      </w:r>
      <w:r>
        <w:t xml:space="preserve">The </w:t>
      </w:r>
      <w:r w:rsidR="00FB5907">
        <w:t xml:space="preserve">ITAA97 </w:t>
      </w:r>
      <w:r>
        <w:t xml:space="preserve">defines ‘associate’ as having the meaning given by section 318 of the </w:t>
      </w:r>
      <w:r w:rsidR="00FB5907" w:rsidRPr="00FB5907">
        <w:t>ITAA36</w:t>
      </w:r>
      <w:r>
        <w:t xml:space="preserve">. </w:t>
      </w:r>
    </w:p>
    <w:p w:rsidR="00185B9A" w:rsidRDefault="00185B9A" w:rsidP="000126BD"/>
    <w:p w:rsidR="00185B9A" w:rsidRDefault="00185B9A" w:rsidP="000126BD">
      <w:r>
        <w:t xml:space="preserve">Section 318(e) of the </w:t>
      </w:r>
      <w:r w:rsidR="00F3769E">
        <w:t xml:space="preserve">ITAA36 </w:t>
      </w:r>
      <w:r>
        <w:t>defines ‘associate’ of a company (the ‘</w:t>
      </w:r>
      <w:r>
        <w:rPr>
          <w:b/>
          <w:i/>
        </w:rPr>
        <w:t>primary entity</w:t>
      </w:r>
      <w:r>
        <w:rPr>
          <w:i/>
        </w:rPr>
        <w:t xml:space="preserve">’) </w:t>
      </w:r>
      <w:r>
        <w:t>to include:</w:t>
      </w:r>
    </w:p>
    <w:p w:rsidR="00D61F8B" w:rsidRPr="00185B9A" w:rsidRDefault="00185B9A" w:rsidP="000126BD">
      <w:pPr>
        <w:pStyle w:val="Heading3"/>
        <w:ind w:left="993"/>
        <w:rPr>
          <w:rFonts w:ascii="Times New Roman" w:hAnsi="Times New Roman" w:cs="Times New Roman"/>
          <w:b w:val="0"/>
        </w:rPr>
      </w:pPr>
      <w:r w:rsidRPr="00185B9A">
        <w:rPr>
          <w:rFonts w:ascii="Times New Roman" w:hAnsi="Times New Roman" w:cs="Times New Roman"/>
          <w:b w:val="0"/>
        </w:rPr>
        <w:t>‘a partner of the primary entity or a partnership in which the primary entity is a partner.’</w:t>
      </w:r>
    </w:p>
    <w:p w:rsidR="00776E02" w:rsidRDefault="00776E02" w:rsidP="009653FC">
      <w:pPr>
        <w:pStyle w:val="Heading3"/>
        <w:rPr>
          <w:color w:val="1F497D" w:themeColor="text2"/>
        </w:rPr>
      </w:pPr>
      <w:r>
        <w:rPr>
          <w:color w:val="1F497D" w:themeColor="text2"/>
        </w:rPr>
        <w:t>Issue</w:t>
      </w:r>
    </w:p>
    <w:p w:rsidR="00776E02" w:rsidRDefault="00776E02" w:rsidP="00776E02">
      <w:pPr>
        <w:pStyle w:val="BodyText"/>
        <w:tabs>
          <w:tab w:val="clear" w:pos="720"/>
          <w:tab w:val="left" w:pos="0"/>
        </w:tabs>
      </w:pPr>
      <w:r>
        <w:t>Under the definition</w:t>
      </w:r>
      <w:r w:rsidR="00D850D4">
        <w:t xml:space="preserve"> in section 318(e) of the ITAA36</w:t>
      </w:r>
      <w:r>
        <w:t>, every partner in an ESVCLP is potentially an ‘associate’ of each of the other partners in that ESVCLP, because each entity is a partner in that ESVCLP.</w:t>
      </w:r>
    </w:p>
    <w:p w:rsidR="00776E02" w:rsidRPr="00776E02" w:rsidRDefault="00776E02" w:rsidP="00776E02">
      <w:pPr>
        <w:pStyle w:val="BodyText"/>
        <w:tabs>
          <w:tab w:val="clear" w:pos="720"/>
          <w:tab w:val="left" w:pos="0"/>
        </w:tabs>
      </w:pPr>
      <w:r>
        <w:lastRenderedPageBreak/>
        <w:t>If correct, this would mean that no partnership could ever satisfy the 30 per cent cap on committed capital of individual partners. The interpretation of the term ‘associates’ in this context required for registration as an ESVCLP</w:t>
      </w:r>
      <w:r w:rsidR="00D850D4">
        <w:t xml:space="preserve"> is as follows</w:t>
      </w:r>
      <w:r>
        <w:t>.</w:t>
      </w:r>
    </w:p>
    <w:p w:rsidR="003E510B" w:rsidRPr="009653FC" w:rsidRDefault="00382939" w:rsidP="009653FC">
      <w:pPr>
        <w:pStyle w:val="Heading3"/>
        <w:rPr>
          <w:color w:val="1F497D" w:themeColor="text2"/>
        </w:rPr>
      </w:pPr>
      <w:r>
        <w:rPr>
          <w:color w:val="1F497D" w:themeColor="text2"/>
        </w:rPr>
        <w:t xml:space="preserve">Interpretation </w:t>
      </w:r>
    </w:p>
    <w:p w:rsidR="007572C9" w:rsidRDefault="007572C9" w:rsidP="007572C9">
      <w:pPr>
        <w:pStyle w:val="BodyText"/>
      </w:pPr>
      <w:r>
        <w:t>The meaning of ‘associates’ in section 9-3(1)(e) should be read down to exclude entities that are an associate of the partner only because the entity is also a partner in the same limited partnership for which registration is sought as an ESVCLP.</w:t>
      </w:r>
    </w:p>
    <w:p w:rsidR="00A53507" w:rsidRDefault="00A53507" w:rsidP="0067163E">
      <w:pPr>
        <w:pStyle w:val="BodyText"/>
      </w:pPr>
    </w:p>
    <w:p w:rsidR="0067163E" w:rsidRDefault="0067163E" w:rsidP="0067163E">
      <w:pPr>
        <w:pStyle w:val="BodyText"/>
      </w:pPr>
      <w:r>
        <w:t>This decision was reached on the basis that:</w:t>
      </w:r>
    </w:p>
    <w:p w:rsidR="0067163E" w:rsidRPr="0067163E" w:rsidRDefault="0067163E" w:rsidP="0067163E">
      <w:pPr>
        <w:pStyle w:val="Heading3"/>
        <w:numPr>
          <w:ilvl w:val="0"/>
          <w:numId w:val="32"/>
        </w:numPr>
        <w:rPr>
          <w:rFonts w:ascii="Times New Roman" w:hAnsi="Times New Roman" w:cs="Times New Roman"/>
          <w:b w:val="0"/>
        </w:rPr>
      </w:pPr>
      <w:r w:rsidRPr="0067163E">
        <w:rPr>
          <w:rFonts w:ascii="Times New Roman" w:hAnsi="Times New Roman" w:cs="Times New Roman"/>
          <w:b w:val="0"/>
        </w:rPr>
        <w:t>the modern approach of Australian Courts to statutory interpretation is to prefer a construction promoting the context and purpose of a provision, even where there is no ambiguity or doubt as to the literal or grammatical meaning of the words; and</w:t>
      </w:r>
    </w:p>
    <w:p w:rsidR="0067163E" w:rsidRDefault="0067163E" w:rsidP="0067163E">
      <w:pPr>
        <w:pStyle w:val="Heading3"/>
        <w:numPr>
          <w:ilvl w:val="0"/>
          <w:numId w:val="32"/>
        </w:numPr>
        <w:rPr>
          <w:rFonts w:ascii="Times New Roman" w:hAnsi="Times New Roman" w:cs="Times New Roman"/>
          <w:b w:val="0"/>
        </w:rPr>
      </w:pPr>
      <w:r w:rsidRPr="0067163E">
        <w:rPr>
          <w:rFonts w:ascii="Times New Roman" w:hAnsi="Times New Roman" w:cs="Times New Roman"/>
          <w:b w:val="0"/>
        </w:rPr>
        <w:t>applying the purposive approach to section 9-3(1)(e):</w:t>
      </w:r>
    </w:p>
    <w:p w:rsidR="0067163E" w:rsidRPr="0067163E" w:rsidRDefault="0067163E" w:rsidP="0067163E"/>
    <w:p w:rsidR="0067163E" w:rsidRDefault="005D334C" w:rsidP="0067163E">
      <w:pPr>
        <w:pStyle w:val="ListParagraph"/>
        <w:numPr>
          <w:ilvl w:val="0"/>
          <w:numId w:val="33"/>
        </w:numPr>
        <w:spacing w:after="200" w:line="276" w:lineRule="auto"/>
      </w:pPr>
      <w:r>
        <w:t>t</w:t>
      </w:r>
      <w:r w:rsidR="007572C9" w:rsidRPr="007572C9">
        <w:t xml:space="preserve">he </w:t>
      </w:r>
      <w:r w:rsidR="00A01BE9">
        <w:t>written</w:t>
      </w:r>
      <w:r w:rsidR="00A01BE9" w:rsidRPr="007572C9">
        <w:t xml:space="preserve"> </w:t>
      </w:r>
      <w:r w:rsidR="007572C9" w:rsidRPr="007572C9">
        <w:t>context of section 9-3(1)(e) supports a narrowed meaning of ‘associate’ to avoid absurd results and achieve greater consistency with othe</w:t>
      </w:r>
      <w:r w:rsidR="0067163E">
        <w:t>r provisions of the VCA 2002;</w:t>
      </w:r>
      <w:r w:rsidR="00A01BE9">
        <w:t xml:space="preserve">and </w:t>
      </w:r>
    </w:p>
    <w:p w:rsidR="0067163E" w:rsidRPr="0067163E" w:rsidRDefault="0067163E" w:rsidP="0067163E">
      <w:pPr>
        <w:pStyle w:val="ListParagraph"/>
        <w:numPr>
          <w:ilvl w:val="0"/>
          <w:numId w:val="33"/>
        </w:numPr>
        <w:spacing w:after="200" w:line="276" w:lineRule="auto"/>
        <w:rPr>
          <w:rFonts w:ascii="CG Times (WN)" w:hAnsi="CG Times (WN)"/>
        </w:rPr>
      </w:pPr>
      <w:r w:rsidRPr="007572C9">
        <w:t>the legislative purpose of the VC</w:t>
      </w:r>
      <w:r>
        <w:t xml:space="preserve">A 2002 </w:t>
      </w:r>
      <w:r w:rsidRPr="007572C9">
        <w:t xml:space="preserve">also supports a narrowed definition of ‘associate’ to avoid inconsistency with the definitions and broader purpose of the tax concessions in the </w:t>
      </w:r>
      <w:r w:rsidRPr="0065327E">
        <w:t>ITAA97.</w:t>
      </w:r>
      <w:r w:rsidRPr="007572C9">
        <w:t xml:space="preserve"> </w:t>
      </w:r>
    </w:p>
    <w:p w:rsidR="00AD3BE2" w:rsidRPr="00AD3BE2" w:rsidRDefault="00AD3BE2" w:rsidP="00AD3BE2">
      <w:pPr>
        <w:pStyle w:val="Heading3"/>
        <w:rPr>
          <w:color w:val="002060"/>
        </w:rPr>
      </w:pPr>
      <w:r w:rsidRPr="00AD3BE2">
        <w:rPr>
          <w:color w:val="002060"/>
        </w:rPr>
        <w:t>Conclusion</w:t>
      </w:r>
    </w:p>
    <w:p w:rsidR="00E16875" w:rsidRDefault="00AD3BE2" w:rsidP="00E16875">
      <w:pPr>
        <w:pStyle w:val="BodyText"/>
        <w:tabs>
          <w:tab w:val="clear" w:pos="720"/>
          <w:tab w:val="left" w:pos="0"/>
        </w:tabs>
      </w:pPr>
      <w:r>
        <w:t xml:space="preserve">In conclusion, the </w:t>
      </w:r>
      <w:r w:rsidR="00DD3514">
        <w:t>Board</w:t>
      </w:r>
      <w:r w:rsidR="00B25D72">
        <w:t>’</w:t>
      </w:r>
      <w:r w:rsidR="00DD3514">
        <w:t xml:space="preserve">s </w:t>
      </w:r>
      <w:r>
        <w:t xml:space="preserve">view is that both the </w:t>
      </w:r>
      <w:r w:rsidR="0065327E">
        <w:t xml:space="preserve">written </w:t>
      </w:r>
      <w:r>
        <w:t>and broader legislative context of section 9-3(1)(e) suggest that it was intended for the definition of ‘associate’ to be read down to exclu</w:t>
      </w:r>
      <w:r w:rsidR="0065327E">
        <w:t>de other partners of the ESVCLP</w:t>
      </w:r>
      <w:r w:rsidR="00E16875">
        <w:t>.</w:t>
      </w:r>
    </w:p>
    <w:p w:rsidR="00E16875" w:rsidRPr="005F0EC4" w:rsidRDefault="00E16875" w:rsidP="005F0EC4">
      <w:pPr>
        <w:pStyle w:val="BodyText"/>
        <w:tabs>
          <w:tab w:val="clear" w:pos="720"/>
          <w:tab w:val="left" w:pos="0"/>
        </w:tabs>
      </w:pPr>
      <w:bookmarkStart w:id="2" w:name="_GoBack"/>
      <w:bookmarkEnd w:id="2"/>
    </w:p>
    <w:sectPr w:rsidR="00E16875" w:rsidRPr="005F0EC4" w:rsidSect="00EB1C0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9" w:h="16834"/>
      <w:pgMar w:top="1135" w:right="1419" w:bottom="993" w:left="1440" w:header="568" w:footer="397"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C6" w:rsidRDefault="00402AC6">
      <w:r>
        <w:separator/>
      </w:r>
    </w:p>
  </w:endnote>
  <w:endnote w:type="continuationSeparator" w:id="0">
    <w:p w:rsidR="00402AC6" w:rsidRDefault="0040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D9" w:rsidRDefault="00A5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C1" w:rsidRDefault="001D3465" w:rsidP="00EB1C09">
    <w:pPr>
      <w:pStyle w:val="Footer"/>
      <w:tabs>
        <w:tab w:val="clear" w:pos="4320"/>
        <w:tab w:val="clear" w:pos="8640"/>
        <w:tab w:val="right" w:pos="9072"/>
      </w:tabs>
      <w:rPr>
        <w:rFonts w:ascii="Verdana" w:hAnsi="Verdana"/>
        <w:sz w:val="16"/>
      </w:rPr>
    </w:pPr>
    <w:r>
      <w:rPr>
        <w:rFonts w:ascii="Arial" w:hAnsi="Arial" w:cs="Arial"/>
        <w:sz w:val="16"/>
        <w:szCs w:val="16"/>
      </w:rPr>
      <w:t>ES</w:t>
    </w:r>
    <w:r w:rsidR="00EB1C09" w:rsidRPr="00203F43">
      <w:rPr>
        <w:rFonts w:ascii="Arial" w:hAnsi="Arial" w:cs="Arial"/>
        <w:sz w:val="16"/>
        <w:szCs w:val="16"/>
      </w:rPr>
      <w:t>VCL</w:t>
    </w:r>
    <w:r w:rsidR="00EB1C09">
      <w:rPr>
        <w:rFonts w:ascii="Arial" w:hAnsi="Arial" w:cs="Arial"/>
        <w:sz w:val="16"/>
      </w:rPr>
      <w:t>P In</w:t>
    </w:r>
    <w:r w:rsidR="00A504D9">
      <w:rPr>
        <w:rFonts w:ascii="Arial" w:hAnsi="Arial" w:cs="Arial"/>
        <w:sz w:val="16"/>
      </w:rPr>
      <w:t xml:space="preserve">formation Paper – Interpretation of </w:t>
    </w:r>
    <w:r w:rsidR="00016C4B">
      <w:rPr>
        <w:rFonts w:ascii="Arial" w:hAnsi="Arial" w:cs="Arial"/>
        <w:sz w:val="16"/>
      </w:rPr>
      <w:t>‘</w:t>
    </w:r>
    <w:r w:rsidR="00A504D9">
      <w:rPr>
        <w:rFonts w:ascii="Arial" w:hAnsi="Arial" w:cs="Arial"/>
        <w:sz w:val="16"/>
      </w:rPr>
      <w:t>associate</w:t>
    </w:r>
    <w:r w:rsidR="00016C4B">
      <w:rPr>
        <w:rFonts w:ascii="Arial" w:hAnsi="Arial" w:cs="Arial"/>
        <w:sz w:val="16"/>
      </w:rPr>
      <w:t>’</w:t>
    </w:r>
    <w:r w:rsidR="00EB1C09">
      <w:rPr>
        <w:rFonts w:ascii="Arial" w:hAnsi="Arial" w:cs="Arial"/>
        <w:sz w:val="16"/>
      </w:rPr>
      <w:tab/>
    </w:r>
    <w:r w:rsidR="00156FC1" w:rsidRPr="00EB1C09">
      <w:rPr>
        <w:rFonts w:ascii="Verdana" w:hAnsi="Verdana"/>
        <w:sz w:val="16"/>
      </w:rPr>
      <w:t>Page</w:t>
    </w:r>
    <w:r w:rsidR="00156FC1">
      <w:rPr>
        <w:rFonts w:ascii="Verdana" w:hAnsi="Verdana"/>
        <w:sz w:val="16"/>
      </w:rPr>
      <w:t xml:space="preserve"> </w:t>
    </w:r>
    <w:r w:rsidR="00156FC1">
      <w:rPr>
        <w:rStyle w:val="PageNumber"/>
        <w:rFonts w:ascii="Verdana" w:hAnsi="Verdana"/>
        <w:sz w:val="16"/>
      </w:rPr>
      <w:fldChar w:fldCharType="begin"/>
    </w:r>
    <w:r w:rsidR="00156FC1">
      <w:rPr>
        <w:rStyle w:val="PageNumber"/>
        <w:rFonts w:ascii="Verdana" w:hAnsi="Verdana"/>
        <w:sz w:val="16"/>
      </w:rPr>
      <w:instrText xml:space="preserve"> PAGE </w:instrText>
    </w:r>
    <w:r w:rsidR="00156FC1">
      <w:rPr>
        <w:rStyle w:val="PageNumber"/>
        <w:rFonts w:ascii="Verdana" w:hAnsi="Verdana"/>
        <w:sz w:val="16"/>
      </w:rPr>
      <w:fldChar w:fldCharType="separate"/>
    </w:r>
    <w:r w:rsidR="00460229">
      <w:rPr>
        <w:rStyle w:val="PageNumber"/>
        <w:rFonts w:ascii="Verdana" w:hAnsi="Verdana"/>
        <w:noProof/>
        <w:sz w:val="16"/>
      </w:rPr>
      <w:t>2</w:t>
    </w:r>
    <w:r w:rsidR="00156FC1">
      <w:rPr>
        <w:rStyle w:val="PageNumber"/>
        <w:rFonts w:ascii="Verdana" w:hAnsi="Verdana"/>
        <w:sz w:val="16"/>
      </w:rPr>
      <w:fldChar w:fldCharType="end"/>
    </w:r>
    <w:r w:rsidR="00156FC1">
      <w:rPr>
        <w:rStyle w:val="PageNumber"/>
        <w:rFonts w:ascii="Verdana" w:hAnsi="Verdana"/>
        <w:sz w:val="16"/>
      </w:rPr>
      <w:t xml:space="preserve"> of </w:t>
    </w:r>
    <w:r w:rsidR="00156FC1">
      <w:rPr>
        <w:rStyle w:val="PageNumber"/>
        <w:rFonts w:ascii="Verdana" w:hAnsi="Verdana"/>
        <w:sz w:val="16"/>
      </w:rPr>
      <w:fldChar w:fldCharType="begin"/>
    </w:r>
    <w:r w:rsidR="00156FC1">
      <w:rPr>
        <w:rStyle w:val="PageNumber"/>
        <w:rFonts w:ascii="Verdana" w:hAnsi="Verdana"/>
        <w:sz w:val="16"/>
      </w:rPr>
      <w:instrText xml:space="preserve"> NUMPAGES </w:instrText>
    </w:r>
    <w:r w:rsidR="00156FC1">
      <w:rPr>
        <w:rStyle w:val="PageNumber"/>
        <w:rFonts w:ascii="Verdana" w:hAnsi="Verdana"/>
        <w:sz w:val="16"/>
      </w:rPr>
      <w:fldChar w:fldCharType="separate"/>
    </w:r>
    <w:r w:rsidR="00460229">
      <w:rPr>
        <w:rStyle w:val="PageNumber"/>
        <w:rFonts w:ascii="Verdana" w:hAnsi="Verdana"/>
        <w:noProof/>
        <w:sz w:val="16"/>
      </w:rPr>
      <w:t>2</w:t>
    </w:r>
    <w:r w:rsidR="00156FC1">
      <w:rPr>
        <w:rStyle w:val="PageNumber"/>
        <w:rFonts w:ascii="Verdana" w:hAnsi="Verdan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C1" w:rsidRDefault="005408AE">
    <w:pPr>
      <w:pStyle w:val="Footer"/>
      <w:tabs>
        <w:tab w:val="clear" w:pos="4320"/>
        <w:tab w:val="clear" w:pos="8640"/>
        <w:tab w:val="right" w:pos="9072"/>
      </w:tabs>
      <w:rPr>
        <w:rFonts w:ascii="Verdana" w:hAnsi="Verdana"/>
        <w:sz w:val="16"/>
      </w:rPr>
    </w:pPr>
    <w:r>
      <w:rPr>
        <w:rFonts w:ascii="Arial" w:hAnsi="Arial" w:cs="Arial"/>
        <w:sz w:val="16"/>
        <w:szCs w:val="16"/>
      </w:rPr>
      <w:t>ES</w:t>
    </w:r>
    <w:r w:rsidR="00203F43" w:rsidRPr="00203F43">
      <w:rPr>
        <w:rFonts w:ascii="Arial" w:hAnsi="Arial" w:cs="Arial"/>
        <w:sz w:val="16"/>
        <w:szCs w:val="16"/>
      </w:rPr>
      <w:t>VCL</w:t>
    </w:r>
    <w:r w:rsidR="00A504D9">
      <w:rPr>
        <w:rFonts w:ascii="Arial" w:hAnsi="Arial" w:cs="Arial"/>
        <w:sz w:val="16"/>
      </w:rPr>
      <w:t xml:space="preserve">P Information Paper – Interpretation of </w:t>
    </w:r>
    <w:r w:rsidR="00016C4B">
      <w:rPr>
        <w:rFonts w:ascii="Arial" w:hAnsi="Arial" w:cs="Arial"/>
        <w:sz w:val="16"/>
      </w:rPr>
      <w:t>‘</w:t>
    </w:r>
    <w:r w:rsidR="00A504D9">
      <w:rPr>
        <w:rFonts w:ascii="Arial" w:hAnsi="Arial" w:cs="Arial"/>
        <w:sz w:val="16"/>
      </w:rPr>
      <w:t>associate</w:t>
    </w:r>
    <w:r w:rsidR="00016C4B">
      <w:rPr>
        <w:rFonts w:ascii="Arial" w:hAnsi="Arial" w:cs="Arial"/>
        <w:sz w:val="16"/>
      </w:rPr>
      <w:t>’</w:t>
    </w:r>
    <w:r w:rsidR="00156FC1" w:rsidRPr="00203F43">
      <w:rPr>
        <w:rFonts w:ascii="Arial" w:hAnsi="Arial" w:cs="Arial"/>
        <w:sz w:val="16"/>
      </w:rPr>
      <w:tab/>
      <w:t xml:space="preserve">Page </w:t>
    </w:r>
    <w:r w:rsidR="00156FC1" w:rsidRPr="00203F43">
      <w:rPr>
        <w:rStyle w:val="PageNumber"/>
        <w:rFonts w:ascii="Arial" w:hAnsi="Arial" w:cs="Arial"/>
        <w:sz w:val="16"/>
      </w:rPr>
      <w:fldChar w:fldCharType="begin"/>
    </w:r>
    <w:r w:rsidR="00156FC1" w:rsidRPr="00203F43">
      <w:rPr>
        <w:rStyle w:val="PageNumber"/>
        <w:rFonts w:ascii="Arial" w:hAnsi="Arial" w:cs="Arial"/>
        <w:sz w:val="16"/>
      </w:rPr>
      <w:instrText xml:space="preserve"> PAGE </w:instrText>
    </w:r>
    <w:r w:rsidR="00156FC1" w:rsidRPr="00203F43">
      <w:rPr>
        <w:rStyle w:val="PageNumber"/>
        <w:rFonts w:ascii="Arial" w:hAnsi="Arial" w:cs="Arial"/>
        <w:sz w:val="16"/>
      </w:rPr>
      <w:fldChar w:fldCharType="separate"/>
    </w:r>
    <w:r w:rsidR="00460229">
      <w:rPr>
        <w:rStyle w:val="PageNumber"/>
        <w:rFonts w:ascii="Arial" w:hAnsi="Arial" w:cs="Arial"/>
        <w:noProof/>
        <w:sz w:val="16"/>
      </w:rPr>
      <w:t>1</w:t>
    </w:r>
    <w:r w:rsidR="00156FC1" w:rsidRPr="00203F43">
      <w:rPr>
        <w:rStyle w:val="PageNumber"/>
        <w:rFonts w:ascii="Arial" w:hAnsi="Arial" w:cs="Arial"/>
        <w:sz w:val="16"/>
      </w:rPr>
      <w:fldChar w:fldCharType="end"/>
    </w:r>
    <w:r w:rsidR="00156FC1" w:rsidRPr="00203F43">
      <w:rPr>
        <w:rStyle w:val="PageNumber"/>
        <w:rFonts w:ascii="Arial" w:hAnsi="Arial" w:cs="Arial"/>
        <w:sz w:val="16"/>
      </w:rPr>
      <w:t xml:space="preserve"> of </w:t>
    </w:r>
    <w:r w:rsidR="00156FC1" w:rsidRPr="00203F43">
      <w:rPr>
        <w:rStyle w:val="PageNumber"/>
        <w:rFonts w:ascii="Arial" w:hAnsi="Arial" w:cs="Arial"/>
        <w:sz w:val="16"/>
      </w:rPr>
      <w:fldChar w:fldCharType="begin"/>
    </w:r>
    <w:r w:rsidR="00156FC1" w:rsidRPr="00203F43">
      <w:rPr>
        <w:rStyle w:val="PageNumber"/>
        <w:rFonts w:ascii="Arial" w:hAnsi="Arial" w:cs="Arial"/>
        <w:sz w:val="16"/>
      </w:rPr>
      <w:instrText xml:space="preserve"> NUMPAGES </w:instrText>
    </w:r>
    <w:r w:rsidR="00156FC1" w:rsidRPr="00203F43">
      <w:rPr>
        <w:rStyle w:val="PageNumber"/>
        <w:rFonts w:ascii="Arial" w:hAnsi="Arial" w:cs="Arial"/>
        <w:sz w:val="16"/>
      </w:rPr>
      <w:fldChar w:fldCharType="separate"/>
    </w:r>
    <w:r w:rsidR="00460229">
      <w:rPr>
        <w:rStyle w:val="PageNumber"/>
        <w:rFonts w:ascii="Arial" w:hAnsi="Arial" w:cs="Arial"/>
        <w:noProof/>
        <w:sz w:val="16"/>
      </w:rPr>
      <w:t>2</w:t>
    </w:r>
    <w:r w:rsidR="00156FC1" w:rsidRPr="00203F43">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C6" w:rsidRDefault="00402AC6">
      <w:r>
        <w:separator/>
      </w:r>
    </w:p>
  </w:footnote>
  <w:footnote w:type="continuationSeparator" w:id="0">
    <w:p w:rsidR="00402AC6" w:rsidRDefault="0040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D9" w:rsidRDefault="00A5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C1" w:rsidRDefault="00156F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D9" w:rsidRDefault="00A5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D2A8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21E8B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D2FB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A423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1BC8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9A47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A2BA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CD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D2B2D0"/>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2452A2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54A8"/>
    <w:multiLevelType w:val="hybridMultilevel"/>
    <w:tmpl w:val="C07CF976"/>
    <w:lvl w:ilvl="0" w:tplc="A5EE1016">
      <w:start w:val="1"/>
      <w:numFmt w:val="bullet"/>
      <w:lvlText w:val=""/>
      <w:lvlJc w:val="left"/>
      <w:pPr>
        <w:tabs>
          <w:tab w:val="num" w:pos="720"/>
        </w:tabs>
        <w:ind w:left="720" w:hanging="360"/>
      </w:pPr>
      <w:rPr>
        <w:rFonts w:ascii="Verdana" w:hAnsi="Verdana"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63864"/>
    <w:multiLevelType w:val="hybridMultilevel"/>
    <w:tmpl w:val="E020D5EA"/>
    <w:lvl w:ilvl="0" w:tplc="19DC509E">
      <w:start w:val="1"/>
      <w:numFmt w:val="decimal"/>
      <w:lvlText w:val="%1."/>
      <w:lvlJc w:val="left"/>
      <w:pPr>
        <w:tabs>
          <w:tab w:val="num" w:pos="840"/>
        </w:tabs>
        <w:ind w:left="840" w:hanging="360"/>
      </w:pPr>
      <w:rPr>
        <w:rFonts w:ascii="Times New Roman" w:hAnsi="Times New Roman" w:cs="Times New Roman" w:hint="default"/>
        <w:i w:val="0"/>
        <w:sz w:val="24"/>
        <w:szCs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6C14D7"/>
    <w:multiLevelType w:val="multilevel"/>
    <w:tmpl w:val="595C8964"/>
    <w:lvl w:ilvl="0">
      <w:start w:val="1"/>
      <w:numFmt w:val="decimal"/>
      <w:lvlText w:val="%1."/>
      <w:lvlJc w:val="left"/>
      <w:pPr>
        <w:tabs>
          <w:tab w:val="num" w:pos="840"/>
        </w:tabs>
        <w:ind w:left="840" w:hanging="360"/>
      </w:pPr>
      <w:rPr>
        <w:rFonts w:ascii="Verdana" w:hAnsi="Verdana" w:cs="Arial" w:hint="default"/>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1C54967"/>
    <w:multiLevelType w:val="hybridMultilevel"/>
    <w:tmpl w:val="E16A3084"/>
    <w:lvl w:ilvl="0" w:tplc="0AEA38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862785C"/>
    <w:multiLevelType w:val="singleLevel"/>
    <w:tmpl w:val="4F70107E"/>
    <w:lvl w:ilvl="0">
      <w:start w:val="1"/>
      <w:numFmt w:val="bullet"/>
      <w:lvlText w:val=""/>
      <w:lvlJc w:val="left"/>
      <w:pPr>
        <w:tabs>
          <w:tab w:val="num" w:pos="360"/>
        </w:tabs>
        <w:ind w:left="360" w:hanging="360"/>
      </w:pPr>
      <w:rPr>
        <w:rFonts w:ascii="Verdana" w:hAnsi="Verdana" w:hint="default"/>
      </w:rPr>
    </w:lvl>
  </w:abstractNum>
  <w:abstractNum w:abstractNumId="15" w15:restartNumberingAfterBreak="0">
    <w:nsid w:val="6FC762DD"/>
    <w:multiLevelType w:val="hybridMultilevel"/>
    <w:tmpl w:val="D436AFEC"/>
    <w:lvl w:ilvl="0" w:tplc="6EDE9292">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DB3273"/>
    <w:multiLevelType w:val="hybridMultilevel"/>
    <w:tmpl w:val="3A1A43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B71A6F"/>
    <w:multiLevelType w:val="singleLevel"/>
    <w:tmpl w:val="0C090001"/>
    <w:lvl w:ilvl="0">
      <w:start w:val="1"/>
      <w:numFmt w:val="bullet"/>
      <w:pStyle w:val="ListNumber2"/>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3"/>
  </w:num>
  <w:num w:numId="4">
    <w:abstractNumId w:val="9"/>
  </w:num>
  <w:num w:numId="5">
    <w:abstractNumId w:val="8"/>
  </w:num>
  <w:num w:numId="6">
    <w:abstractNumId w:val="3"/>
  </w:num>
  <w:num w:numId="7">
    <w:abstractNumId w:val="9"/>
  </w:num>
  <w:num w:numId="8">
    <w:abstractNumId w:val="8"/>
  </w:num>
  <w:num w:numId="9">
    <w:abstractNumId w:val="3"/>
  </w:num>
  <w:num w:numId="10">
    <w:abstractNumId w:val="9"/>
  </w:num>
  <w:num w:numId="11">
    <w:abstractNumId w:val="8"/>
  </w:num>
  <w:num w:numId="12">
    <w:abstractNumId w:val="3"/>
  </w:num>
  <w:num w:numId="13">
    <w:abstractNumId w:val="9"/>
  </w:num>
  <w:num w:numId="14">
    <w:abstractNumId w:val="9"/>
  </w:num>
  <w:num w:numId="15">
    <w:abstractNumId w:val="9"/>
  </w:num>
  <w:num w:numId="16">
    <w:abstractNumId w:val="17"/>
  </w:num>
  <w:num w:numId="17">
    <w:abstractNumId w:val="14"/>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11"/>
  </w:num>
  <w:num w:numId="31">
    <w:abstractNumId w:val="12"/>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6B"/>
    <w:rsid w:val="000126BD"/>
    <w:rsid w:val="00016C4B"/>
    <w:rsid w:val="0003212A"/>
    <w:rsid w:val="00032D86"/>
    <w:rsid w:val="00072C68"/>
    <w:rsid w:val="000745CD"/>
    <w:rsid w:val="000A7B8E"/>
    <w:rsid w:val="000C7A55"/>
    <w:rsid w:val="000F562C"/>
    <w:rsid w:val="00156FC1"/>
    <w:rsid w:val="00185B9A"/>
    <w:rsid w:val="001B1809"/>
    <w:rsid w:val="001D3465"/>
    <w:rsid w:val="00203F43"/>
    <w:rsid w:val="00207111"/>
    <w:rsid w:val="00212314"/>
    <w:rsid w:val="0021727B"/>
    <w:rsid w:val="00242927"/>
    <w:rsid w:val="002539C0"/>
    <w:rsid w:val="00260F0E"/>
    <w:rsid w:val="002B05E0"/>
    <w:rsid w:val="002E2B82"/>
    <w:rsid w:val="00306901"/>
    <w:rsid w:val="003556AE"/>
    <w:rsid w:val="00361AEC"/>
    <w:rsid w:val="00381D60"/>
    <w:rsid w:val="00382939"/>
    <w:rsid w:val="00397CC0"/>
    <w:rsid w:val="003B4FB9"/>
    <w:rsid w:val="003E510B"/>
    <w:rsid w:val="00402AC6"/>
    <w:rsid w:val="00460229"/>
    <w:rsid w:val="004619F3"/>
    <w:rsid w:val="00497FA8"/>
    <w:rsid w:val="00523AC6"/>
    <w:rsid w:val="005408AE"/>
    <w:rsid w:val="005934CA"/>
    <w:rsid w:val="005D334C"/>
    <w:rsid w:val="005E07A6"/>
    <w:rsid w:val="005E6EF0"/>
    <w:rsid w:val="005F0EC4"/>
    <w:rsid w:val="005F78D5"/>
    <w:rsid w:val="00610EDA"/>
    <w:rsid w:val="00616222"/>
    <w:rsid w:val="00637CD9"/>
    <w:rsid w:val="0065327E"/>
    <w:rsid w:val="00670A20"/>
    <w:rsid w:val="0067163E"/>
    <w:rsid w:val="0067743B"/>
    <w:rsid w:val="006E0409"/>
    <w:rsid w:val="00724C19"/>
    <w:rsid w:val="0073620D"/>
    <w:rsid w:val="00744DE7"/>
    <w:rsid w:val="007572C9"/>
    <w:rsid w:val="00761805"/>
    <w:rsid w:val="00776E02"/>
    <w:rsid w:val="00796BD0"/>
    <w:rsid w:val="007B6EB6"/>
    <w:rsid w:val="007C005E"/>
    <w:rsid w:val="007D74F5"/>
    <w:rsid w:val="007E08F2"/>
    <w:rsid w:val="008218F1"/>
    <w:rsid w:val="00821D94"/>
    <w:rsid w:val="00876405"/>
    <w:rsid w:val="008A282B"/>
    <w:rsid w:val="008C6071"/>
    <w:rsid w:val="008D5EF5"/>
    <w:rsid w:val="008E538D"/>
    <w:rsid w:val="009071F4"/>
    <w:rsid w:val="00955F8F"/>
    <w:rsid w:val="009653FC"/>
    <w:rsid w:val="00973AF6"/>
    <w:rsid w:val="0097590C"/>
    <w:rsid w:val="00982E3B"/>
    <w:rsid w:val="009847D6"/>
    <w:rsid w:val="009C7AFF"/>
    <w:rsid w:val="009D68BD"/>
    <w:rsid w:val="00A01BE9"/>
    <w:rsid w:val="00A058F8"/>
    <w:rsid w:val="00A504D9"/>
    <w:rsid w:val="00A52C39"/>
    <w:rsid w:val="00A53507"/>
    <w:rsid w:val="00A54BD7"/>
    <w:rsid w:val="00A61736"/>
    <w:rsid w:val="00A968C0"/>
    <w:rsid w:val="00AD3BE2"/>
    <w:rsid w:val="00B018CF"/>
    <w:rsid w:val="00B25D72"/>
    <w:rsid w:val="00B326C4"/>
    <w:rsid w:val="00B518AE"/>
    <w:rsid w:val="00BF3EE4"/>
    <w:rsid w:val="00C067ED"/>
    <w:rsid w:val="00C42DC6"/>
    <w:rsid w:val="00C66C6B"/>
    <w:rsid w:val="00CA2657"/>
    <w:rsid w:val="00CE2E5E"/>
    <w:rsid w:val="00CF4C10"/>
    <w:rsid w:val="00D259CD"/>
    <w:rsid w:val="00D274BA"/>
    <w:rsid w:val="00D61F8B"/>
    <w:rsid w:val="00D65A8A"/>
    <w:rsid w:val="00D70956"/>
    <w:rsid w:val="00D74572"/>
    <w:rsid w:val="00D77A52"/>
    <w:rsid w:val="00D850D4"/>
    <w:rsid w:val="00D973BB"/>
    <w:rsid w:val="00DC35F6"/>
    <w:rsid w:val="00DD3514"/>
    <w:rsid w:val="00E16875"/>
    <w:rsid w:val="00E25450"/>
    <w:rsid w:val="00E31292"/>
    <w:rsid w:val="00E568DA"/>
    <w:rsid w:val="00EB1C09"/>
    <w:rsid w:val="00EC7EA6"/>
    <w:rsid w:val="00EF2B37"/>
    <w:rsid w:val="00F137A5"/>
    <w:rsid w:val="00F339E5"/>
    <w:rsid w:val="00F3769E"/>
    <w:rsid w:val="00F50038"/>
    <w:rsid w:val="00F6574B"/>
    <w:rsid w:val="00F94E51"/>
    <w:rsid w:val="00FB00ED"/>
    <w:rsid w:val="00FB5907"/>
    <w:rsid w:val="00FB6D66"/>
    <w:rsid w:val="00FC28F6"/>
    <w:rsid w:val="00FE04BD"/>
    <w:rsid w:val="00FE0C5C"/>
    <w:rsid w:val="00FF036D"/>
    <w:rsid w:val="00FF4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4B1D19-2310-4C8F-B511-11549EE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CG Times (W1)"/>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CF"/>
    <w:pPr>
      <w:spacing w:after="0" w:line="240" w:lineRule="auto"/>
    </w:pPr>
    <w:rPr>
      <w:rFonts w:ascii="Times New Roman" w:hAnsi="Times New Roman" w:cs="Times New Roman"/>
      <w:sz w:val="24"/>
      <w:szCs w:val="20"/>
      <w:lang w:val="en-GB"/>
    </w:rPr>
  </w:style>
  <w:style w:type="paragraph" w:styleId="Heading1">
    <w:name w:val="heading 1"/>
    <w:basedOn w:val="Normal"/>
    <w:next w:val="Normal"/>
    <w:link w:val="Heading1Char"/>
    <w:uiPriority w:val="99"/>
    <w:qFormat/>
    <w:rsid w:val="00B018CF"/>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B018CF"/>
    <w:pPr>
      <w:keepNext/>
      <w:spacing w:before="240" w:after="60"/>
      <w:outlineLvl w:val="1"/>
    </w:pPr>
    <w:rPr>
      <w:rFonts w:ascii="Verdana" w:hAnsi="Verdana" w:cs="Arial"/>
      <w:b/>
      <w:bCs/>
      <w:iCs/>
      <w:sz w:val="28"/>
      <w:szCs w:val="28"/>
    </w:rPr>
  </w:style>
  <w:style w:type="paragraph" w:styleId="Heading3">
    <w:name w:val="heading 3"/>
    <w:basedOn w:val="Normal"/>
    <w:next w:val="Normal"/>
    <w:link w:val="Heading3Char"/>
    <w:uiPriority w:val="99"/>
    <w:qFormat/>
    <w:rsid w:val="00B018CF"/>
    <w:pPr>
      <w:keepNext/>
      <w:spacing w:before="240" w:after="60"/>
      <w:outlineLvl w:val="2"/>
    </w:pPr>
    <w:rPr>
      <w:rFonts w:ascii="Verdana" w:hAnsi="Verdana" w:cs="Arial"/>
      <w:b/>
      <w:bCs/>
      <w:szCs w:val="26"/>
    </w:rPr>
  </w:style>
  <w:style w:type="paragraph" w:styleId="Heading4">
    <w:name w:val="heading 4"/>
    <w:basedOn w:val="Normal"/>
    <w:next w:val="Normal"/>
    <w:link w:val="Heading4Char"/>
    <w:uiPriority w:val="9"/>
    <w:unhideWhenUsed/>
    <w:qFormat/>
    <w:rsid w:val="007572C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pPr>
      <w:keepNext/>
      <w:widowControl w:val="0"/>
      <w:jc w:val="right"/>
      <w:outlineLvl w:val="5"/>
    </w:pPr>
    <w:rPr>
      <w:b/>
      <w:sz w:val="28"/>
      <w:lang w:val="en-AU"/>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GB"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x-none"/>
    </w:rPr>
  </w:style>
  <w:style w:type="paragraph" w:styleId="Title">
    <w:name w:val="Title"/>
    <w:basedOn w:val="Normal"/>
    <w:link w:val="TitleChar"/>
    <w:uiPriority w:val="99"/>
    <w:qFormat/>
    <w:pPr>
      <w:spacing w:line="288" w:lineRule="atLeast"/>
      <w:jc w:val="center"/>
    </w:pPr>
    <w:rPr>
      <w:rFonts w:ascii="CG Times (WN)" w:hAnsi="CG Times (WN)"/>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360"/>
        <w:tab w:val="left" w:pos="720"/>
      </w:tabs>
      <w:spacing w:line="288" w:lineRule="atLeast"/>
      <w:jc w:val="both"/>
    </w:pPr>
    <w:rPr>
      <w:rFonts w:ascii="CG Times (WN)" w:hAnsi="CG Times (WN)"/>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GB" w:eastAsia="x-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x-non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GB" w:eastAsia="x-none"/>
    </w:rPr>
  </w:style>
  <w:style w:type="paragraph" w:styleId="ListBullet">
    <w:name w:val="List Bullet"/>
    <w:basedOn w:val="Normal"/>
    <w:uiPriority w:val="99"/>
    <w:rsid w:val="00B018CF"/>
    <w:pPr>
      <w:numPr>
        <w:numId w:val="5"/>
      </w:numPr>
    </w:pPr>
  </w:style>
  <w:style w:type="paragraph" w:styleId="ListNumber">
    <w:name w:val="List Number"/>
    <w:basedOn w:val="Normal"/>
    <w:uiPriority w:val="99"/>
    <w:rsid w:val="00D61F8B"/>
    <w:pPr>
      <w:tabs>
        <w:tab w:val="num" w:pos="360"/>
      </w:tabs>
      <w:ind w:left="360" w:hanging="360"/>
    </w:pPr>
    <w:rPr>
      <w:rFonts w:ascii="Verdana" w:hAnsi="Verdana"/>
      <w:sz w:val="20"/>
      <w:szCs w:val="24"/>
      <w:lang w:val="en-AU"/>
    </w:rPr>
  </w:style>
  <w:style w:type="paragraph" w:styleId="ListNumber2">
    <w:name w:val="List Number 2"/>
    <w:basedOn w:val="Normal"/>
    <w:uiPriority w:val="99"/>
    <w:rsid w:val="00D61F8B"/>
    <w:pPr>
      <w:numPr>
        <w:numId w:val="16"/>
      </w:numPr>
      <w:tabs>
        <w:tab w:val="clear" w:pos="360"/>
        <w:tab w:val="num" w:pos="643"/>
        <w:tab w:val="num" w:pos="1209"/>
      </w:tabs>
      <w:ind w:left="643"/>
    </w:pPr>
  </w:style>
  <w:style w:type="character" w:styleId="FootnoteReference">
    <w:name w:val="footnote reference"/>
    <w:semiHidden/>
    <w:rsid w:val="003E510B"/>
    <w:rPr>
      <w:vertAlign w:val="superscript"/>
    </w:rPr>
  </w:style>
  <w:style w:type="paragraph" w:styleId="FootnoteText">
    <w:name w:val="footnote text"/>
    <w:basedOn w:val="Normal"/>
    <w:link w:val="FootnoteTextChar"/>
    <w:semiHidden/>
    <w:rsid w:val="003E510B"/>
    <w:pPr>
      <w:spacing w:after="60"/>
      <w:ind w:left="284" w:hanging="284"/>
    </w:pPr>
    <w:rPr>
      <w:rFonts w:ascii="Arial" w:hAnsi="Arial" w:cs="Arial"/>
      <w:sz w:val="18"/>
      <w:lang w:val="en-AU" w:eastAsia="en-US"/>
    </w:rPr>
  </w:style>
  <w:style w:type="character" w:customStyle="1" w:styleId="FootnoteTextChar">
    <w:name w:val="Footnote Text Char"/>
    <w:basedOn w:val="DefaultParagraphFont"/>
    <w:link w:val="FootnoteText"/>
    <w:semiHidden/>
    <w:rsid w:val="003E510B"/>
    <w:rPr>
      <w:rFonts w:ascii="Arial" w:hAnsi="Arial" w:cs="Arial"/>
      <w:sz w:val="18"/>
      <w:szCs w:val="20"/>
      <w:lang w:eastAsia="en-US"/>
    </w:rPr>
  </w:style>
  <w:style w:type="character" w:customStyle="1" w:styleId="Heading4Char">
    <w:name w:val="Heading 4 Char"/>
    <w:basedOn w:val="DefaultParagraphFont"/>
    <w:link w:val="Heading4"/>
    <w:uiPriority w:val="9"/>
    <w:rsid w:val="007572C9"/>
    <w:rPr>
      <w:rFonts w:asciiTheme="majorHAnsi" w:eastAsiaTheme="majorEastAsia" w:hAnsiTheme="majorHAnsi" w:cstheme="majorBidi"/>
      <w:b/>
      <w:bCs/>
      <w:i/>
      <w:iCs/>
      <w:color w:val="4F81BD" w:themeColor="accent1"/>
      <w:sz w:val="24"/>
      <w:szCs w:val="20"/>
      <w:lang w:val="en-GB"/>
    </w:rPr>
  </w:style>
  <w:style w:type="paragraph" w:customStyle="1" w:styleId="Indent2">
    <w:name w:val="Indent 2"/>
    <w:basedOn w:val="Normal"/>
    <w:rsid w:val="00E16875"/>
    <w:pPr>
      <w:spacing w:after="240"/>
      <w:ind w:left="737"/>
    </w:pPr>
    <w:rPr>
      <w:rFonts w:ascii="Arial" w:hAnsi="Arial" w:cs="Arial"/>
      <w:sz w:val="20"/>
      <w:lang w:val="en-AU" w:eastAsia="en-US"/>
    </w:rPr>
  </w:style>
  <w:style w:type="paragraph" w:styleId="ListParagraph">
    <w:name w:val="List Paragraph"/>
    <w:basedOn w:val="Normal"/>
    <w:uiPriority w:val="34"/>
    <w:qFormat/>
    <w:rsid w:val="0067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9302">
      <w:bodyDiv w:val="1"/>
      <w:marLeft w:val="0"/>
      <w:marRight w:val="0"/>
      <w:marTop w:val="0"/>
      <w:marBottom w:val="0"/>
      <w:divBdr>
        <w:top w:val="none" w:sz="0" w:space="0" w:color="auto"/>
        <w:left w:val="none" w:sz="0" w:space="0" w:color="auto"/>
        <w:bottom w:val="none" w:sz="0" w:space="0" w:color="auto"/>
        <w:right w:val="none" w:sz="0" w:space="0" w:color="auto"/>
      </w:divBdr>
    </w:div>
    <w:div w:id="709493087">
      <w:bodyDiv w:val="1"/>
      <w:marLeft w:val="0"/>
      <w:marRight w:val="0"/>
      <w:marTop w:val="0"/>
      <w:marBottom w:val="0"/>
      <w:divBdr>
        <w:top w:val="none" w:sz="0" w:space="0" w:color="auto"/>
        <w:left w:val="none" w:sz="0" w:space="0" w:color="auto"/>
        <w:bottom w:val="none" w:sz="0" w:space="0" w:color="auto"/>
        <w:right w:val="none" w:sz="0" w:space="0" w:color="auto"/>
      </w:divBdr>
    </w:div>
    <w:div w:id="8760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VCLP INFO PAPER - COMMITTED CAPITAL</vt:lpstr>
    </vt:vector>
  </TitlesOfParts>
  <Company>AUSINDUSTRY</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VCLP INFO PAPER - COMMITTED CAPITAL</dc:title>
  <dc:creator>ST-IRVINE</dc:creator>
  <cp:lastModifiedBy>Maroya, Anthony</cp:lastModifiedBy>
  <cp:revision>7</cp:revision>
  <cp:lastPrinted>2019-03-20T00:21:00Z</cp:lastPrinted>
  <dcterms:created xsi:type="dcterms:W3CDTF">2019-03-15T05:16:00Z</dcterms:created>
  <dcterms:modified xsi:type="dcterms:W3CDTF">2019-03-20T00:21:00Z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Pty">
    <vt:lpwstr/>
  </property>
  <property fmtid="{D5CDD505-2E9C-101B-9397-08002B2CF9AE}" pid="3" name="FileNumberPty">
    <vt:lpwstr/>
  </property>
  <property fmtid="{D5CDD505-2E9C-101B-9397-08002B2CF9AE}" pid="4" name="VersionNumber">
    <vt:lpwstr>3</vt:lpwstr>
  </property>
  <property fmtid="{D5CDD505-2E9C-101B-9397-08002B2CF9AE}" pid="5" name="CorporateTmplBased">
    <vt:lpwstr>Yes</vt:lpwstr>
  </property>
</Properties>
</file>