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9DFD4" w14:textId="727E7DDD" w:rsidR="009E48D3" w:rsidRPr="00A8266D" w:rsidRDefault="009D68F3" w:rsidP="009E48D3">
      <w:pPr>
        <w:spacing w:after="0" w:line="240" w:lineRule="auto"/>
        <w:rPr>
          <w:iCs/>
          <w:szCs w:val="24"/>
        </w:rPr>
      </w:pPr>
      <w:r>
        <w:rPr>
          <w:noProof/>
          <w:color w:val="000000"/>
          <w:sz w:val="20"/>
          <w:szCs w:val="20"/>
          <w:lang w:eastAsia="en-AU"/>
        </w:rPr>
        <w:drawing>
          <wp:inline distT="0" distB="0" distL="0" distR="0" wp14:anchorId="5174725C" wp14:editId="41472889">
            <wp:extent cx="6016625" cy="2352260"/>
            <wp:effectExtent l="0" t="0" r="3175" b="0"/>
            <wp:docPr id="2" name="Picture 2" descr="Australian Government | Department of Industry, Science, Energy and Resources | AusIndustry | business.gov.au 132846" title="Ausindustr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C33A.7FE9DA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16625" cy="2352260"/>
                    </a:xfrm>
                    <a:prstGeom prst="rect">
                      <a:avLst/>
                    </a:prstGeom>
                    <a:noFill/>
                    <a:ln>
                      <a:noFill/>
                    </a:ln>
                  </pic:spPr>
                </pic:pic>
              </a:graphicData>
            </a:graphic>
          </wp:inline>
        </w:drawing>
      </w:r>
    </w:p>
    <w:p w14:paraId="692CA779" w14:textId="721929D9" w:rsidR="009E48D3" w:rsidRPr="00A8266D" w:rsidRDefault="009E48D3" w:rsidP="009E48D3">
      <w:pPr>
        <w:pStyle w:val="Title"/>
        <w:spacing w:after="360"/>
        <w:ind w:firstLine="0"/>
        <w:jc w:val="center"/>
      </w:pPr>
      <w:r w:rsidRPr="00A8266D">
        <w:t>Frequently Asked Questions</w:t>
      </w:r>
    </w:p>
    <w:p w14:paraId="4B475797" w14:textId="77777777" w:rsidR="00456ABE" w:rsidRPr="00961BA0" w:rsidRDefault="00456ABE" w:rsidP="00961BA0">
      <w:pPr>
        <w:pStyle w:val="Heading1"/>
      </w:pPr>
      <w:r w:rsidRPr="00961BA0">
        <w:t>M</w:t>
      </w:r>
      <w:bookmarkStart w:id="0" w:name="_GoBack"/>
      <w:bookmarkEnd w:id="0"/>
      <w:r w:rsidRPr="00961BA0">
        <w:t>anufacturing Modernisation Fund – Round 2</w:t>
      </w:r>
    </w:p>
    <w:tbl>
      <w:tblPr>
        <w:tblStyle w:val="TableGrid1"/>
        <w:tblW w:w="9351" w:type="dxa"/>
        <w:tblLayout w:type="fixed"/>
        <w:tblLook w:val="0620" w:firstRow="1" w:lastRow="0" w:firstColumn="0" w:lastColumn="0" w:noHBand="1" w:noVBand="1"/>
        <w:tblCaption w:val="Frequently asked questions"/>
      </w:tblPr>
      <w:tblGrid>
        <w:gridCol w:w="3397"/>
        <w:gridCol w:w="5954"/>
      </w:tblGrid>
      <w:tr w:rsidR="001B2BC7" w:rsidRPr="00E275F0" w14:paraId="7B39415B" w14:textId="77777777" w:rsidTr="0055379D">
        <w:trPr>
          <w:tblHeader/>
        </w:trPr>
        <w:tc>
          <w:tcPr>
            <w:tcW w:w="3397" w:type="dxa"/>
            <w:shd w:val="clear" w:color="auto" w:fill="auto"/>
          </w:tcPr>
          <w:p w14:paraId="4B7CF1EC" w14:textId="77777777" w:rsidR="001B2BC7" w:rsidRPr="00533964" w:rsidRDefault="001B2BC7" w:rsidP="00705E00">
            <w:pPr>
              <w:pStyle w:val="TableHeader"/>
              <w:rPr>
                <w:color w:val="auto"/>
                <w:sz w:val="24"/>
              </w:rPr>
            </w:pPr>
            <w:r w:rsidRPr="00533964">
              <w:rPr>
                <w:color w:val="auto"/>
                <w:sz w:val="24"/>
              </w:rPr>
              <w:t>Question</w:t>
            </w:r>
          </w:p>
          <w:p w14:paraId="1359D0DD" w14:textId="77777777" w:rsidR="001B2BC7" w:rsidRPr="00533964" w:rsidRDefault="001B2BC7" w:rsidP="001B2BC7">
            <w:pPr>
              <w:pStyle w:val="TableHeader"/>
              <w:rPr>
                <w:color w:val="auto"/>
                <w:sz w:val="16"/>
                <w:szCs w:val="16"/>
              </w:rPr>
            </w:pPr>
          </w:p>
        </w:tc>
        <w:tc>
          <w:tcPr>
            <w:tcW w:w="5954" w:type="dxa"/>
            <w:shd w:val="clear" w:color="auto" w:fill="auto"/>
          </w:tcPr>
          <w:p w14:paraId="77AE77DD" w14:textId="77777777" w:rsidR="001B2BC7" w:rsidRPr="00C81558" w:rsidRDefault="001B2BC7" w:rsidP="00705E00">
            <w:pPr>
              <w:pStyle w:val="TableHeader"/>
              <w:rPr>
                <w:color w:val="auto"/>
                <w:sz w:val="24"/>
              </w:rPr>
            </w:pPr>
            <w:r w:rsidRPr="00C81558">
              <w:rPr>
                <w:color w:val="auto"/>
                <w:sz w:val="24"/>
              </w:rPr>
              <w:t>Answer</w:t>
            </w:r>
          </w:p>
        </w:tc>
      </w:tr>
      <w:tr w:rsidR="00C81558" w:rsidRPr="007C79DE" w14:paraId="740551AE" w14:textId="77777777" w:rsidTr="0055379D">
        <w:tblPrEx>
          <w:tblLook w:val="04A0" w:firstRow="1" w:lastRow="0" w:firstColumn="1" w:lastColumn="0" w:noHBand="0" w:noVBand="1"/>
        </w:tblPrEx>
        <w:trPr>
          <w:trHeight w:val="6974"/>
        </w:trPr>
        <w:tc>
          <w:tcPr>
            <w:tcW w:w="3397" w:type="dxa"/>
          </w:tcPr>
          <w:p w14:paraId="21817A09" w14:textId="78919DFE"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What does the grant fund?</w:t>
            </w:r>
          </w:p>
        </w:tc>
        <w:tc>
          <w:tcPr>
            <w:tcW w:w="5954" w:type="dxa"/>
          </w:tcPr>
          <w:p w14:paraId="4377F143" w14:textId="4888E84C" w:rsidR="00C81558" w:rsidRPr="007C79DE" w:rsidRDefault="00C81558" w:rsidP="00C81558">
            <w:pPr>
              <w:rPr>
                <w:rFonts w:ascii="Arial" w:hAnsi="Arial" w:cs="Arial"/>
              </w:rPr>
            </w:pPr>
            <w:r w:rsidRPr="007C79DE">
              <w:rPr>
                <w:rFonts w:ascii="Arial" w:hAnsi="Arial" w:cs="Arial"/>
              </w:rPr>
              <w:t>To be eligible, yo</w:t>
            </w:r>
            <w:r w:rsidR="00F01C98" w:rsidRPr="007C79DE">
              <w:rPr>
                <w:rFonts w:ascii="Arial" w:hAnsi="Arial" w:cs="Arial"/>
              </w:rPr>
              <w:t xml:space="preserve">ur project must involve </w:t>
            </w:r>
            <w:r w:rsidRPr="007C79DE">
              <w:rPr>
                <w:rFonts w:ascii="Arial" w:hAnsi="Arial" w:cs="Arial"/>
              </w:rPr>
              <w:t xml:space="preserve">investment </w:t>
            </w:r>
            <w:r w:rsidR="00F01C98" w:rsidRPr="007C79DE">
              <w:rPr>
                <w:rFonts w:ascii="Arial" w:hAnsi="Arial" w:cs="Arial"/>
              </w:rPr>
              <w:t xml:space="preserve">in capital equipment, </w:t>
            </w:r>
            <w:r w:rsidRPr="007C79DE">
              <w:rPr>
                <w:rFonts w:ascii="Arial" w:hAnsi="Arial" w:cs="Arial"/>
              </w:rPr>
              <w:t>and can include associated skill-based training</w:t>
            </w:r>
            <w:r w:rsidR="00F01C98" w:rsidRPr="007C79DE">
              <w:rPr>
                <w:rFonts w:ascii="Arial" w:hAnsi="Arial" w:cs="Arial"/>
              </w:rPr>
              <w:t>,</w:t>
            </w:r>
            <w:r w:rsidRPr="007C79DE">
              <w:rPr>
                <w:rFonts w:ascii="Arial" w:hAnsi="Arial" w:cs="Arial"/>
              </w:rPr>
              <w:t xml:space="preserve"> to modernise and transform your manufacturing processes.</w:t>
            </w:r>
          </w:p>
          <w:p w14:paraId="6B6F6197" w14:textId="77777777" w:rsidR="00C81558" w:rsidRPr="007C79DE" w:rsidRDefault="00C81558" w:rsidP="00C81558">
            <w:pPr>
              <w:rPr>
                <w:rFonts w:ascii="Arial" w:hAnsi="Arial" w:cs="Arial"/>
              </w:rPr>
            </w:pPr>
          </w:p>
          <w:p w14:paraId="2AFFDE49" w14:textId="77777777" w:rsidR="00C81558" w:rsidRPr="007C79DE" w:rsidRDefault="00C81558" w:rsidP="00C81558">
            <w:pPr>
              <w:pStyle w:val="ListBullet"/>
              <w:rPr>
                <w:rFonts w:ascii="Arial" w:hAnsi="Arial" w:cs="Arial"/>
                <w:sz w:val="20"/>
                <w:szCs w:val="20"/>
              </w:rPr>
            </w:pPr>
            <w:r w:rsidRPr="007C79DE">
              <w:rPr>
                <w:rFonts w:ascii="Arial" w:hAnsi="Arial" w:cs="Arial"/>
                <w:sz w:val="20"/>
                <w:szCs w:val="20"/>
              </w:rPr>
              <w:t>Eligible activities may include:</w:t>
            </w:r>
          </w:p>
          <w:p w14:paraId="34FF56E2" w14:textId="77777777" w:rsidR="00C81558" w:rsidRPr="007C79DE" w:rsidRDefault="00C81558" w:rsidP="00C81558">
            <w:pPr>
              <w:pStyle w:val="ListBullet"/>
              <w:numPr>
                <w:ilvl w:val="0"/>
                <w:numId w:val="2"/>
              </w:numPr>
              <w:spacing w:before="40" w:after="80" w:line="280" w:lineRule="atLeast"/>
              <w:rPr>
                <w:rFonts w:ascii="Arial" w:hAnsi="Arial" w:cs="Arial"/>
                <w:sz w:val="20"/>
                <w:szCs w:val="20"/>
              </w:rPr>
            </w:pPr>
            <w:r w:rsidRPr="007C79DE">
              <w:rPr>
                <w:rFonts w:ascii="Arial" w:hAnsi="Arial" w:cs="Arial"/>
                <w:sz w:val="20"/>
                <w:szCs w:val="20"/>
              </w:rPr>
              <w:t>buying, constructing, installing or commissioning of manufacturing plant and equipment</w:t>
            </w:r>
          </w:p>
          <w:p w14:paraId="42B4F711" w14:textId="77777777" w:rsidR="00C81558" w:rsidRPr="007C79DE" w:rsidRDefault="00C81558" w:rsidP="00C81558">
            <w:pPr>
              <w:pStyle w:val="ListBullet"/>
              <w:numPr>
                <w:ilvl w:val="0"/>
                <w:numId w:val="2"/>
              </w:numPr>
              <w:spacing w:before="40" w:after="80" w:line="280" w:lineRule="atLeast"/>
              <w:rPr>
                <w:rFonts w:ascii="Arial" w:hAnsi="Arial" w:cs="Arial"/>
                <w:sz w:val="20"/>
                <w:szCs w:val="20"/>
              </w:rPr>
            </w:pPr>
            <w:r w:rsidRPr="007C79DE">
              <w:rPr>
                <w:rFonts w:ascii="Arial" w:hAnsi="Arial" w:cs="Arial"/>
                <w:sz w:val="20"/>
                <w:szCs w:val="20"/>
              </w:rPr>
              <w:t>integrating production-related software</w:t>
            </w:r>
            <w:r w:rsidRPr="007C79DE">
              <w:rPr>
                <w:rFonts w:ascii="Arial" w:hAnsi="Arial" w:cs="Arial"/>
                <w:sz w:val="20"/>
                <w:szCs w:val="20"/>
                <w:vertAlign w:val="superscript"/>
              </w:rPr>
              <w:footnoteReference w:id="1"/>
            </w:r>
            <w:r w:rsidRPr="007C79DE">
              <w:rPr>
                <w:rFonts w:ascii="Arial" w:hAnsi="Arial" w:cs="Arial"/>
                <w:sz w:val="20"/>
                <w:szCs w:val="20"/>
              </w:rPr>
              <w:t xml:space="preserve"> that is directly related to your capital investment</w:t>
            </w:r>
            <w:r w:rsidRPr="007C79DE" w:rsidDel="000D1AAD">
              <w:rPr>
                <w:rFonts w:ascii="Arial" w:hAnsi="Arial" w:cs="Arial"/>
                <w:sz w:val="20"/>
                <w:szCs w:val="20"/>
              </w:rPr>
              <w:t xml:space="preserve"> </w:t>
            </w:r>
          </w:p>
          <w:p w14:paraId="33770E49" w14:textId="77777777" w:rsidR="00C81558" w:rsidRPr="007C79DE" w:rsidRDefault="00C81558" w:rsidP="00C81558">
            <w:pPr>
              <w:pStyle w:val="ListBullet"/>
              <w:numPr>
                <w:ilvl w:val="0"/>
                <w:numId w:val="2"/>
              </w:numPr>
              <w:spacing w:before="40" w:after="80" w:line="280" w:lineRule="atLeast"/>
              <w:rPr>
                <w:rFonts w:ascii="Arial" w:hAnsi="Arial" w:cs="Arial"/>
                <w:sz w:val="20"/>
                <w:szCs w:val="20"/>
              </w:rPr>
            </w:pPr>
            <w:r w:rsidRPr="007C79DE">
              <w:rPr>
                <w:rFonts w:ascii="Arial" w:hAnsi="Arial" w:cs="Arial"/>
                <w:sz w:val="20"/>
                <w:szCs w:val="20"/>
              </w:rPr>
              <w:t>relevant training and skills development to assist you to integrate the new technology into your business, including upskilling and accreditation in advanced processes</w:t>
            </w:r>
          </w:p>
          <w:p w14:paraId="796BC874" w14:textId="77777777" w:rsidR="00C81558" w:rsidRPr="007C79DE" w:rsidRDefault="00C81558" w:rsidP="00C81558">
            <w:pPr>
              <w:pStyle w:val="ListBullet"/>
              <w:numPr>
                <w:ilvl w:val="0"/>
                <w:numId w:val="2"/>
              </w:numPr>
              <w:spacing w:before="40" w:after="80" w:line="280" w:lineRule="atLeast"/>
              <w:rPr>
                <w:rFonts w:ascii="Arial" w:hAnsi="Arial" w:cs="Arial"/>
                <w:sz w:val="20"/>
                <w:szCs w:val="20"/>
              </w:rPr>
            </w:pPr>
            <w:r w:rsidRPr="007C79DE">
              <w:rPr>
                <w:rFonts w:ascii="Arial" w:hAnsi="Arial" w:cs="Arial"/>
                <w:sz w:val="20"/>
                <w:szCs w:val="20"/>
              </w:rPr>
              <w:t>process design and engineering directly related to your capital investment</w:t>
            </w:r>
          </w:p>
          <w:p w14:paraId="36F60459" w14:textId="77777777" w:rsidR="00C81558" w:rsidRPr="007C79DE" w:rsidRDefault="00C81558" w:rsidP="00C81558">
            <w:pPr>
              <w:pStyle w:val="ListBullet"/>
              <w:numPr>
                <w:ilvl w:val="0"/>
                <w:numId w:val="2"/>
              </w:numPr>
              <w:spacing w:before="40" w:after="80" w:line="280" w:lineRule="atLeast"/>
              <w:rPr>
                <w:rFonts w:ascii="Arial" w:hAnsi="Arial" w:cs="Arial"/>
                <w:sz w:val="20"/>
                <w:szCs w:val="20"/>
              </w:rPr>
            </w:pPr>
            <w:proofErr w:type="gramStart"/>
            <w:r w:rsidRPr="007C79DE">
              <w:rPr>
                <w:rFonts w:ascii="Arial" w:hAnsi="Arial" w:cs="Arial"/>
                <w:sz w:val="20"/>
                <w:szCs w:val="20"/>
              </w:rPr>
              <w:t>fit-out</w:t>
            </w:r>
            <w:proofErr w:type="gramEnd"/>
            <w:r w:rsidRPr="007C79DE">
              <w:rPr>
                <w:rFonts w:ascii="Arial" w:hAnsi="Arial" w:cs="Arial"/>
                <w:sz w:val="20"/>
                <w:szCs w:val="20"/>
              </w:rPr>
              <w:t>, alterations and/or extensions to buildings directly related to your capital investment.</w:t>
            </w:r>
          </w:p>
          <w:p w14:paraId="1711AE10" w14:textId="77777777" w:rsidR="00C81558" w:rsidRPr="007C79DE" w:rsidRDefault="00C81558" w:rsidP="00C81558">
            <w:pPr>
              <w:pStyle w:val="ListBullet"/>
              <w:spacing w:before="40" w:after="80" w:line="280" w:lineRule="atLeast"/>
              <w:ind w:left="360"/>
              <w:rPr>
                <w:rFonts w:ascii="Arial" w:hAnsi="Arial" w:cs="Arial"/>
                <w:sz w:val="20"/>
                <w:szCs w:val="20"/>
              </w:rPr>
            </w:pPr>
          </w:p>
          <w:p w14:paraId="1C4F6C96" w14:textId="77777777" w:rsidR="00C81558" w:rsidRPr="007C79DE" w:rsidRDefault="00C81558" w:rsidP="00C81558">
            <w:pPr>
              <w:rPr>
                <w:rFonts w:ascii="Arial" w:hAnsi="Arial" w:cs="Arial"/>
              </w:rPr>
            </w:pPr>
            <w:r w:rsidRPr="007C79DE">
              <w:rPr>
                <w:rFonts w:ascii="Arial" w:hAnsi="Arial" w:cs="Arial"/>
              </w:rPr>
              <w:t xml:space="preserve">We will only provide funding against eligible expenditure you have incurred on agreed project activities as defined in your grant agreement. </w:t>
            </w:r>
          </w:p>
          <w:p w14:paraId="2E0588FD" w14:textId="0BD53B6C" w:rsidR="00C81558" w:rsidRPr="007C79DE" w:rsidRDefault="00C81558" w:rsidP="00C81558">
            <w:pPr>
              <w:pStyle w:val="ListBullet"/>
              <w:numPr>
                <w:ilvl w:val="0"/>
                <w:numId w:val="2"/>
              </w:numPr>
              <w:spacing w:before="40" w:after="80" w:line="280" w:lineRule="atLeast"/>
              <w:rPr>
                <w:rFonts w:ascii="Arial" w:hAnsi="Arial" w:cs="Arial"/>
                <w:sz w:val="20"/>
                <w:szCs w:val="20"/>
              </w:rPr>
            </w:pPr>
            <w:r w:rsidRPr="007C79DE">
              <w:rPr>
                <w:rFonts w:ascii="Arial" w:hAnsi="Arial" w:cs="Arial"/>
                <w:sz w:val="20"/>
                <w:szCs w:val="20"/>
              </w:rPr>
              <w:t>For guidance on eligi</w:t>
            </w:r>
            <w:r w:rsidR="002F54AA">
              <w:rPr>
                <w:rFonts w:ascii="Arial" w:hAnsi="Arial" w:cs="Arial"/>
                <w:sz w:val="20"/>
                <w:szCs w:val="20"/>
              </w:rPr>
              <w:t>ble expenditure, see appendix A</w:t>
            </w:r>
          </w:p>
          <w:p w14:paraId="25652B3A" w14:textId="0DB92B17" w:rsidR="00C81558" w:rsidRPr="007C79DE" w:rsidRDefault="00C81558" w:rsidP="00C81558">
            <w:pPr>
              <w:pStyle w:val="ListBullet"/>
              <w:numPr>
                <w:ilvl w:val="0"/>
                <w:numId w:val="2"/>
              </w:numPr>
              <w:spacing w:before="40" w:after="80" w:line="280" w:lineRule="atLeast"/>
              <w:rPr>
                <w:rFonts w:ascii="Arial" w:hAnsi="Arial" w:cs="Arial"/>
                <w:sz w:val="20"/>
                <w:szCs w:val="20"/>
              </w:rPr>
            </w:pPr>
            <w:r w:rsidRPr="007C79DE">
              <w:rPr>
                <w:rFonts w:ascii="Arial" w:hAnsi="Arial" w:cs="Arial"/>
                <w:sz w:val="20"/>
                <w:szCs w:val="20"/>
              </w:rPr>
              <w:t>For guidance on ineligi</w:t>
            </w:r>
            <w:r w:rsidR="002F54AA">
              <w:rPr>
                <w:rFonts w:ascii="Arial" w:hAnsi="Arial" w:cs="Arial"/>
                <w:sz w:val="20"/>
                <w:szCs w:val="20"/>
              </w:rPr>
              <w:t>ble expenditure, see appendix B</w:t>
            </w:r>
          </w:p>
          <w:p w14:paraId="7F337465" w14:textId="73F77D5F" w:rsidR="00C81558" w:rsidRPr="007C79DE" w:rsidRDefault="00C81558" w:rsidP="00C81558">
            <w:pPr>
              <w:rPr>
                <w:rFonts w:ascii="Arial" w:hAnsi="Arial" w:cs="Arial"/>
              </w:rPr>
            </w:pPr>
            <w:proofErr w:type="gramStart"/>
            <w:r w:rsidRPr="007C79DE">
              <w:rPr>
                <w:rFonts w:ascii="Arial" w:hAnsi="Arial" w:cs="Arial"/>
              </w:rPr>
              <w:t>of</w:t>
            </w:r>
            <w:proofErr w:type="gramEnd"/>
            <w:r w:rsidRPr="007C79DE">
              <w:rPr>
                <w:rFonts w:ascii="Arial" w:hAnsi="Arial" w:cs="Arial"/>
              </w:rPr>
              <w:t xml:space="preserve"> the Grant Opportunity Guidelines.</w:t>
            </w:r>
          </w:p>
        </w:tc>
      </w:tr>
      <w:tr w:rsidR="00C81558" w:rsidRPr="007C79DE" w14:paraId="138F87C0" w14:textId="77777777" w:rsidTr="0055379D">
        <w:tblPrEx>
          <w:tblLook w:val="04A0" w:firstRow="1" w:lastRow="0" w:firstColumn="1" w:lastColumn="0" w:noHBand="0" w:noVBand="1"/>
        </w:tblPrEx>
        <w:trPr>
          <w:trHeight w:val="4873"/>
        </w:trPr>
        <w:tc>
          <w:tcPr>
            <w:tcW w:w="3397" w:type="dxa"/>
          </w:tcPr>
          <w:p w14:paraId="71E7D22B" w14:textId="14309A5B"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lastRenderedPageBreak/>
              <w:t>How does Round 2 differ from Round 1?</w:t>
            </w:r>
          </w:p>
        </w:tc>
        <w:tc>
          <w:tcPr>
            <w:tcW w:w="5954" w:type="dxa"/>
          </w:tcPr>
          <w:p w14:paraId="5E54D24C" w14:textId="77777777" w:rsidR="00C81558" w:rsidRPr="007C79DE" w:rsidRDefault="00C81558" w:rsidP="00C81558">
            <w:pPr>
              <w:rPr>
                <w:rFonts w:ascii="Arial" w:hAnsi="Arial" w:cs="Arial"/>
                <w:color w:val="000000" w:themeColor="text1"/>
              </w:rPr>
            </w:pPr>
            <w:r w:rsidRPr="007C79DE">
              <w:rPr>
                <w:rFonts w:ascii="Arial" w:hAnsi="Arial" w:cs="Arial"/>
                <w:color w:val="000000" w:themeColor="text1"/>
              </w:rPr>
              <w:t>There are a number of key differences between Round 1 and Round 2 of this program.</w:t>
            </w:r>
          </w:p>
          <w:p w14:paraId="7714851F" w14:textId="77777777" w:rsidR="00C81558" w:rsidRPr="007C79DE" w:rsidRDefault="00C81558" w:rsidP="00C81558">
            <w:pPr>
              <w:rPr>
                <w:rFonts w:ascii="Arial" w:hAnsi="Arial" w:cs="Arial"/>
                <w:color w:val="000000" w:themeColor="text1"/>
              </w:rPr>
            </w:pPr>
          </w:p>
          <w:p w14:paraId="6943FC75" w14:textId="77777777" w:rsidR="00C81558" w:rsidRDefault="00C81558" w:rsidP="00C81558">
            <w:pPr>
              <w:rPr>
                <w:rFonts w:ascii="Arial" w:hAnsi="Arial" w:cs="Arial"/>
                <w:color w:val="000000" w:themeColor="text1"/>
              </w:rPr>
            </w:pPr>
            <w:r w:rsidRPr="007C79DE">
              <w:rPr>
                <w:rFonts w:ascii="Arial" w:hAnsi="Arial" w:cs="Arial"/>
                <w:color w:val="000000" w:themeColor="text1"/>
              </w:rPr>
              <w:t>These include:</w:t>
            </w:r>
          </w:p>
          <w:p w14:paraId="593D188D" w14:textId="77777777" w:rsidR="00533964" w:rsidRPr="007C79DE" w:rsidRDefault="00533964" w:rsidP="00C81558">
            <w:pPr>
              <w:rPr>
                <w:rFonts w:ascii="Arial" w:hAnsi="Arial" w:cs="Arial"/>
                <w:color w:val="000000" w:themeColor="text1"/>
              </w:rPr>
            </w:pPr>
          </w:p>
          <w:p w14:paraId="7038FAA1" w14:textId="77777777" w:rsidR="00C81558" w:rsidRPr="007C79DE" w:rsidRDefault="00C81558" w:rsidP="00C81558">
            <w:pPr>
              <w:pStyle w:val="ListParagraph"/>
              <w:numPr>
                <w:ilvl w:val="0"/>
                <w:numId w:val="4"/>
              </w:numPr>
              <w:ind w:left="478" w:hanging="567"/>
              <w:rPr>
                <w:rFonts w:ascii="Arial" w:hAnsi="Arial" w:cs="Arial"/>
                <w:color w:val="000000" w:themeColor="text1"/>
              </w:rPr>
            </w:pPr>
            <w:r w:rsidRPr="007C79DE">
              <w:rPr>
                <w:rFonts w:ascii="Arial" w:hAnsi="Arial" w:cs="Arial"/>
                <w:color w:val="000000" w:themeColor="text1"/>
              </w:rPr>
              <w:t>Round 2 offers a single funding stream with minimum grants of $100,000 on a three to one funding basis</w:t>
            </w:r>
          </w:p>
          <w:p w14:paraId="54F3E26E" w14:textId="77777777" w:rsidR="00C81558" w:rsidRPr="007C79DE" w:rsidRDefault="00C81558" w:rsidP="00C81558">
            <w:pPr>
              <w:pStyle w:val="ListParagraph"/>
              <w:numPr>
                <w:ilvl w:val="0"/>
                <w:numId w:val="4"/>
              </w:numPr>
              <w:ind w:left="478" w:hanging="567"/>
              <w:rPr>
                <w:rFonts w:ascii="Arial" w:hAnsi="Arial" w:cs="Arial"/>
                <w:color w:val="000000" w:themeColor="text1"/>
              </w:rPr>
            </w:pPr>
            <w:r w:rsidRPr="007C79DE">
              <w:rPr>
                <w:rFonts w:ascii="Arial" w:hAnsi="Arial" w:cs="Arial"/>
                <w:color w:val="000000" w:themeColor="text1"/>
              </w:rPr>
              <w:t>To be eligible to apply, projects under Round 2 must align with one or more of the six National Manufacturing priorities.</w:t>
            </w:r>
          </w:p>
          <w:p w14:paraId="2B427E30" w14:textId="77777777" w:rsidR="00C81558" w:rsidRPr="007C79DE" w:rsidRDefault="00C81558" w:rsidP="00C81558">
            <w:pPr>
              <w:pStyle w:val="ListParagraph"/>
              <w:numPr>
                <w:ilvl w:val="0"/>
                <w:numId w:val="4"/>
              </w:numPr>
              <w:ind w:left="478" w:hanging="567"/>
              <w:rPr>
                <w:rFonts w:ascii="Arial" w:hAnsi="Arial" w:cs="Arial"/>
                <w:color w:val="000000" w:themeColor="text1"/>
              </w:rPr>
            </w:pPr>
            <w:r w:rsidRPr="007C79DE">
              <w:rPr>
                <w:rFonts w:ascii="Arial" w:hAnsi="Arial" w:cs="Arial"/>
                <w:color w:val="000000" w:themeColor="text1"/>
              </w:rPr>
              <w:t>The Guidelines for Round 2 of the program provide further clarification on the definition of manufacturing (refer to the Glossary – Item 14) for this program, which excludes upstream and downstream activities</w:t>
            </w:r>
          </w:p>
          <w:p w14:paraId="580AD297" w14:textId="77777777" w:rsidR="00C81558" w:rsidRDefault="00C81558" w:rsidP="00F01C98">
            <w:pPr>
              <w:rPr>
                <w:rFonts w:ascii="Arial" w:hAnsi="Arial" w:cs="Arial"/>
              </w:rPr>
            </w:pPr>
            <w:r w:rsidRPr="007C79DE">
              <w:rPr>
                <w:rFonts w:ascii="Arial" w:hAnsi="Arial" w:cs="Arial"/>
              </w:rPr>
              <w:t>Before commencing an application under Round 2, applicants are recommended to read the Round 2 Grant Opportunity Guidelines carefully to determine if any of the changes to the program impact their eligibility to apply and/or the scope of their proposed project under Round 2.</w:t>
            </w:r>
          </w:p>
          <w:p w14:paraId="6576A472" w14:textId="5AE4BCEC" w:rsidR="00533964" w:rsidRPr="007C79DE" w:rsidRDefault="00533964" w:rsidP="00F01C98">
            <w:pPr>
              <w:rPr>
                <w:rFonts w:ascii="Arial" w:hAnsi="Arial" w:cs="Arial"/>
              </w:rPr>
            </w:pPr>
          </w:p>
        </w:tc>
      </w:tr>
      <w:tr w:rsidR="00C81558" w:rsidRPr="007C79DE" w14:paraId="4018D211" w14:textId="77777777" w:rsidTr="0055379D">
        <w:tblPrEx>
          <w:tblLook w:val="04A0" w:firstRow="1" w:lastRow="0" w:firstColumn="1" w:lastColumn="0" w:noHBand="0" w:noVBand="1"/>
        </w:tblPrEx>
        <w:trPr>
          <w:trHeight w:val="2971"/>
        </w:trPr>
        <w:tc>
          <w:tcPr>
            <w:tcW w:w="3397" w:type="dxa"/>
          </w:tcPr>
          <w:p w14:paraId="5380B7E7" w14:textId="703D134C"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What are the National Manufacturing Priorities?</w:t>
            </w:r>
          </w:p>
        </w:tc>
        <w:tc>
          <w:tcPr>
            <w:tcW w:w="5954" w:type="dxa"/>
          </w:tcPr>
          <w:p w14:paraId="0C1BEC64" w14:textId="77777777" w:rsidR="00C81558" w:rsidRPr="007C79DE" w:rsidRDefault="00C81558" w:rsidP="00C81558">
            <w:pPr>
              <w:rPr>
                <w:rFonts w:ascii="Arial" w:hAnsi="Arial" w:cs="Arial"/>
              </w:rPr>
            </w:pPr>
            <w:r w:rsidRPr="007C79DE">
              <w:rPr>
                <w:rFonts w:ascii="Arial" w:hAnsi="Arial" w:cs="Arial"/>
              </w:rPr>
              <w:t xml:space="preserve">The six National Manufacturing Priorities are: </w:t>
            </w:r>
          </w:p>
          <w:p w14:paraId="455C387D" w14:textId="77777777" w:rsidR="00C81558" w:rsidRPr="007C79DE" w:rsidRDefault="00C81558" w:rsidP="00C81558">
            <w:pPr>
              <w:pStyle w:val="ListBullet"/>
              <w:numPr>
                <w:ilvl w:val="1"/>
                <w:numId w:val="2"/>
              </w:numPr>
              <w:spacing w:before="40" w:after="80" w:line="280" w:lineRule="atLeast"/>
              <w:rPr>
                <w:rFonts w:ascii="Arial" w:hAnsi="Arial" w:cs="Arial"/>
                <w:sz w:val="20"/>
                <w:szCs w:val="20"/>
              </w:rPr>
            </w:pPr>
            <w:r w:rsidRPr="007C79DE">
              <w:rPr>
                <w:rFonts w:ascii="Arial" w:hAnsi="Arial" w:cs="Arial"/>
                <w:sz w:val="20"/>
                <w:szCs w:val="20"/>
              </w:rPr>
              <w:t>resources technology and critical minerals processing</w:t>
            </w:r>
          </w:p>
          <w:p w14:paraId="7DEFE827" w14:textId="77777777" w:rsidR="00C81558" w:rsidRPr="007C79DE" w:rsidRDefault="00C81558" w:rsidP="00C81558">
            <w:pPr>
              <w:pStyle w:val="ListBullet"/>
              <w:numPr>
                <w:ilvl w:val="1"/>
                <w:numId w:val="2"/>
              </w:numPr>
              <w:spacing w:before="40" w:after="80" w:line="280" w:lineRule="atLeast"/>
              <w:rPr>
                <w:rFonts w:ascii="Arial" w:hAnsi="Arial" w:cs="Arial"/>
                <w:sz w:val="20"/>
                <w:szCs w:val="20"/>
              </w:rPr>
            </w:pPr>
            <w:r w:rsidRPr="007C79DE">
              <w:rPr>
                <w:rFonts w:ascii="Arial" w:hAnsi="Arial" w:cs="Arial"/>
                <w:sz w:val="20"/>
                <w:szCs w:val="20"/>
              </w:rPr>
              <w:t xml:space="preserve">food and beverage </w:t>
            </w:r>
          </w:p>
          <w:p w14:paraId="77AA0AB7" w14:textId="77777777" w:rsidR="00C81558" w:rsidRPr="007C79DE" w:rsidRDefault="00C81558" w:rsidP="00C81558">
            <w:pPr>
              <w:pStyle w:val="ListBullet"/>
              <w:numPr>
                <w:ilvl w:val="1"/>
                <w:numId w:val="2"/>
              </w:numPr>
              <w:spacing w:before="40" w:after="80" w:line="280" w:lineRule="atLeast"/>
              <w:rPr>
                <w:rFonts w:ascii="Arial" w:hAnsi="Arial" w:cs="Arial"/>
                <w:sz w:val="20"/>
                <w:szCs w:val="20"/>
              </w:rPr>
            </w:pPr>
            <w:r w:rsidRPr="007C79DE">
              <w:rPr>
                <w:rFonts w:ascii="Arial" w:hAnsi="Arial" w:cs="Arial"/>
                <w:sz w:val="20"/>
                <w:szCs w:val="20"/>
              </w:rPr>
              <w:t>medical products</w:t>
            </w:r>
          </w:p>
          <w:p w14:paraId="5169F3B5" w14:textId="77777777" w:rsidR="00C81558" w:rsidRPr="007C79DE" w:rsidRDefault="00C81558" w:rsidP="00C81558">
            <w:pPr>
              <w:pStyle w:val="ListBullet"/>
              <w:numPr>
                <w:ilvl w:val="1"/>
                <w:numId w:val="2"/>
              </w:numPr>
              <w:spacing w:before="40" w:after="80" w:line="280" w:lineRule="atLeast"/>
              <w:rPr>
                <w:rFonts w:ascii="Arial" w:hAnsi="Arial" w:cs="Arial"/>
                <w:sz w:val="20"/>
                <w:szCs w:val="20"/>
              </w:rPr>
            </w:pPr>
            <w:r w:rsidRPr="007C79DE">
              <w:rPr>
                <w:rFonts w:ascii="Arial" w:hAnsi="Arial" w:cs="Arial"/>
                <w:sz w:val="20"/>
                <w:szCs w:val="20"/>
              </w:rPr>
              <w:t>recycling and clean energy</w:t>
            </w:r>
          </w:p>
          <w:p w14:paraId="68B74FE0" w14:textId="77777777" w:rsidR="00C81558" w:rsidRPr="007C79DE" w:rsidRDefault="00C81558" w:rsidP="00C81558">
            <w:pPr>
              <w:pStyle w:val="ListBullet"/>
              <w:numPr>
                <w:ilvl w:val="1"/>
                <w:numId w:val="2"/>
              </w:numPr>
              <w:spacing w:before="40" w:after="80" w:line="280" w:lineRule="atLeast"/>
              <w:rPr>
                <w:rFonts w:ascii="Arial" w:hAnsi="Arial" w:cs="Arial"/>
                <w:sz w:val="20"/>
                <w:szCs w:val="20"/>
              </w:rPr>
            </w:pPr>
            <w:r w:rsidRPr="007C79DE">
              <w:rPr>
                <w:rFonts w:ascii="Arial" w:hAnsi="Arial" w:cs="Arial"/>
                <w:sz w:val="20"/>
                <w:szCs w:val="20"/>
              </w:rPr>
              <w:t>defence</w:t>
            </w:r>
          </w:p>
          <w:p w14:paraId="5B803E82" w14:textId="77777777" w:rsidR="00C81558" w:rsidRPr="007C79DE" w:rsidRDefault="00C81558" w:rsidP="00C81558">
            <w:pPr>
              <w:pStyle w:val="ListBullet"/>
              <w:numPr>
                <w:ilvl w:val="1"/>
                <w:numId w:val="2"/>
              </w:numPr>
              <w:spacing w:before="40" w:after="80" w:line="280" w:lineRule="atLeast"/>
              <w:rPr>
                <w:rFonts w:ascii="Arial" w:hAnsi="Arial" w:cs="Arial"/>
                <w:sz w:val="20"/>
                <w:szCs w:val="20"/>
              </w:rPr>
            </w:pPr>
            <w:proofErr w:type="gramStart"/>
            <w:r w:rsidRPr="007C79DE">
              <w:rPr>
                <w:rFonts w:ascii="Arial" w:hAnsi="Arial" w:cs="Arial"/>
                <w:sz w:val="20"/>
                <w:szCs w:val="20"/>
              </w:rPr>
              <w:t>space</w:t>
            </w:r>
            <w:proofErr w:type="gramEnd"/>
            <w:r w:rsidRPr="007C79DE">
              <w:rPr>
                <w:rFonts w:ascii="Arial" w:hAnsi="Arial" w:cs="Arial"/>
                <w:sz w:val="20"/>
                <w:szCs w:val="20"/>
              </w:rPr>
              <w:t>.</w:t>
            </w:r>
          </w:p>
          <w:p w14:paraId="0A5027F0" w14:textId="173891C6" w:rsidR="00C81558" w:rsidRPr="007C79DE" w:rsidRDefault="00C81558" w:rsidP="00C81558">
            <w:pPr>
              <w:pStyle w:val="ListBullet"/>
              <w:spacing w:before="40" w:after="80" w:line="280" w:lineRule="atLeast"/>
              <w:rPr>
                <w:rFonts w:ascii="Arial" w:hAnsi="Arial" w:cs="Arial"/>
                <w:sz w:val="20"/>
                <w:szCs w:val="20"/>
              </w:rPr>
            </w:pPr>
            <w:r w:rsidRPr="007C79DE">
              <w:rPr>
                <w:rFonts w:ascii="Arial" w:hAnsi="Arial" w:cs="Arial"/>
                <w:sz w:val="20"/>
                <w:szCs w:val="20"/>
              </w:rPr>
              <w:t>Refer section 2.1 of the Grant Opportunity Guidelines.</w:t>
            </w:r>
          </w:p>
        </w:tc>
      </w:tr>
      <w:tr w:rsidR="00C81558" w:rsidRPr="007C79DE" w14:paraId="41A20FF4" w14:textId="77777777" w:rsidTr="0055379D">
        <w:tblPrEx>
          <w:tblLook w:val="04A0" w:firstRow="1" w:lastRow="0" w:firstColumn="1" w:lastColumn="0" w:noHBand="0" w:noVBand="1"/>
        </w:tblPrEx>
        <w:trPr>
          <w:trHeight w:val="1735"/>
        </w:trPr>
        <w:tc>
          <w:tcPr>
            <w:tcW w:w="3397" w:type="dxa"/>
          </w:tcPr>
          <w:p w14:paraId="133FB2A4" w14:textId="01BBA86A"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Does my project align with one of the National Manufacturing priority areas?</w:t>
            </w:r>
          </w:p>
        </w:tc>
        <w:tc>
          <w:tcPr>
            <w:tcW w:w="5954" w:type="dxa"/>
          </w:tcPr>
          <w:p w14:paraId="0DB4F69A" w14:textId="77777777" w:rsidR="00C81558" w:rsidRPr="007C79DE" w:rsidRDefault="00C81558" w:rsidP="00C81558">
            <w:pPr>
              <w:rPr>
                <w:rFonts w:ascii="Arial" w:hAnsi="Arial" w:cs="Arial"/>
              </w:rPr>
            </w:pPr>
            <w:r w:rsidRPr="007C79DE">
              <w:rPr>
                <w:rFonts w:ascii="Arial" w:hAnsi="Arial" w:cs="Arial"/>
              </w:rPr>
              <w:t>Applicants are required to identify which priority area/s their project aligns with and explain your reasons within your application.</w:t>
            </w:r>
          </w:p>
          <w:p w14:paraId="72652E2F" w14:textId="77777777" w:rsidR="00C81558" w:rsidRPr="007C79DE" w:rsidRDefault="00C81558" w:rsidP="00C81558">
            <w:pPr>
              <w:rPr>
                <w:rFonts w:ascii="Arial" w:hAnsi="Arial" w:cs="Arial"/>
              </w:rPr>
            </w:pPr>
          </w:p>
          <w:p w14:paraId="2EA9C2C7" w14:textId="2718E952" w:rsidR="00C81558" w:rsidRPr="007C79DE" w:rsidRDefault="00C81558" w:rsidP="00C81558">
            <w:pPr>
              <w:rPr>
                <w:rFonts w:ascii="Arial" w:hAnsi="Arial" w:cs="Arial"/>
              </w:rPr>
            </w:pPr>
            <w:r w:rsidRPr="007C79DE">
              <w:rPr>
                <w:rFonts w:ascii="Arial" w:hAnsi="Arial" w:cs="Arial"/>
              </w:rPr>
              <w:t>Your case for alignment with a National Manufacturing priority area is both an eligibility requirement and will be considered when assessing the merit of applications.</w:t>
            </w:r>
          </w:p>
        </w:tc>
      </w:tr>
      <w:tr w:rsidR="000E33FC" w:rsidRPr="007C79DE" w14:paraId="1B761C88" w14:textId="77777777" w:rsidTr="0055379D">
        <w:tblPrEx>
          <w:tblLook w:val="04A0" w:firstRow="1" w:lastRow="0" w:firstColumn="1" w:lastColumn="0" w:noHBand="0" w:noVBand="1"/>
        </w:tblPrEx>
        <w:trPr>
          <w:trHeight w:val="1531"/>
        </w:trPr>
        <w:tc>
          <w:tcPr>
            <w:tcW w:w="3397" w:type="dxa"/>
          </w:tcPr>
          <w:p w14:paraId="2A07B745" w14:textId="03BAB6A0" w:rsidR="000E33FC" w:rsidRPr="00533964" w:rsidRDefault="000E33FC" w:rsidP="002F54AA">
            <w:pPr>
              <w:pStyle w:val="Texttable"/>
              <w:spacing w:before="0"/>
              <w:rPr>
                <w:rFonts w:ascii="Arial" w:hAnsi="Arial" w:cs="Arial"/>
                <w:b/>
                <w:sz w:val="20"/>
                <w:szCs w:val="20"/>
              </w:rPr>
            </w:pPr>
            <w:r w:rsidRPr="00533964">
              <w:rPr>
                <w:rFonts w:ascii="Arial" w:hAnsi="Arial" w:cs="Arial"/>
                <w:b/>
                <w:sz w:val="20"/>
                <w:szCs w:val="20"/>
              </w:rPr>
              <w:t>What matters of national security am I required to manage</w:t>
            </w:r>
            <w:r w:rsidR="00040835" w:rsidRPr="00533964">
              <w:rPr>
                <w:rFonts w:ascii="Arial" w:hAnsi="Arial" w:cs="Arial"/>
                <w:b/>
                <w:sz w:val="20"/>
                <w:szCs w:val="20"/>
              </w:rPr>
              <w:t xml:space="preserve"> and/or disclose</w:t>
            </w:r>
            <w:r w:rsidRPr="00533964">
              <w:rPr>
                <w:rFonts w:ascii="Arial" w:hAnsi="Arial" w:cs="Arial"/>
                <w:b/>
                <w:sz w:val="20"/>
                <w:szCs w:val="20"/>
              </w:rPr>
              <w:t>?</w:t>
            </w:r>
          </w:p>
        </w:tc>
        <w:tc>
          <w:tcPr>
            <w:tcW w:w="5954" w:type="dxa"/>
          </w:tcPr>
          <w:p w14:paraId="4EC5EC8D" w14:textId="77777777" w:rsidR="00040835" w:rsidRDefault="000E33FC" w:rsidP="002F54AA">
            <w:pPr>
              <w:rPr>
                <w:rFonts w:ascii="Arial" w:hAnsi="Arial" w:cs="Arial"/>
              </w:rPr>
            </w:pPr>
            <w:r>
              <w:rPr>
                <w:rFonts w:ascii="Arial" w:hAnsi="Arial" w:cs="Arial"/>
              </w:rPr>
              <w:t xml:space="preserve">When submitting an application under the MMF you will be asked to acknowledge in the declaration that you can appropriately manage </w:t>
            </w:r>
            <w:r w:rsidR="00D00E72">
              <w:rPr>
                <w:rFonts w:ascii="Arial" w:hAnsi="Arial" w:cs="Arial"/>
              </w:rPr>
              <w:t xml:space="preserve">potential </w:t>
            </w:r>
            <w:r>
              <w:rPr>
                <w:rFonts w:ascii="Arial" w:hAnsi="Arial" w:cs="Arial"/>
              </w:rPr>
              <w:t xml:space="preserve">security </w:t>
            </w:r>
            <w:r w:rsidR="00D00E72">
              <w:rPr>
                <w:rFonts w:ascii="Arial" w:hAnsi="Arial" w:cs="Arial"/>
              </w:rPr>
              <w:t xml:space="preserve">risks associated with your project and your business more broadly.  </w:t>
            </w:r>
            <w:r w:rsidR="00D00E72" w:rsidRPr="00D00E72">
              <w:rPr>
                <w:rFonts w:ascii="Arial" w:hAnsi="Arial" w:cs="Arial"/>
              </w:rPr>
              <w:t>This includes protecting your business from cyber security threats and the secure handling of data</w:t>
            </w:r>
            <w:r w:rsidR="00040835">
              <w:rPr>
                <w:rFonts w:ascii="Arial" w:hAnsi="Arial" w:cs="Arial"/>
              </w:rPr>
              <w:t>.</w:t>
            </w:r>
          </w:p>
          <w:p w14:paraId="7C295F5F" w14:textId="77777777" w:rsidR="002F54AA" w:rsidRDefault="002F54AA" w:rsidP="002F54AA">
            <w:pPr>
              <w:rPr>
                <w:rFonts w:ascii="Arial" w:hAnsi="Arial" w:cs="Arial"/>
              </w:rPr>
            </w:pPr>
          </w:p>
          <w:p w14:paraId="4A03378E" w14:textId="77777777" w:rsidR="000E33FC" w:rsidRDefault="00040835" w:rsidP="002F54AA">
            <w:pPr>
              <w:rPr>
                <w:rFonts w:ascii="Arial" w:hAnsi="Arial" w:cs="Arial"/>
              </w:rPr>
            </w:pPr>
            <w:r>
              <w:rPr>
                <w:rFonts w:ascii="Arial" w:hAnsi="Arial" w:cs="Arial"/>
              </w:rPr>
              <w:t>When applying for a grant y</w:t>
            </w:r>
            <w:r w:rsidRPr="00040835">
              <w:rPr>
                <w:rFonts w:ascii="Arial" w:hAnsi="Arial" w:cs="Arial"/>
              </w:rPr>
              <w:t>ou are also required to disclose any foreign ownership (including foreign government ownership), affiliations with foreign governments, organisations, institutions or companies, or membership of foreign government talent programs</w:t>
            </w:r>
            <w:r>
              <w:rPr>
                <w:rFonts w:ascii="Arial" w:hAnsi="Arial" w:cs="Arial"/>
              </w:rPr>
              <w:t xml:space="preserve"> in respect to the business and/or any individuals participating in the project.  Any material changes to these matters must be also be disclosed as an ongoing requirement.</w:t>
            </w:r>
          </w:p>
          <w:p w14:paraId="050E94FB" w14:textId="788AB9A5" w:rsidR="002F54AA" w:rsidRPr="00040835" w:rsidRDefault="002F54AA" w:rsidP="002F54AA">
            <w:pPr>
              <w:rPr>
                <w:rFonts w:ascii="Arial" w:hAnsi="Arial" w:cs="Arial"/>
              </w:rPr>
            </w:pPr>
          </w:p>
        </w:tc>
      </w:tr>
      <w:tr w:rsidR="000A0FC0" w:rsidRPr="007C79DE" w14:paraId="699308EF" w14:textId="77777777" w:rsidTr="0055379D">
        <w:tblPrEx>
          <w:tblLook w:val="04A0" w:firstRow="1" w:lastRow="0" w:firstColumn="1" w:lastColumn="0" w:noHBand="0" w:noVBand="1"/>
        </w:tblPrEx>
        <w:trPr>
          <w:trHeight w:val="4589"/>
        </w:trPr>
        <w:tc>
          <w:tcPr>
            <w:tcW w:w="3397" w:type="dxa"/>
          </w:tcPr>
          <w:p w14:paraId="305C8B46" w14:textId="1A10B724" w:rsidR="000A0FC0" w:rsidRPr="00533964" w:rsidRDefault="000A0FC0" w:rsidP="002F54AA">
            <w:pPr>
              <w:pStyle w:val="Texttable"/>
              <w:spacing w:before="0"/>
              <w:rPr>
                <w:rFonts w:ascii="Arial" w:hAnsi="Arial" w:cs="Arial"/>
                <w:b/>
                <w:sz w:val="20"/>
                <w:szCs w:val="20"/>
              </w:rPr>
            </w:pPr>
            <w:r w:rsidRPr="00533964">
              <w:rPr>
                <w:rFonts w:ascii="Arial" w:hAnsi="Arial" w:cs="Arial"/>
                <w:b/>
                <w:sz w:val="20"/>
                <w:szCs w:val="20"/>
              </w:rPr>
              <w:lastRenderedPageBreak/>
              <w:t>What is a National Security Plan and why do I need one?</w:t>
            </w:r>
          </w:p>
        </w:tc>
        <w:tc>
          <w:tcPr>
            <w:tcW w:w="5954" w:type="dxa"/>
          </w:tcPr>
          <w:p w14:paraId="7D00E1E1" w14:textId="77777777" w:rsidR="00040835" w:rsidRDefault="000E33FC" w:rsidP="002F54AA">
            <w:pPr>
              <w:rPr>
                <w:rFonts w:ascii="Arial" w:hAnsi="Arial" w:cs="Arial"/>
              </w:rPr>
            </w:pPr>
            <w:r w:rsidRPr="000E33FC">
              <w:rPr>
                <w:rFonts w:ascii="Arial" w:hAnsi="Arial" w:cs="Arial"/>
              </w:rPr>
              <w:t xml:space="preserve">A </w:t>
            </w:r>
            <w:r w:rsidR="00D00E72">
              <w:rPr>
                <w:rFonts w:ascii="Arial" w:hAnsi="Arial" w:cs="Arial"/>
              </w:rPr>
              <w:t xml:space="preserve">National </w:t>
            </w:r>
            <w:r w:rsidR="003E259D" w:rsidRPr="000E33FC">
              <w:rPr>
                <w:rFonts w:ascii="Arial" w:hAnsi="Arial" w:cs="Arial"/>
              </w:rPr>
              <w:t xml:space="preserve">Security plan should include </w:t>
            </w:r>
            <w:r w:rsidR="00D00E72">
              <w:rPr>
                <w:rFonts w:ascii="Arial" w:hAnsi="Arial" w:cs="Arial"/>
              </w:rPr>
              <w:t xml:space="preserve">internal </w:t>
            </w:r>
            <w:r w:rsidR="003E259D" w:rsidRPr="000E33FC">
              <w:rPr>
                <w:rFonts w:ascii="Arial" w:hAnsi="Arial" w:cs="Arial"/>
              </w:rPr>
              <w:t>governance arrangements and information</w:t>
            </w:r>
            <w:r w:rsidR="00D00E72">
              <w:rPr>
                <w:rFonts w:ascii="Arial" w:hAnsi="Arial" w:cs="Arial"/>
              </w:rPr>
              <w:t xml:space="preserve"> on matters including</w:t>
            </w:r>
            <w:r w:rsidR="003E259D" w:rsidRPr="000E33FC">
              <w:rPr>
                <w:rFonts w:ascii="Arial" w:hAnsi="Arial" w:cs="Arial"/>
              </w:rPr>
              <w:t xml:space="preserve"> </w:t>
            </w:r>
            <w:r w:rsidR="00D00E72">
              <w:rPr>
                <w:rFonts w:ascii="Arial" w:hAnsi="Arial" w:cs="Arial"/>
              </w:rPr>
              <w:t>cy</w:t>
            </w:r>
            <w:r w:rsidR="003E259D" w:rsidRPr="000E33FC">
              <w:rPr>
                <w:rFonts w:ascii="Arial" w:hAnsi="Arial" w:cs="Arial"/>
              </w:rPr>
              <w:t>ber, personnel and physical security</w:t>
            </w:r>
            <w:r w:rsidR="00D00E72">
              <w:rPr>
                <w:rFonts w:ascii="Arial" w:hAnsi="Arial" w:cs="Arial"/>
              </w:rPr>
              <w:t xml:space="preserve"> for your business</w:t>
            </w:r>
            <w:r w:rsidR="003E259D" w:rsidRPr="000E33FC">
              <w:rPr>
                <w:rFonts w:ascii="Arial" w:hAnsi="Arial" w:cs="Arial"/>
              </w:rPr>
              <w:t xml:space="preserve">. </w:t>
            </w:r>
            <w:r w:rsidR="00D00E72">
              <w:rPr>
                <w:rFonts w:ascii="Arial" w:hAnsi="Arial" w:cs="Arial"/>
              </w:rPr>
              <w:t>It should set out the business’</w:t>
            </w:r>
            <w:r w:rsidR="003E259D" w:rsidRPr="000E33FC">
              <w:rPr>
                <w:rFonts w:ascii="Arial" w:hAnsi="Arial" w:cs="Arial"/>
              </w:rPr>
              <w:t xml:space="preserve"> </w:t>
            </w:r>
            <w:r w:rsidR="00D00E72">
              <w:rPr>
                <w:rFonts w:ascii="Arial" w:hAnsi="Arial" w:cs="Arial"/>
              </w:rPr>
              <w:t xml:space="preserve">approach to </w:t>
            </w:r>
            <w:r w:rsidR="003E259D" w:rsidRPr="000E33FC">
              <w:rPr>
                <w:rFonts w:ascii="Arial" w:hAnsi="Arial" w:cs="Arial"/>
              </w:rPr>
              <w:t xml:space="preserve">protective security and mitigation strategies appropriate to the levels of threat, risks to its assets and </w:t>
            </w:r>
            <w:r w:rsidR="00D00E72">
              <w:rPr>
                <w:rFonts w:ascii="Arial" w:hAnsi="Arial" w:cs="Arial"/>
              </w:rPr>
              <w:t xml:space="preserve">acceptable </w:t>
            </w:r>
            <w:r w:rsidR="003E259D" w:rsidRPr="000E33FC">
              <w:rPr>
                <w:rFonts w:ascii="Arial" w:hAnsi="Arial" w:cs="Arial"/>
              </w:rPr>
              <w:t>risk tolerances.</w:t>
            </w:r>
          </w:p>
          <w:p w14:paraId="50AE4E66" w14:textId="77777777" w:rsidR="002F54AA" w:rsidRDefault="002F54AA" w:rsidP="002F54AA">
            <w:pPr>
              <w:rPr>
                <w:rFonts w:ascii="Arial" w:hAnsi="Arial" w:cs="Arial"/>
              </w:rPr>
            </w:pPr>
          </w:p>
          <w:p w14:paraId="42884115" w14:textId="23DC7DF1" w:rsidR="00AA7771" w:rsidRPr="002F54AA" w:rsidRDefault="00AA7771" w:rsidP="002F54AA">
            <w:pPr>
              <w:rPr>
                <w:rFonts w:ascii="Arial" w:hAnsi="Arial" w:cs="Arial"/>
                <w:iCs/>
              </w:rPr>
            </w:pPr>
            <w:r w:rsidRPr="002F54AA">
              <w:rPr>
                <w:rFonts w:ascii="Arial" w:hAnsi="Arial" w:cs="Arial"/>
              </w:rPr>
              <w:t xml:space="preserve">For more information on the government’s Security Policy refer </w:t>
            </w:r>
            <w:hyperlink r:id="rId14" w:history="1">
              <w:r w:rsidRPr="002F54AA">
                <w:rPr>
                  <w:rStyle w:val="Hyperlink"/>
                  <w:rFonts w:ascii="Arial" w:hAnsi="Arial" w:cs="Arial"/>
                  <w:iCs/>
                </w:rPr>
                <w:t>Australian Government’s Protective Security Policy Framework</w:t>
              </w:r>
            </w:hyperlink>
            <w:r w:rsidRPr="002F54AA">
              <w:rPr>
                <w:rStyle w:val="Hyperlink"/>
                <w:rFonts w:ascii="Arial" w:hAnsi="Arial" w:cs="Arial"/>
                <w:iCs/>
              </w:rPr>
              <w:t xml:space="preserve"> </w:t>
            </w:r>
            <w:r w:rsidRPr="002F54AA">
              <w:rPr>
                <w:rStyle w:val="Hyperlink"/>
                <w:rFonts w:ascii="Arial" w:hAnsi="Arial" w:cs="Arial"/>
                <w:iCs/>
                <w:u w:val="none"/>
              </w:rPr>
              <w:t xml:space="preserve"> </w:t>
            </w:r>
            <w:r w:rsidRPr="002F54AA">
              <w:rPr>
                <w:rStyle w:val="Hyperlink"/>
                <w:rFonts w:ascii="Arial" w:hAnsi="Arial" w:cs="Arial"/>
                <w:iCs/>
                <w:color w:val="auto"/>
                <w:u w:val="none"/>
              </w:rPr>
              <w:t xml:space="preserve">and specifically on cyber security refer </w:t>
            </w:r>
            <w:hyperlink r:id="rId15" w:history="1">
              <w:r w:rsidRPr="002F54AA">
                <w:rPr>
                  <w:rStyle w:val="Hyperlink"/>
                  <w:rFonts w:ascii="Arial" w:hAnsi="Arial" w:cs="Arial"/>
                  <w:iCs/>
                </w:rPr>
                <w:t>Essential Eight Maturity Model</w:t>
              </w:r>
            </w:hyperlink>
            <w:r w:rsidRPr="002F54AA">
              <w:rPr>
                <w:rStyle w:val="Hyperlink"/>
                <w:rFonts w:ascii="Arial" w:hAnsi="Arial" w:cs="Arial"/>
                <w:iCs/>
              </w:rPr>
              <w:t>.</w:t>
            </w:r>
          </w:p>
          <w:p w14:paraId="1F15D6D1" w14:textId="77777777" w:rsidR="002F54AA" w:rsidRDefault="00204B81" w:rsidP="00181F7A">
            <w:pPr>
              <w:spacing w:before="240"/>
              <w:rPr>
                <w:rFonts w:ascii="Arial" w:hAnsi="Arial" w:cs="Arial"/>
              </w:rPr>
            </w:pPr>
            <w:r>
              <w:rPr>
                <w:rFonts w:ascii="Arial" w:hAnsi="Arial" w:cs="Arial"/>
              </w:rPr>
              <w:t xml:space="preserve">When submitting an application under the MMF you must acknowledge in the declaration that you can appropriately manage potential security risks associated with your project and your business more broadly.  </w:t>
            </w:r>
          </w:p>
          <w:p w14:paraId="6957D4FE" w14:textId="23DEC9FF" w:rsidR="000A0FC0" w:rsidRPr="000E33FC" w:rsidRDefault="00204B81" w:rsidP="00181F7A">
            <w:pPr>
              <w:spacing w:before="240"/>
              <w:rPr>
                <w:rFonts w:ascii="Arial" w:hAnsi="Arial" w:cs="Arial"/>
                <w:color w:val="000000" w:themeColor="text1"/>
              </w:rPr>
            </w:pPr>
            <w:r>
              <w:rPr>
                <w:rFonts w:ascii="Arial" w:hAnsi="Arial" w:cs="Arial"/>
              </w:rPr>
              <w:t xml:space="preserve">We </w:t>
            </w:r>
            <w:r w:rsidRPr="00204B81">
              <w:rPr>
                <w:rFonts w:ascii="Arial" w:hAnsi="Arial" w:cs="Arial"/>
              </w:rPr>
              <w:t xml:space="preserve">may ask you to provide a satisfactory risk assessment plan outlining your approach </w:t>
            </w:r>
            <w:r w:rsidR="008A152B">
              <w:rPr>
                <w:rFonts w:ascii="Arial" w:hAnsi="Arial" w:cs="Arial"/>
              </w:rPr>
              <w:t xml:space="preserve">to this </w:t>
            </w:r>
            <w:r w:rsidRPr="00204B81">
              <w:rPr>
                <w:rFonts w:ascii="Arial" w:hAnsi="Arial" w:cs="Arial"/>
              </w:rPr>
              <w:t>as a condition of funding.</w:t>
            </w:r>
          </w:p>
        </w:tc>
      </w:tr>
      <w:tr w:rsidR="000A0FC0" w:rsidRPr="00AA7771" w14:paraId="6486FE07" w14:textId="77777777" w:rsidTr="0055379D">
        <w:tblPrEx>
          <w:tblLook w:val="04A0" w:firstRow="1" w:lastRow="0" w:firstColumn="1" w:lastColumn="0" w:noHBand="0" w:noVBand="1"/>
        </w:tblPrEx>
        <w:tc>
          <w:tcPr>
            <w:tcW w:w="3397" w:type="dxa"/>
          </w:tcPr>
          <w:p w14:paraId="61E3DF46" w14:textId="704F3777" w:rsidR="000A0FC0" w:rsidRPr="00533964" w:rsidRDefault="003E259D" w:rsidP="002F54AA">
            <w:pPr>
              <w:pStyle w:val="Texttable"/>
              <w:spacing w:before="0"/>
              <w:rPr>
                <w:rFonts w:ascii="Arial" w:hAnsi="Arial" w:cs="Arial"/>
                <w:b/>
                <w:sz w:val="20"/>
                <w:szCs w:val="20"/>
              </w:rPr>
            </w:pPr>
            <w:r w:rsidRPr="00533964">
              <w:rPr>
                <w:rFonts w:ascii="Arial" w:hAnsi="Arial" w:cs="Arial"/>
                <w:b/>
                <w:sz w:val="20"/>
                <w:szCs w:val="20"/>
              </w:rPr>
              <w:t>How do I determine the headcount for my company?</w:t>
            </w:r>
          </w:p>
        </w:tc>
        <w:tc>
          <w:tcPr>
            <w:tcW w:w="5954" w:type="dxa"/>
          </w:tcPr>
          <w:p w14:paraId="23B68742" w14:textId="7742E470" w:rsidR="003E259D" w:rsidRPr="00AA7771" w:rsidRDefault="003E259D" w:rsidP="00040835">
            <w:pPr>
              <w:pStyle w:val="ListBullet"/>
              <w:spacing w:before="40" w:after="80"/>
              <w:rPr>
                <w:rFonts w:ascii="Arial" w:hAnsi="Arial" w:cs="Arial"/>
                <w:sz w:val="20"/>
                <w:szCs w:val="20"/>
              </w:rPr>
            </w:pPr>
            <w:r w:rsidRPr="00AA7771">
              <w:rPr>
                <w:rFonts w:ascii="Arial" w:hAnsi="Arial" w:cs="Arial"/>
                <w:color w:val="000000" w:themeColor="text1"/>
                <w:sz w:val="20"/>
                <w:szCs w:val="20"/>
              </w:rPr>
              <w:t xml:space="preserve">Only </w:t>
            </w:r>
            <w:r w:rsidRPr="00AA7771">
              <w:rPr>
                <w:rFonts w:ascii="Arial" w:hAnsi="Arial" w:cs="Arial"/>
                <w:sz w:val="20"/>
                <w:szCs w:val="20"/>
              </w:rPr>
              <w:t xml:space="preserve">manufacturing small and medium-sized Australian enterprises (SMEs) with up to 199 </w:t>
            </w:r>
            <w:r w:rsidRPr="00AA7771">
              <w:rPr>
                <w:rFonts w:ascii="Arial" w:hAnsi="Arial" w:cs="Arial"/>
                <w:sz w:val="20"/>
                <w:szCs w:val="20"/>
                <w:u w:val="single"/>
              </w:rPr>
              <w:t>employees</w:t>
            </w:r>
            <w:r w:rsidRPr="00AA7771">
              <w:rPr>
                <w:rFonts w:ascii="Arial" w:hAnsi="Arial" w:cs="Arial"/>
                <w:sz w:val="20"/>
                <w:szCs w:val="20"/>
              </w:rPr>
              <w:t xml:space="preserve"> (headcount) are eligible to apply under MMF Round 2.  </w:t>
            </w:r>
          </w:p>
          <w:p w14:paraId="7DF96AE6" w14:textId="4AE2F723" w:rsidR="000A0FC0" w:rsidRPr="002F54AA" w:rsidRDefault="003E259D" w:rsidP="00A2035B">
            <w:pPr>
              <w:pStyle w:val="ListBullet"/>
              <w:spacing w:before="40" w:after="80"/>
              <w:rPr>
                <w:rFonts w:ascii="Arial" w:hAnsi="Arial" w:cs="Arial"/>
                <w:sz w:val="20"/>
                <w:szCs w:val="20"/>
              </w:rPr>
            </w:pPr>
            <w:r w:rsidRPr="00AA7771">
              <w:rPr>
                <w:rFonts w:ascii="Arial" w:hAnsi="Arial" w:cs="Arial"/>
                <w:sz w:val="20"/>
                <w:szCs w:val="20"/>
              </w:rPr>
              <w:t xml:space="preserve">To determine your headcount all full time and part time employees and casuals employed </w:t>
            </w:r>
            <w:r w:rsidRPr="00AA7771">
              <w:rPr>
                <w:rFonts w:ascii="Arial" w:hAnsi="Arial" w:cs="Arial"/>
                <w:sz w:val="20"/>
                <w:szCs w:val="20"/>
                <w:u w:val="single"/>
              </w:rPr>
              <w:t>at the time you submit your application</w:t>
            </w:r>
            <w:r w:rsidRPr="00AA7771">
              <w:rPr>
                <w:rFonts w:ascii="Arial" w:hAnsi="Arial" w:cs="Arial"/>
                <w:sz w:val="20"/>
                <w:szCs w:val="20"/>
              </w:rPr>
              <w:t xml:space="preserve"> must be included.  Contractors are not included in your headcount.</w:t>
            </w:r>
          </w:p>
        </w:tc>
      </w:tr>
      <w:tr w:rsidR="009D68F3" w:rsidRPr="007C79DE" w14:paraId="02774D45" w14:textId="77777777" w:rsidTr="0055379D">
        <w:tblPrEx>
          <w:tblLook w:val="04A0" w:firstRow="1" w:lastRow="0" w:firstColumn="1" w:lastColumn="0" w:noHBand="0" w:noVBand="1"/>
        </w:tblPrEx>
        <w:tc>
          <w:tcPr>
            <w:tcW w:w="3397" w:type="dxa"/>
          </w:tcPr>
          <w:p w14:paraId="15A90DFD" w14:textId="368084B8" w:rsidR="009D68F3" w:rsidRPr="00533964" w:rsidRDefault="009D68F3" w:rsidP="002F54AA">
            <w:pPr>
              <w:pStyle w:val="Texttable"/>
              <w:spacing w:before="0"/>
              <w:rPr>
                <w:rFonts w:ascii="Arial" w:hAnsi="Arial" w:cs="Arial"/>
                <w:b/>
                <w:sz w:val="20"/>
                <w:szCs w:val="20"/>
              </w:rPr>
            </w:pPr>
            <w:r w:rsidRPr="00533964">
              <w:rPr>
                <w:rFonts w:ascii="Arial" w:hAnsi="Arial" w:cs="Arial"/>
                <w:b/>
                <w:sz w:val="20"/>
                <w:szCs w:val="20"/>
              </w:rPr>
              <w:t>What is a pecuniary penalty and when do I have to disclose these?</w:t>
            </w:r>
          </w:p>
        </w:tc>
        <w:tc>
          <w:tcPr>
            <w:tcW w:w="5954" w:type="dxa"/>
          </w:tcPr>
          <w:p w14:paraId="037D74F1" w14:textId="77777777" w:rsidR="00181F7A" w:rsidRDefault="009D68F3" w:rsidP="002F54AA">
            <w:pPr>
              <w:rPr>
                <w:rFonts w:ascii="Arial" w:hAnsi="Arial" w:cs="Arial"/>
              </w:rPr>
            </w:pPr>
            <w:r w:rsidRPr="00181F7A">
              <w:rPr>
                <w:rFonts w:ascii="Arial" w:hAnsi="Arial" w:cs="Arial"/>
              </w:rPr>
              <w:t xml:space="preserve">A pecuniary penalty </w:t>
            </w:r>
            <w:r w:rsidR="00181F7A" w:rsidRPr="00181F7A">
              <w:rPr>
                <w:rFonts w:ascii="Arial" w:hAnsi="Arial" w:cs="Arial"/>
              </w:rPr>
              <w:t xml:space="preserve">is a financial penalty.  </w:t>
            </w:r>
          </w:p>
          <w:p w14:paraId="230066EC" w14:textId="7EFBF579" w:rsidR="00181F7A" w:rsidRDefault="00181F7A" w:rsidP="00181F7A">
            <w:pPr>
              <w:pStyle w:val="Texttable"/>
              <w:rPr>
                <w:rFonts w:ascii="Arial" w:hAnsi="Arial" w:cs="Arial"/>
                <w:sz w:val="20"/>
                <w:szCs w:val="20"/>
              </w:rPr>
            </w:pPr>
            <w:r>
              <w:rPr>
                <w:rFonts w:ascii="Arial" w:hAnsi="Arial" w:cs="Arial"/>
                <w:sz w:val="20"/>
                <w:szCs w:val="20"/>
              </w:rPr>
              <w:t xml:space="preserve">When submitting an application under the MMF you </w:t>
            </w:r>
            <w:r w:rsidRPr="00181F7A">
              <w:rPr>
                <w:rFonts w:ascii="Arial" w:hAnsi="Arial" w:cs="Arial"/>
                <w:sz w:val="20"/>
                <w:szCs w:val="20"/>
              </w:rPr>
              <w:t>a</w:t>
            </w:r>
            <w:r>
              <w:rPr>
                <w:rFonts w:ascii="Arial" w:hAnsi="Arial" w:cs="Arial"/>
                <w:sz w:val="20"/>
                <w:szCs w:val="20"/>
              </w:rPr>
              <w:t xml:space="preserve">cknowledge in the declaration that you </w:t>
            </w:r>
            <w:r w:rsidR="009D68F3" w:rsidRPr="00181F7A">
              <w:rPr>
                <w:rFonts w:ascii="Arial" w:hAnsi="Arial" w:cs="Arial"/>
                <w:sz w:val="20"/>
                <w:szCs w:val="20"/>
              </w:rPr>
              <w:t>must disclose whether any of your board members, management or persons of authority have been subject to any pecuniary penalty, whether civil, criminal or administrative, imposed by a Commonwealth, State, or Territory court or a Commonwealth, State, or Territory entity</w:t>
            </w:r>
            <w:r>
              <w:rPr>
                <w:rFonts w:ascii="Arial" w:hAnsi="Arial" w:cs="Arial"/>
                <w:sz w:val="20"/>
                <w:szCs w:val="20"/>
              </w:rPr>
              <w:t xml:space="preserve">.  </w:t>
            </w:r>
          </w:p>
          <w:p w14:paraId="118A51F8" w14:textId="5B9A0028" w:rsidR="009D68F3" w:rsidRPr="007C79DE" w:rsidRDefault="00181F7A" w:rsidP="00181F7A">
            <w:pPr>
              <w:pStyle w:val="Texttable"/>
              <w:rPr>
                <w:rFonts w:ascii="Arial" w:hAnsi="Arial" w:cs="Arial"/>
                <w:color w:val="000000" w:themeColor="text1"/>
                <w:sz w:val="20"/>
                <w:szCs w:val="20"/>
              </w:rPr>
            </w:pPr>
            <w:r>
              <w:rPr>
                <w:rFonts w:ascii="Arial" w:hAnsi="Arial" w:cs="Arial"/>
                <w:sz w:val="20"/>
                <w:szCs w:val="20"/>
              </w:rPr>
              <w:t xml:space="preserve">The obligation to disclose occurs at time of application and is continuing should circumstances change.  Your disclosure of a pecuniary penalty should be made in your application at time of submission and any update/change of circumstances advised by email to </w:t>
            </w:r>
            <w:hyperlink r:id="rId16" w:history="1">
              <w:r w:rsidRPr="007C79DE">
                <w:rPr>
                  <w:rStyle w:val="Hyperlink"/>
                  <w:rFonts w:ascii="Arial" w:hAnsi="Arial" w:cs="Arial"/>
                  <w:sz w:val="20"/>
                  <w:szCs w:val="20"/>
                </w:rPr>
                <w:t>MMF@industry.gov.au</w:t>
              </w:r>
            </w:hyperlink>
          </w:p>
        </w:tc>
      </w:tr>
      <w:tr w:rsidR="00181F7A" w:rsidRPr="007C79DE" w14:paraId="6D5D3516" w14:textId="77777777" w:rsidTr="0055379D">
        <w:tblPrEx>
          <w:tblLook w:val="04A0" w:firstRow="1" w:lastRow="0" w:firstColumn="1" w:lastColumn="0" w:noHBand="0" w:noVBand="1"/>
        </w:tblPrEx>
        <w:tc>
          <w:tcPr>
            <w:tcW w:w="3397" w:type="dxa"/>
          </w:tcPr>
          <w:p w14:paraId="7A253934" w14:textId="783590E7" w:rsidR="00181F7A" w:rsidRPr="00533964" w:rsidRDefault="00181F7A" w:rsidP="002F54AA">
            <w:pPr>
              <w:pStyle w:val="Texttable"/>
              <w:spacing w:before="0"/>
              <w:rPr>
                <w:rFonts w:ascii="Arial" w:hAnsi="Arial" w:cs="Arial"/>
                <w:b/>
                <w:sz w:val="20"/>
                <w:szCs w:val="20"/>
              </w:rPr>
            </w:pPr>
            <w:r w:rsidRPr="00533964">
              <w:rPr>
                <w:rFonts w:ascii="Arial" w:hAnsi="Arial" w:cs="Arial"/>
                <w:b/>
                <w:sz w:val="20"/>
                <w:szCs w:val="20"/>
              </w:rPr>
              <w:t>Can a trust apply for a grant under the program?</w:t>
            </w:r>
          </w:p>
        </w:tc>
        <w:tc>
          <w:tcPr>
            <w:tcW w:w="5954" w:type="dxa"/>
          </w:tcPr>
          <w:p w14:paraId="1C8D98E9" w14:textId="32892190" w:rsidR="00EF5514" w:rsidRPr="002F54AA" w:rsidRDefault="00EF5514" w:rsidP="002F54AA">
            <w:pPr>
              <w:rPr>
                <w:rFonts w:ascii="Arial" w:hAnsi="Arial" w:cs="Arial"/>
              </w:rPr>
            </w:pPr>
            <w:r w:rsidRPr="002F54AA">
              <w:rPr>
                <w:rFonts w:ascii="Arial" w:hAnsi="Arial" w:cs="Arial"/>
              </w:rPr>
              <w:t>No.  Only incorporated trustees applying on behalf of a trust are eligible to apply for a grant under the MMF.</w:t>
            </w:r>
          </w:p>
          <w:p w14:paraId="22F4AA05" w14:textId="7F53804A" w:rsidR="00EF5514" w:rsidRPr="00EF5514" w:rsidRDefault="00EF5514" w:rsidP="00EF5514">
            <w:pPr>
              <w:pStyle w:val="Texttable"/>
              <w:rPr>
                <w:rFonts w:ascii="Arial" w:hAnsi="Arial" w:cs="Arial"/>
                <w:color w:val="000000" w:themeColor="text1"/>
                <w:sz w:val="20"/>
                <w:szCs w:val="20"/>
              </w:rPr>
            </w:pPr>
            <w:r w:rsidRPr="00EF5514">
              <w:rPr>
                <w:rFonts w:ascii="Arial" w:hAnsi="Arial" w:cs="Arial"/>
                <w:color w:val="000000" w:themeColor="text1"/>
                <w:sz w:val="20"/>
                <w:szCs w:val="20"/>
              </w:rPr>
              <w:t xml:space="preserve">If applying as a trustee on behalf of a trust, you must provide a copy of your executed trust deed to support your application. Please ensure you submit </w:t>
            </w:r>
            <w:r>
              <w:rPr>
                <w:rFonts w:ascii="Arial" w:hAnsi="Arial" w:cs="Arial"/>
                <w:color w:val="000000" w:themeColor="text1"/>
                <w:sz w:val="20"/>
                <w:szCs w:val="20"/>
              </w:rPr>
              <w:t xml:space="preserve">your application </w:t>
            </w:r>
            <w:r w:rsidRPr="00EF5514">
              <w:rPr>
                <w:rFonts w:ascii="Arial" w:hAnsi="Arial" w:cs="Arial"/>
                <w:color w:val="000000" w:themeColor="text1"/>
                <w:sz w:val="20"/>
                <w:szCs w:val="20"/>
              </w:rPr>
              <w:t>using the corporate structure reflected in your trust deed.</w:t>
            </w:r>
          </w:p>
          <w:p w14:paraId="1F2B3BAA" w14:textId="77777777" w:rsidR="00EF5514" w:rsidRPr="00EF5514" w:rsidRDefault="00EF5514" w:rsidP="00EF5514">
            <w:pPr>
              <w:pStyle w:val="Texttable"/>
              <w:rPr>
                <w:rFonts w:ascii="Arial" w:hAnsi="Arial" w:cs="Arial"/>
                <w:color w:val="000000" w:themeColor="text1"/>
                <w:sz w:val="20"/>
                <w:szCs w:val="20"/>
              </w:rPr>
            </w:pPr>
            <w:r w:rsidRPr="00EF5514">
              <w:rPr>
                <w:rFonts w:ascii="Arial" w:hAnsi="Arial" w:cs="Arial"/>
                <w:color w:val="000000" w:themeColor="text1"/>
                <w:sz w:val="20"/>
                <w:szCs w:val="20"/>
              </w:rPr>
              <w:t>If applying on behalf of a trust, you must use the ABN of the trust (not the trustee) to create your application.</w:t>
            </w:r>
          </w:p>
          <w:p w14:paraId="01106772" w14:textId="3873A636" w:rsidR="00181F7A" w:rsidRPr="007C79DE" w:rsidRDefault="00EF5514" w:rsidP="00C81558">
            <w:pPr>
              <w:pStyle w:val="Texttable"/>
              <w:rPr>
                <w:rFonts w:ascii="Arial" w:hAnsi="Arial" w:cs="Arial"/>
                <w:color w:val="000000" w:themeColor="text1"/>
                <w:sz w:val="20"/>
                <w:szCs w:val="20"/>
              </w:rPr>
            </w:pPr>
            <w:r w:rsidRPr="00EF5514">
              <w:rPr>
                <w:rFonts w:ascii="Arial" w:hAnsi="Arial" w:cs="Arial"/>
                <w:color w:val="000000" w:themeColor="text1"/>
                <w:sz w:val="20"/>
                <w:szCs w:val="20"/>
              </w:rPr>
              <w:t xml:space="preserve">If you have any questions on how to apply on behalf of a trust please contact us via </w:t>
            </w:r>
            <w:hyperlink r:id="rId17" w:history="1">
              <w:r w:rsidRPr="00EF5514">
                <w:rPr>
                  <w:rFonts w:ascii="Arial" w:hAnsi="Arial" w:cs="Arial"/>
                  <w:color w:val="0070C0"/>
                  <w:sz w:val="20"/>
                  <w:szCs w:val="20"/>
                  <w:u w:val="single"/>
                </w:rPr>
                <w:t>MMF@industry.gov.au</w:t>
              </w:r>
            </w:hyperlink>
          </w:p>
        </w:tc>
      </w:tr>
      <w:tr w:rsidR="00C81558" w:rsidRPr="007C79DE" w14:paraId="32CBDE1C" w14:textId="77777777" w:rsidTr="0055379D">
        <w:tblPrEx>
          <w:tblLook w:val="04A0" w:firstRow="1" w:lastRow="0" w:firstColumn="1" w:lastColumn="0" w:noHBand="0" w:noVBand="1"/>
        </w:tblPrEx>
        <w:trPr>
          <w:trHeight w:val="4306"/>
        </w:trPr>
        <w:tc>
          <w:tcPr>
            <w:tcW w:w="3397" w:type="dxa"/>
          </w:tcPr>
          <w:p w14:paraId="43356F94" w14:textId="7F2FEEC5"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lastRenderedPageBreak/>
              <w:t>How do I submit an application?</w:t>
            </w:r>
          </w:p>
        </w:tc>
        <w:tc>
          <w:tcPr>
            <w:tcW w:w="5954" w:type="dxa"/>
          </w:tcPr>
          <w:p w14:paraId="2BC3E030" w14:textId="77777777" w:rsidR="00C81558" w:rsidRPr="002F54AA" w:rsidRDefault="00C81558" w:rsidP="002F54AA">
            <w:pPr>
              <w:rPr>
                <w:rFonts w:ascii="Arial" w:hAnsi="Arial" w:cs="Arial"/>
              </w:rPr>
            </w:pPr>
            <w:r w:rsidRPr="002F54AA">
              <w:rPr>
                <w:rFonts w:ascii="Arial" w:hAnsi="Arial" w:cs="Arial"/>
              </w:rPr>
              <w:t>Before applying, you should read and understand the grant opportunity guidelines, and the sample grant agreement that are published on business.gov.au.</w:t>
            </w:r>
          </w:p>
          <w:p w14:paraId="147C655C" w14:textId="77777777" w:rsidR="00C81558" w:rsidRPr="007C79DE" w:rsidRDefault="00C81558" w:rsidP="00C81558">
            <w:pPr>
              <w:pStyle w:val="Texttable"/>
              <w:rPr>
                <w:rFonts w:ascii="Arial" w:hAnsi="Arial" w:cs="Arial"/>
                <w:color w:val="000000" w:themeColor="text1"/>
                <w:sz w:val="20"/>
                <w:szCs w:val="20"/>
              </w:rPr>
            </w:pPr>
            <w:r w:rsidRPr="007C79DE">
              <w:rPr>
                <w:rFonts w:ascii="Arial" w:hAnsi="Arial" w:cs="Arial"/>
                <w:color w:val="000000" w:themeColor="text1"/>
                <w:sz w:val="20"/>
                <w:szCs w:val="20"/>
              </w:rPr>
              <w:t>You can only submit an application between the opening and closing dates for this grant opportunity.</w:t>
            </w:r>
          </w:p>
          <w:p w14:paraId="03493EB0" w14:textId="77777777" w:rsidR="00C81558" w:rsidRPr="007C79DE" w:rsidRDefault="00C81558" w:rsidP="00C81558">
            <w:pPr>
              <w:pStyle w:val="Texttable"/>
              <w:rPr>
                <w:rFonts w:ascii="Arial" w:hAnsi="Arial" w:cs="Arial"/>
                <w:color w:val="000000" w:themeColor="text1"/>
                <w:sz w:val="20"/>
                <w:szCs w:val="20"/>
              </w:rPr>
            </w:pPr>
            <w:r w:rsidRPr="007C79DE">
              <w:rPr>
                <w:rFonts w:ascii="Arial" w:hAnsi="Arial" w:cs="Arial"/>
                <w:color w:val="000000" w:themeColor="text1"/>
                <w:sz w:val="20"/>
                <w:szCs w:val="20"/>
              </w:rPr>
              <w:t>To apply, you must:</w:t>
            </w:r>
          </w:p>
          <w:p w14:paraId="2BF68542" w14:textId="77777777" w:rsidR="00C81558" w:rsidRPr="007C79DE" w:rsidRDefault="00C81558" w:rsidP="00C81558">
            <w:pPr>
              <w:pStyle w:val="Texttable"/>
              <w:numPr>
                <w:ilvl w:val="0"/>
                <w:numId w:val="5"/>
              </w:numPr>
              <w:ind w:left="396"/>
              <w:rPr>
                <w:rFonts w:ascii="Arial" w:hAnsi="Arial" w:cs="Arial"/>
                <w:color w:val="000000" w:themeColor="text1"/>
                <w:sz w:val="20"/>
                <w:szCs w:val="20"/>
              </w:rPr>
            </w:pPr>
            <w:r w:rsidRPr="007C79DE">
              <w:rPr>
                <w:rFonts w:ascii="Arial" w:hAnsi="Arial" w:cs="Arial"/>
                <w:color w:val="000000" w:themeColor="text1"/>
                <w:sz w:val="20"/>
                <w:szCs w:val="20"/>
              </w:rPr>
              <w:t>complete the online application form</w:t>
            </w:r>
          </w:p>
          <w:p w14:paraId="2B630BF9" w14:textId="77777777" w:rsidR="00C81558" w:rsidRPr="007C79DE" w:rsidRDefault="00C81558" w:rsidP="00C81558">
            <w:pPr>
              <w:pStyle w:val="Texttable"/>
              <w:numPr>
                <w:ilvl w:val="0"/>
                <w:numId w:val="5"/>
              </w:numPr>
              <w:ind w:left="396"/>
              <w:rPr>
                <w:rFonts w:ascii="Arial" w:hAnsi="Arial" w:cs="Arial"/>
                <w:color w:val="000000" w:themeColor="text1"/>
                <w:sz w:val="20"/>
                <w:szCs w:val="20"/>
              </w:rPr>
            </w:pPr>
            <w:r w:rsidRPr="007C79DE">
              <w:rPr>
                <w:rFonts w:ascii="Arial" w:hAnsi="Arial" w:cs="Arial"/>
                <w:color w:val="000000" w:themeColor="text1"/>
                <w:sz w:val="20"/>
                <w:szCs w:val="20"/>
              </w:rPr>
              <w:t>provide all the information requested</w:t>
            </w:r>
          </w:p>
          <w:p w14:paraId="11CF1585" w14:textId="77777777" w:rsidR="00C81558" w:rsidRPr="007C79DE" w:rsidRDefault="00C81558" w:rsidP="00C81558">
            <w:pPr>
              <w:pStyle w:val="Texttable"/>
              <w:numPr>
                <w:ilvl w:val="0"/>
                <w:numId w:val="5"/>
              </w:numPr>
              <w:ind w:left="396"/>
              <w:rPr>
                <w:rFonts w:ascii="Arial" w:hAnsi="Arial" w:cs="Arial"/>
                <w:color w:val="000000" w:themeColor="text1"/>
                <w:sz w:val="20"/>
                <w:szCs w:val="20"/>
              </w:rPr>
            </w:pPr>
            <w:r w:rsidRPr="007C79DE">
              <w:rPr>
                <w:rFonts w:ascii="Arial" w:hAnsi="Arial" w:cs="Arial"/>
                <w:color w:val="000000" w:themeColor="text1"/>
                <w:sz w:val="20"/>
                <w:szCs w:val="20"/>
              </w:rPr>
              <w:t>address all eligibility and merit criteria</w:t>
            </w:r>
          </w:p>
          <w:p w14:paraId="50793C6C" w14:textId="77777777" w:rsidR="00C81558" w:rsidRPr="007C79DE" w:rsidRDefault="00C81558" w:rsidP="00C81558">
            <w:pPr>
              <w:pStyle w:val="Texttable"/>
              <w:numPr>
                <w:ilvl w:val="0"/>
                <w:numId w:val="5"/>
              </w:numPr>
              <w:ind w:left="396"/>
              <w:rPr>
                <w:rFonts w:ascii="Arial" w:hAnsi="Arial" w:cs="Arial"/>
                <w:sz w:val="20"/>
                <w:szCs w:val="20"/>
              </w:rPr>
            </w:pPr>
            <w:proofErr w:type="gramStart"/>
            <w:r w:rsidRPr="007C79DE">
              <w:rPr>
                <w:rFonts w:ascii="Arial" w:hAnsi="Arial" w:cs="Arial"/>
                <w:color w:val="000000" w:themeColor="text1"/>
                <w:sz w:val="20"/>
                <w:szCs w:val="20"/>
              </w:rPr>
              <w:t>include</w:t>
            </w:r>
            <w:proofErr w:type="gramEnd"/>
            <w:r w:rsidRPr="007C79DE">
              <w:rPr>
                <w:rFonts w:ascii="Arial" w:hAnsi="Arial" w:cs="Arial"/>
                <w:color w:val="000000" w:themeColor="text1"/>
                <w:sz w:val="20"/>
                <w:szCs w:val="20"/>
              </w:rPr>
              <w:t xml:space="preserve"> all necessary attachments.</w:t>
            </w:r>
          </w:p>
          <w:p w14:paraId="2C5F3A08" w14:textId="77777777" w:rsidR="002F54AA" w:rsidRDefault="00C81558" w:rsidP="00F01C98">
            <w:pPr>
              <w:spacing w:before="240" w:after="80"/>
              <w:rPr>
                <w:rFonts w:ascii="Arial" w:hAnsi="Arial" w:cs="Arial"/>
              </w:rPr>
            </w:pPr>
            <w:r w:rsidRPr="007C79DE">
              <w:rPr>
                <w:rFonts w:ascii="Arial" w:hAnsi="Arial" w:cs="Arial"/>
              </w:rPr>
              <w:t xml:space="preserve">A sample application form is also available on business.gov.au, to assist you in completing your application.  </w:t>
            </w:r>
          </w:p>
          <w:p w14:paraId="74065A87" w14:textId="5C420977" w:rsidR="00C81558" w:rsidRPr="007C79DE" w:rsidRDefault="00C81558" w:rsidP="00F01C98">
            <w:pPr>
              <w:spacing w:before="240" w:after="80"/>
              <w:rPr>
                <w:rFonts w:ascii="Arial" w:hAnsi="Arial" w:cs="Arial"/>
                <w:color w:val="000000" w:themeColor="text1"/>
              </w:rPr>
            </w:pPr>
            <w:r w:rsidRPr="007C79DE">
              <w:rPr>
                <w:rFonts w:ascii="Arial" w:hAnsi="Arial" w:cs="Arial"/>
              </w:rPr>
              <w:t>Your application cannot be submitted using this form.</w:t>
            </w:r>
          </w:p>
        </w:tc>
      </w:tr>
      <w:tr w:rsidR="00C81558" w:rsidRPr="007C79DE" w14:paraId="47D67EA1" w14:textId="77777777" w:rsidTr="0055379D">
        <w:tblPrEx>
          <w:tblLook w:val="04A0" w:firstRow="1" w:lastRow="0" w:firstColumn="1" w:lastColumn="0" w:noHBand="0" w:noVBand="1"/>
        </w:tblPrEx>
        <w:tc>
          <w:tcPr>
            <w:tcW w:w="3397" w:type="dxa"/>
          </w:tcPr>
          <w:p w14:paraId="0C62DE1B" w14:textId="6E57E652"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Can I submit a late application?</w:t>
            </w:r>
          </w:p>
        </w:tc>
        <w:tc>
          <w:tcPr>
            <w:tcW w:w="5954" w:type="dxa"/>
          </w:tcPr>
          <w:p w14:paraId="47EF7133" w14:textId="186ED116" w:rsidR="00C81558" w:rsidRPr="007C79DE" w:rsidRDefault="00C81558" w:rsidP="00C81558">
            <w:pPr>
              <w:spacing w:after="80"/>
              <w:rPr>
                <w:rFonts w:ascii="Arial" w:hAnsi="Arial" w:cs="Arial"/>
              </w:rPr>
            </w:pPr>
            <w:r w:rsidRPr="007C79DE">
              <w:rPr>
                <w:rFonts w:ascii="Arial" w:hAnsi="Arial" w:cs="Arial"/>
                <w:color w:val="000000" w:themeColor="text1"/>
              </w:rPr>
              <w:t>No. Late applications cannot be submitted.</w:t>
            </w:r>
          </w:p>
        </w:tc>
      </w:tr>
      <w:tr w:rsidR="00C81558" w:rsidRPr="007C79DE" w14:paraId="55AE4AE1" w14:textId="77777777" w:rsidTr="0055379D">
        <w:tblPrEx>
          <w:tblLook w:val="04A0" w:firstRow="1" w:lastRow="0" w:firstColumn="1" w:lastColumn="0" w:noHBand="0" w:noVBand="1"/>
        </w:tblPrEx>
        <w:tc>
          <w:tcPr>
            <w:tcW w:w="3397" w:type="dxa"/>
          </w:tcPr>
          <w:p w14:paraId="032E87C6" w14:textId="2E1C8D8B"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Can I submit more than one application?</w:t>
            </w:r>
          </w:p>
        </w:tc>
        <w:tc>
          <w:tcPr>
            <w:tcW w:w="5954" w:type="dxa"/>
          </w:tcPr>
          <w:p w14:paraId="2B1B6995" w14:textId="46906FC4" w:rsidR="00C81558" w:rsidRPr="007C79DE" w:rsidRDefault="00C81558" w:rsidP="00C81558">
            <w:pPr>
              <w:spacing w:after="80"/>
              <w:rPr>
                <w:rFonts w:ascii="Arial" w:hAnsi="Arial" w:cs="Arial"/>
                <w:color w:val="000000" w:themeColor="text1"/>
              </w:rPr>
            </w:pPr>
            <w:r w:rsidRPr="007C79DE">
              <w:rPr>
                <w:rFonts w:ascii="Arial" w:hAnsi="Arial" w:cs="Arial"/>
                <w:color w:val="000000" w:themeColor="text1"/>
              </w:rPr>
              <w:t>No. You can only submit one application for this grant opportunity.</w:t>
            </w:r>
          </w:p>
        </w:tc>
      </w:tr>
      <w:tr w:rsidR="00C81558" w:rsidRPr="007C79DE" w14:paraId="5AC15853" w14:textId="77777777" w:rsidTr="0055379D">
        <w:tblPrEx>
          <w:tblLook w:val="04A0" w:firstRow="1" w:lastRow="0" w:firstColumn="1" w:lastColumn="0" w:noHBand="0" w:noVBand="1"/>
        </w:tblPrEx>
        <w:trPr>
          <w:trHeight w:val="2626"/>
        </w:trPr>
        <w:tc>
          <w:tcPr>
            <w:tcW w:w="3397" w:type="dxa"/>
          </w:tcPr>
          <w:p w14:paraId="3C69A40A" w14:textId="1D9784B3"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 xml:space="preserve">What if I make an unintentional error in my application? </w:t>
            </w:r>
          </w:p>
        </w:tc>
        <w:tc>
          <w:tcPr>
            <w:tcW w:w="5954" w:type="dxa"/>
          </w:tcPr>
          <w:p w14:paraId="3BC6DC3D" w14:textId="77777777" w:rsidR="00C81558" w:rsidRPr="007C79DE" w:rsidRDefault="00C81558" w:rsidP="002F54AA">
            <w:pPr>
              <w:keepNext/>
              <w:keepLines/>
              <w:spacing w:after="80"/>
              <w:rPr>
                <w:rFonts w:ascii="Arial" w:hAnsi="Arial" w:cs="Arial"/>
              </w:rPr>
            </w:pPr>
            <w:r w:rsidRPr="007C79DE">
              <w:rPr>
                <w:rFonts w:ascii="Arial" w:hAnsi="Arial" w:cs="Arial"/>
              </w:rPr>
              <w:t>If you have submitted your application and the application period is still open, you will have to withdraw your application and submit a new application.</w:t>
            </w:r>
          </w:p>
          <w:p w14:paraId="56FBEA5F" w14:textId="77777777" w:rsidR="00C81558" w:rsidRPr="007C79DE" w:rsidRDefault="00C81558" w:rsidP="002F54AA">
            <w:pPr>
              <w:keepNext/>
              <w:keepLines/>
              <w:spacing w:after="80"/>
              <w:rPr>
                <w:rFonts w:ascii="Arial" w:hAnsi="Arial" w:cs="Arial"/>
              </w:rPr>
            </w:pPr>
            <w:r w:rsidRPr="007C79DE">
              <w:rPr>
                <w:rFonts w:ascii="Arial" w:hAnsi="Arial" w:cs="Arial"/>
              </w:rPr>
              <w:t>Replacement applications will not be accepted once the closing date has past.</w:t>
            </w:r>
          </w:p>
          <w:p w14:paraId="195B3307" w14:textId="4293079A" w:rsidR="00C81558" w:rsidRPr="007C79DE" w:rsidRDefault="00C81558" w:rsidP="002F54AA">
            <w:pPr>
              <w:keepNext/>
              <w:keepLines/>
              <w:spacing w:after="80"/>
              <w:rPr>
                <w:rFonts w:ascii="Arial" w:hAnsi="Arial" w:cs="Arial"/>
              </w:rPr>
            </w:pPr>
            <w:r w:rsidRPr="007C79DE">
              <w:rPr>
                <w:rFonts w:ascii="Arial" w:hAnsi="Arial" w:cs="Arial"/>
              </w:rP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tc>
      </w:tr>
      <w:tr w:rsidR="00C81558" w:rsidRPr="007C79DE" w14:paraId="09F57C17" w14:textId="77777777" w:rsidTr="0055379D">
        <w:tblPrEx>
          <w:tblLook w:val="04A0" w:firstRow="1" w:lastRow="0" w:firstColumn="1" w:lastColumn="0" w:noHBand="0" w:noVBand="1"/>
        </w:tblPrEx>
        <w:tc>
          <w:tcPr>
            <w:tcW w:w="3397" w:type="dxa"/>
          </w:tcPr>
          <w:p w14:paraId="7B5A950D" w14:textId="6A365CCD"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 xml:space="preserve">How do I withdraw my application? </w:t>
            </w:r>
          </w:p>
        </w:tc>
        <w:tc>
          <w:tcPr>
            <w:tcW w:w="5954" w:type="dxa"/>
          </w:tcPr>
          <w:p w14:paraId="5D1501DE" w14:textId="6D48157A" w:rsidR="00C81558" w:rsidRPr="007C79DE" w:rsidRDefault="00C81558" w:rsidP="002F54AA">
            <w:pPr>
              <w:keepNext/>
              <w:keepLines/>
              <w:spacing w:after="80"/>
              <w:rPr>
                <w:rFonts w:ascii="Arial" w:hAnsi="Arial" w:cs="Arial"/>
              </w:rPr>
            </w:pPr>
            <w:r w:rsidRPr="007C79DE">
              <w:rPr>
                <w:rFonts w:ascii="Arial" w:hAnsi="Arial" w:cs="Arial"/>
              </w:rPr>
              <w:t xml:space="preserve">If you have submitted your application in error or wish to make changes after you have submitted (but before the program has closed) the application creator can email the program area at </w:t>
            </w:r>
            <w:hyperlink r:id="rId18" w:history="1">
              <w:r w:rsidR="002F54AA" w:rsidRPr="00EF5514">
                <w:rPr>
                  <w:rFonts w:ascii="Arial" w:hAnsi="Arial" w:cs="Arial"/>
                  <w:color w:val="0070C0"/>
                  <w:u w:val="single"/>
                </w:rPr>
                <w:t>MMF@industry.gov.au</w:t>
              </w:r>
            </w:hyperlink>
            <w:r w:rsidRPr="007C79DE">
              <w:rPr>
                <w:rFonts w:ascii="Arial" w:hAnsi="Arial" w:cs="Arial"/>
              </w:rPr>
              <w:t xml:space="preserve"> and request that the application be withdrawn.</w:t>
            </w:r>
          </w:p>
        </w:tc>
      </w:tr>
      <w:tr w:rsidR="00C81558" w:rsidRPr="007C79DE" w14:paraId="244D26BC" w14:textId="77777777" w:rsidTr="0055379D">
        <w:tblPrEx>
          <w:tblLook w:val="04A0" w:firstRow="1" w:lastRow="0" w:firstColumn="1" w:lastColumn="0" w:noHBand="0" w:noVBand="1"/>
        </w:tblPrEx>
        <w:tc>
          <w:tcPr>
            <w:tcW w:w="3397" w:type="dxa"/>
          </w:tcPr>
          <w:p w14:paraId="1D38462C" w14:textId="3B7AEEE1"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My application is ineligible. Who can I talk to?</w:t>
            </w:r>
          </w:p>
        </w:tc>
        <w:tc>
          <w:tcPr>
            <w:tcW w:w="5954" w:type="dxa"/>
          </w:tcPr>
          <w:p w14:paraId="12E8C706" w14:textId="77777777" w:rsidR="00C81558" w:rsidRPr="007C79DE" w:rsidRDefault="00C81558" w:rsidP="00C81558">
            <w:pPr>
              <w:keepNext/>
              <w:keepLines/>
              <w:spacing w:after="80"/>
              <w:rPr>
                <w:rFonts w:ascii="Arial" w:hAnsi="Arial" w:cs="Arial"/>
              </w:rPr>
            </w:pPr>
            <w:r w:rsidRPr="007C79DE">
              <w:rPr>
                <w:rFonts w:ascii="Arial" w:hAnsi="Arial" w:cs="Arial"/>
              </w:rPr>
              <w:t xml:space="preserve">You will be notified in writing if your application is ineligible. </w:t>
            </w:r>
          </w:p>
          <w:p w14:paraId="0727FE23" w14:textId="44E5B5C4" w:rsidR="00C81558" w:rsidRPr="007C79DE" w:rsidRDefault="00C81558" w:rsidP="00C81558">
            <w:pPr>
              <w:keepNext/>
              <w:keepLines/>
              <w:spacing w:after="80"/>
              <w:rPr>
                <w:rFonts w:ascii="Arial" w:hAnsi="Arial" w:cs="Arial"/>
              </w:rPr>
            </w:pPr>
            <w:r w:rsidRPr="007C79DE">
              <w:rPr>
                <w:rFonts w:ascii="Arial" w:hAnsi="Arial" w:cs="Arial"/>
              </w:rPr>
              <w:t>Contact details of program staff will be included in your notification.</w:t>
            </w:r>
          </w:p>
        </w:tc>
      </w:tr>
      <w:tr w:rsidR="00C81558" w:rsidRPr="007C79DE" w14:paraId="0336E0BB" w14:textId="77777777" w:rsidTr="0055379D">
        <w:tblPrEx>
          <w:tblLook w:val="04A0" w:firstRow="1" w:lastRow="0" w:firstColumn="1" w:lastColumn="0" w:noHBand="0" w:noVBand="1"/>
        </w:tblPrEx>
        <w:tc>
          <w:tcPr>
            <w:tcW w:w="3397" w:type="dxa"/>
          </w:tcPr>
          <w:p w14:paraId="3ED3BF9B" w14:textId="66256D79"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t>My application is unsuccessful. Who can I talk to?</w:t>
            </w:r>
          </w:p>
        </w:tc>
        <w:tc>
          <w:tcPr>
            <w:tcW w:w="5954" w:type="dxa"/>
          </w:tcPr>
          <w:p w14:paraId="5C6A77D2" w14:textId="77777777" w:rsidR="00C81558" w:rsidRPr="007C79DE" w:rsidRDefault="00C81558" w:rsidP="00C81558">
            <w:pPr>
              <w:spacing w:after="80"/>
              <w:rPr>
                <w:rFonts w:ascii="Arial" w:hAnsi="Arial" w:cs="Arial"/>
              </w:rPr>
            </w:pPr>
            <w:r w:rsidRPr="007C79DE">
              <w:rPr>
                <w:rFonts w:ascii="Arial" w:hAnsi="Arial" w:cs="Arial"/>
              </w:rPr>
              <w:t xml:space="preserve">You will be notified in writing if your application is unsuccessful. </w:t>
            </w:r>
          </w:p>
          <w:p w14:paraId="7B839D4F" w14:textId="464BD489" w:rsidR="00C81558" w:rsidRPr="007C79DE" w:rsidRDefault="00C81558" w:rsidP="00C81558">
            <w:pPr>
              <w:spacing w:after="80"/>
              <w:rPr>
                <w:rFonts w:ascii="Arial" w:hAnsi="Arial" w:cs="Arial"/>
              </w:rPr>
            </w:pPr>
            <w:r w:rsidRPr="007C79DE">
              <w:rPr>
                <w:rFonts w:ascii="Arial" w:hAnsi="Arial" w:cs="Arial"/>
              </w:rPr>
              <w:t>Contact details of program staff will be included in your notification.</w:t>
            </w:r>
          </w:p>
        </w:tc>
      </w:tr>
      <w:tr w:rsidR="00C81558" w:rsidRPr="007C79DE" w14:paraId="4B9EDBC5" w14:textId="77777777" w:rsidTr="0055379D">
        <w:tblPrEx>
          <w:tblLook w:val="04A0" w:firstRow="1" w:lastRow="0" w:firstColumn="1" w:lastColumn="0" w:noHBand="0" w:noVBand="1"/>
        </w:tblPrEx>
        <w:trPr>
          <w:trHeight w:val="2959"/>
        </w:trPr>
        <w:tc>
          <w:tcPr>
            <w:tcW w:w="3397" w:type="dxa"/>
          </w:tcPr>
          <w:p w14:paraId="6B581151" w14:textId="3332FE20" w:rsidR="00C81558" w:rsidRPr="00533964" w:rsidRDefault="00C81558" w:rsidP="002F54AA">
            <w:pPr>
              <w:pStyle w:val="Texttable"/>
              <w:spacing w:before="0"/>
              <w:rPr>
                <w:rFonts w:ascii="Arial" w:hAnsi="Arial" w:cs="Arial"/>
                <w:b/>
                <w:sz w:val="20"/>
                <w:szCs w:val="20"/>
              </w:rPr>
            </w:pPr>
            <w:r w:rsidRPr="00533964">
              <w:rPr>
                <w:rFonts w:ascii="Arial" w:hAnsi="Arial" w:cs="Arial"/>
                <w:b/>
                <w:sz w:val="20"/>
                <w:szCs w:val="20"/>
              </w:rPr>
              <w:lastRenderedPageBreak/>
              <w:t>When can I start my project?</w:t>
            </w:r>
          </w:p>
        </w:tc>
        <w:tc>
          <w:tcPr>
            <w:tcW w:w="5954" w:type="dxa"/>
          </w:tcPr>
          <w:p w14:paraId="2C9D30CA" w14:textId="77777777" w:rsidR="00C81558" w:rsidRPr="007C79DE" w:rsidRDefault="00C81558" w:rsidP="00C81558">
            <w:pPr>
              <w:spacing w:after="80"/>
              <w:rPr>
                <w:rFonts w:ascii="Arial" w:hAnsi="Arial" w:cs="Arial"/>
              </w:rPr>
            </w:pPr>
            <w:r w:rsidRPr="007C79DE">
              <w:rPr>
                <w:rFonts w:ascii="Arial" w:hAnsi="Arial" w:cs="Arial"/>
              </w:rPr>
              <w:t>You cannot commence your project before you receive notification that your application is eligible and complete.</w:t>
            </w:r>
          </w:p>
          <w:p w14:paraId="25657034" w14:textId="77777777" w:rsidR="00C81558" w:rsidRPr="007C79DE" w:rsidRDefault="00C81558" w:rsidP="00C81558">
            <w:pPr>
              <w:spacing w:after="80"/>
              <w:rPr>
                <w:rFonts w:ascii="Arial" w:hAnsi="Arial" w:cs="Arial"/>
              </w:rPr>
            </w:pPr>
            <w:r w:rsidRPr="007C79DE">
              <w:rPr>
                <w:rFonts w:ascii="Arial" w:hAnsi="Arial" w:cs="Arial"/>
              </w:rPr>
              <w:t xml:space="preserve">You may elect to commence your project from the date we notify you that your application is eligible and complete. </w:t>
            </w:r>
          </w:p>
          <w:p w14:paraId="3F8E44EC" w14:textId="77777777" w:rsidR="00C81558" w:rsidRPr="007C79DE" w:rsidRDefault="00C81558" w:rsidP="00C81558">
            <w:pPr>
              <w:spacing w:after="80"/>
              <w:rPr>
                <w:rFonts w:ascii="Arial" w:hAnsi="Arial" w:cs="Arial"/>
              </w:rPr>
            </w:pPr>
            <w:r w:rsidRPr="007C79DE">
              <w:rPr>
                <w:rFonts w:ascii="Arial" w:hAnsi="Arial" w:cs="Arial"/>
              </w:rPr>
              <w:t xml:space="preserve">However, you do so at your own risk (your application may not be successful) and we are not responsible for any expenditure you incur until a grant agreement is executed.  </w:t>
            </w:r>
          </w:p>
          <w:p w14:paraId="4FF6D6E4" w14:textId="09B656F7" w:rsidR="00C81558" w:rsidRPr="007C79DE" w:rsidRDefault="00C81558" w:rsidP="00C81558">
            <w:pPr>
              <w:spacing w:after="80"/>
              <w:rPr>
                <w:rFonts w:ascii="Arial" w:hAnsi="Arial" w:cs="Arial"/>
              </w:rPr>
            </w:pPr>
            <w:r w:rsidRPr="007C79DE">
              <w:rPr>
                <w:rFonts w:ascii="Arial" w:hAnsi="Arial" w:cs="Arial"/>
              </w:rPr>
              <w:t xml:space="preserve">Further a determination that your project is eligible or the making of an offer of funding under the program </w:t>
            </w:r>
            <w:r w:rsidRPr="007C79DE">
              <w:rPr>
                <w:rFonts w:ascii="Arial" w:hAnsi="Arial" w:cs="Arial"/>
                <w:u w:val="single"/>
              </w:rPr>
              <w:t xml:space="preserve">does not </w:t>
            </w:r>
            <w:r w:rsidRPr="007C79DE">
              <w:rPr>
                <w:rFonts w:ascii="Arial" w:hAnsi="Arial" w:cs="Arial"/>
              </w:rPr>
              <w:t xml:space="preserve">mean that all activities and/or items of expenditure in your project are eligible and can be funded under the program.  </w:t>
            </w:r>
          </w:p>
        </w:tc>
      </w:tr>
    </w:tbl>
    <w:p w14:paraId="2861E078" w14:textId="77777777" w:rsidR="00213F34" w:rsidRPr="002F54AA" w:rsidRDefault="00213F34">
      <w:pPr>
        <w:rPr>
          <w:rFonts w:ascii="Arial" w:hAnsi="Arial" w:cs="Arial"/>
          <w:b/>
          <w:i/>
          <w:sz w:val="20"/>
          <w:szCs w:val="20"/>
        </w:rPr>
      </w:pPr>
    </w:p>
    <w:sectPr w:rsidR="00213F34" w:rsidRPr="002F54AA" w:rsidSect="009E48D3">
      <w:headerReference w:type="even" r:id="rId19"/>
      <w:headerReference w:type="default" r:id="rId20"/>
      <w:footerReference w:type="even" r:id="rId21"/>
      <w:footerReference w:type="default" r:id="rId22"/>
      <w:headerReference w:type="first" r:id="rId23"/>
      <w:footerReference w:type="first" r:id="rId24"/>
      <w:pgSz w:w="11906" w:h="16838"/>
      <w:pgMar w:top="996"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E660" w14:textId="77777777" w:rsidR="00AD2F47" w:rsidRDefault="00AD2F47" w:rsidP="001B2BC7">
      <w:pPr>
        <w:spacing w:after="0" w:line="240" w:lineRule="auto"/>
      </w:pPr>
      <w:r>
        <w:separator/>
      </w:r>
    </w:p>
  </w:endnote>
  <w:endnote w:type="continuationSeparator" w:id="0">
    <w:p w14:paraId="674CA85F" w14:textId="77777777" w:rsidR="00AD2F47" w:rsidRDefault="00AD2F47" w:rsidP="001B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0BC8" w14:textId="77777777" w:rsidR="00066409" w:rsidRDefault="00066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76454"/>
      <w:docPartObj>
        <w:docPartGallery w:val="Page Numbers (Bottom of Page)"/>
        <w:docPartUnique/>
      </w:docPartObj>
    </w:sdtPr>
    <w:sdtEndPr/>
    <w:sdtContent>
      <w:sdt>
        <w:sdtPr>
          <w:id w:val="1369259465"/>
          <w:docPartObj>
            <w:docPartGallery w:val="Page Numbers (Top of Page)"/>
            <w:docPartUnique/>
          </w:docPartObj>
        </w:sdtPr>
        <w:sdtEndPr/>
        <w:sdtContent>
          <w:p w14:paraId="278D673A" w14:textId="77777777" w:rsidR="00456ABE" w:rsidRPr="00456ABE" w:rsidRDefault="00456ABE">
            <w:pPr>
              <w:pStyle w:val="Footer"/>
              <w:jc w:val="right"/>
            </w:pPr>
            <w:r w:rsidRPr="00456ABE">
              <w:t xml:space="preserve">Page </w:t>
            </w:r>
            <w:r w:rsidRPr="00456ABE">
              <w:rPr>
                <w:bCs/>
                <w:sz w:val="24"/>
                <w:szCs w:val="24"/>
              </w:rPr>
              <w:fldChar w:fldCharType="begin"/>
            </w:r>
            <w:r w:rsidRPr="00456ABE">
              <w:rPr>
                <w:bCs/>
              </w:rPr>
              <w:instrText xml:space="preserve"> PAGE </w:instrText>
            </w:r>
            <w:r w:rsidRPr="00456ABE">
              <w:rPr>
                <w:bCs/>
                <w:sz w:val="24"/>
                <w:szCs w:val="24"/>
              </w:rPr>
              <w:fldChar w:fldCharType="separate"/>
            </w:r>
            <w:r w:rsidR="006E0151">
              <w:rPr>
                <w:bCs/>
                <w:noProof/>
              </w:rPr>
              <w:t>5</w:t>
            </w:r>
            <w:r w:rsidRPr="00456ABE">
              <w:rPr>
                <w:bCs/>
                <w:sz w:val="24"/>
                <w:szCs w:val="24"/>
              </w:rPr>
              <w:fldChar w:fldCharType="end"/>
            </w:r>
            <w:r w:rsidRPr="00456ABE">
              <w:t xml:space="preserve"> of </w:t>
            </w:r>
            <w:r w:rsidRPr="00456ABE">
              <w:rPr>
                <w:bCs/>
                <w:sz w:val="24"/>
                <w:szCs w:val="24"/>
              </w:rPr>
              <w:fldChar w:fldCharType="begin"/>
            </w:r>
            <w:r w:rsidRPr="00456ABE">
              <w:rPr>
                <w:bCs/>
              </w:rPr>
              <w:instrText xml:space="preserve"> NUMPAGES  </w:instrText>
            </w:r>
            <w:r w:rsidRPr="00456ABE">
              <w:rPr>
                <w:bCs/>
                <w:sz w:val="24"/>
                <w:szCs w:val="24"/>
              </w:rPr>
              <w:fldChar w:fldCharType="separate"/>
            </w:r>
            <w:r w:rsidR="006E0151">
              <w:rPr>
                <w:bCs/>
                <w:noProof/>
              </w:rPr>
              <w:t>5</w:t>
            </w:r>
            <w:r w:rsidRPr="00456ABE">
              <w:rPr>
                <w:bCs/>
                <w:sz w:val="24"/>
                <w:szCs w:val="24"/>
              </w:rPr>
              <w:fldChar w:fldCharType="end"/>
            </w:r>
          </w:p>
        </w:sdtContent>
      </w:sdt>
    </w:sdtContent>
  </w:sdt>
  <w:p w14:paraId="76BDE13A" w14:textId="2EFCC37A" w:rsidR="00456ABE" w:rsidRPr="00456ABE" w:rsidRDefault="00066409" w:rsidP="00066409">
    <w:pPr>
      <w:pStyle w:val="Footer"/>
      <w:jc w:val="center"/>
    </w:pPr>
    <w:r>
      <w:t>December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3876" w14:textId="77777777" w:rsidR="00066409" w:rsidRDefault="00066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F422" w14:textId="77777777" w:rsidR="00AD2F47" w:rsidRDefault="00AD2F47" w:rsidP="001B2BC7">
      <w:pPr>
        <w:spacing w:after="0" w:line="240" w:lineRule="auto"/>
      </w:pPr>
      <w:r>
        <w:separator/>
      </w:r>
    </w:p>
  </w:footnote>
  <w:footnote w:type="continuationSeparator" w:id="0">
    <w:p w14:paraId="55B11973" w14:textId="77777777" w:rsidR="00AD2F47" w:rsidRDefault="00AD2F47" w:rsidP="001B2BC7">
      <w:pPr>
        <w:spacing w:after="0" w:line="240" w:lineRule="auto"/>
      </w:pPr>
      <w:r>
        <w:continuationSeparator/>
      </w:r>
    </w:p>
  </w:footnote>
  <w:footnote w:id="1">
    <w:p w14:paraId="43E3C164" w14:textId="77777777" w:rsidR="00C81558" w:rsidRDefault="00C81558" w:rsidP="001B2BC7">
      <w:pPr>
        <w:pStyle w:val="FootnoteText"/>
      </w:pPr>
      <w:r>
        <w:rPr>
          <w:rStyle w:val="FootnoteReference"/>
        </w:rPr>
        <w:footnoteRef/>
      </w:r>
      <w:r>
        <w:t xml:space="preserve"> Note software development is not considered an eligible activity for funding under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FAB9" w14:textId="77777777" w:rsidR="00066409" w:rsidRDefault="00066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42863"/>
      <w:docPartObj>
        <w:docPartGallery w:val="Watermarks"/>
        <w:docPartUnique/>
      </w:docPartObj>
    </w:sdtPr>
    <w:sdtEndPr/>
    <w:sdtContent>
      <w:p w14:paraId="7609D383" w14:textId="7DA7A118" w:rsidR="00456ABE" w:rsidRDefault="006E0151">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7E45" w14:textId="77777777" w:rsidR="00066409" w:rsidRDefault="00066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40A1795"/>
    <w:multiLevelType w:val="multilevel"/>
    <w:tmpl w:val="D90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F54F2"/>
    <w:multiLevelType w:val="hybridMultilevel"/>
    <w:tmpl w:val="47AE5814"/>
    <w:lvl w:ilvl="0" w:tplc="0C090001">
      <w:start w:val="1"/>
      <w:numFmt w:val="bullet"/>
      <w:lvlText w:val=""/>
      <w:lvlJc w:val="left"/>
      <w:pPr>
        <w:ind w:left="1465" w:hanging="360"/>
      </w:pPr>
      <w:rPr>
        <w:rFonts w:ascii="Symbol" w:hAnsi="Symbol" w:hint="default"/>
      </w:rPr>
    </w:lvl>
    <w:lvl w:ilvl="1" w:tplc="0C090003" w:tentative="1">
      <w:start w:val="1"/>
      <w:numFmt w:val="bullet"/>
      <w:lvlText w:val="o"/>
      <w:lvlJc w:val="left"/>
      <w:pPr>
        <w:ind w:left="2185" w:hanging="360"/>
      </w:pPr>
      <w:rPr>
        <w:rFonts w:ascii="Courier New" w:hAnsi="Courier New" w:cs="Courier New" w:hint="default"/>
      </w:rPr>
    </w:lvl>
    <w:lvl w:ilvl="2" w:tplc="0C090005" w:tentative="1">
      <w:start w:val="1"/>
      <w:numFmt w:val="bullet"/>
      <w:lvlText w:val=""/>
      <w:lvlJc w:val="left"/>
      <w:pPr>
        <w:ind w:left="2905" w:hanging="360"/>
      </w:pPr>
      <w:rPr>
        <w:rFonts w:ascii="Wingdings" w:hAnsi="Wingdings" w:hint="default"/>
      </w:rPr>
    </w:lvl>
    <w:lvl w:ilvl="3" w:tplc="0C090001" w:tentative="1">
      <w:start w:val="1"/>
      <w:numFmt w:val="bullet"/>
      <w:lvlText w:val=""/>
      <w:lvlJc w:val="left"/>
      <w:pPr>
        <w:ind w:left="3625" w:hanging="360"/>
      </w:pPr>
      <w:rPr>
        <w:rFonts w:ascii="Symbol" w:hAnsi="Symbol" w:hint="default"/>
      </w:rPr>
    </w:lvl>
    <w:lvl w:ilvl="4" w:tplc="0C090003" w:tentative="1">
      <w:start w:val="1"/>
      <w:numFmt w:val="bullet"/>
      <w:lvlText w:val="o"/>
      <w:lvlJc w:val="left"/>
      <w:pPr>
        <w:ind w:left="4345" w:hanging="360"/>
      </w:pPr>
      <w:rPr>
        <w:rFonts w:ascii="Courier New" w:hAnsi="Courier New" w:cs="Courier New" w:hint="default"/>
      </w:rPr>
    </w:lvl>
    <w:lvl w:ilvl="5" w:tplc="0C090005" w:tentative="1">
      <w:start w:val="1"/>
      <w:numFmt w:val="bullet"/>
      <w:lvlText w:val=""/>
      <w:lvlJc w:val="left"/>
      <w:pPr>
        <w:ind w:left="5065" w:hanging="360"/>
      </w:pPr>
      <w:rPr>
        <w:rFonts w:ascii="Wingdings" w:hAnsi="Wingdings" w:hint="default"/>
      </w:rPr>
    </w:lvl>
    <w:lvl w:ilvl="6" w:tplc="0C090001" w:tentative="1">
      <w:start w:val="1"/>
      <w:numFmt w:val="bullet"/>
      <w:lvlText w:val=""/>
      <w:lvlJc w:val="left"/>
      <w:pPr>
        <w:ind w:left="5785" w:hanging="360"/>
      </w:pPr>
      <w:rPr>
        <w:rFonts w:ascii="Symbol" w:hAnsi="Symbol" w:hint="default"/>
      </w:rPr>
    </w:lvl>
    <w:lvl w:ilvl="7" w:tplc="0C090003" w:tentative="1">
      <w:start w:val="1"/>
      <w:numFmt w:val="bullet"/>
      <w:lvlText w:val="o"/>
      <w:lvlJc w:val="left"/>
      <w:pPr>
        <w:ind w:left="6505" w:hanging="360"/>
      </w:pPr>
      <w:rPr>
        <w:rFonts w:ascii="Courier New" w:hAnsi="Courier New" w:cs="Courier New" w:hint="default"/>
      </w:rPr>
    </w:lvl>
    <w:lvl w:ilvl="8" w:tplc="0C090005" w:tentative="1">
      <w:start w:val="1"/>
      <w:numFmt w:val="bullet"/>
      <w:lvlText w:val=""/>
      <w:lvlJc w:val="left"/>
      <w:pPr>
        <w:ind w:left="7225" w:hanging="360"/>
      </w:pPr>
      <w:rPr>
        <w:rFonts w:ascii="Wingdings" w:hAnsi="Wingdings" w:hint="default"/>
      </w:rPr>
    </w:lvl>
  </w:abstractNum>
  <w:abstractNum w:abstractNumId="3" w15:restartNumberingAfterBreak="0">
    <w:nsid w:val="70B92A2C"/>
    <w:multiLevelType w:val="multilevel"/>
    <w:tmpl w:val="6DFE2A86"/>
    <w:lvl w:ilvl="0">
      <w:start w:val="1"/>
      <w:numFmt w:val="decimal"/>
      <w:pStyle w:val="InstructionsHeading1"/>
      <w:lvlText w:val="%1."/>
      <w:lvlJc w:val="left"/>
      <w:pPr>
        <w:ind w:left="432" w:hanging="432"/>
      </w:pPr>
      <w:rPr>
        <w:rFonts w:asciiTheme="minorHAnsi" w:eastAsiaTheme="minorHAnsi" w:hAnsiTheme="minorHAnsi" w:cs="Arial"/>
      </w:rPr>
    </w:lvl>
    <w:lvl w:ilvl="1">
      <w:start w:val="1"/>
      <w:numFmt w:val="decimal"/>
      <w:pStyle w:val="InstructionsHeading2"/>
      <w:lvlText w:val="%1.%2"/>
      <w:lvlJc w:val="left"/>
      <w:pPr>
        <w:ind w:left="576" w:hanging="576"/>
      </w:pPr>
      <w:rPr>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2626721"/>
    <w:multiLevelType w:val="hybridMultilevel"/>
    <w:tmpl w:val="6F9A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A0355F"/>
    <w:multiLevelType w:val="hybridMultilevel"/>
    <w:tmpl w:val="80EC6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7"/>
    <w:rsid w:val="00040835"/>
    <w:rsid w:val="000463D5"/>
    <w:rsid w:val="00066409"/>
    <w:rsid w:val="000A0FC0"/>
    <w:rsid w:val="000E33FC"/>
    <w:rsid w:val="00116F5B"/>
    <w:rsid w:val="0013729D"/>
    <w:rsid w:val="00164BEE"/>
    <w:rsid w:val="00181F7A"/>
    <w:rsid w:val="001B2BC7"/>
    <w:rsid w:val="001E7D20"/>
    <w:rsid w:val="00204B81"/>
    <w:rsid w:val="00213F34"/>
    <w:rsid w:val="00240C0D"/>
    <w:rsid w:val="00255154"/>
    <w:rsid w:val="002F54AA"/>
    <w:rsid w:val="003161A0"/>
    <w:rsid w:val="00353F56"/>
    <w:rsid w:val="003E259D"/>
    <w:rsid w:val="00456ABE"/>
    <w:rsid w:val="004663F4"/>
    <w:rsid w:val="00533964"/>
    <w:rsid w:val="0055379D"/>
    <w:rsid w:val="005B4B39"/>
    <w:rsid w:val="005C0112"/>
    <w:rsid w:val="00675819"/>
    <w:rsid w:val="006E0151"/>
    <w:rsid w:val="007B3746"/>
    <w:rsid w:val="007C79DE"/>
    <w:rsid w:val="008068ED"/>
    <w:rsid w:val="008373D7"/>
    <w:rsid w:val="00843C0A"/>
    <w:rsid w:val="008A152B"/>
    <w:rsid w:val="00961BA0"/>
    <w:rsid w:val="00980B08"/>
    <w:rsid w:val="009D68F3"/>
    <w:rsid w:val="009E48D3"/>
    <w:rsid w:val="00A11656"/>
    <w:rsid w:val="00A2035B"/>
    <w:rsid w:val="00AA7771"/>
    <w:rsid w:val="00AD2F47"/>
    <w:rsid w:val="00AD4FCC"/>
    <w:rsid w:val="00B270B4"/>
    <w:rsid w:val="00C352DF"/>
    <w:rsid w:val="00C53CE2"/>
    <w:rsid w:val="00C81558"/>
    <w:rsid w:val="00C9526F"/>
    <w:rsid w:val="00CC0D8D"/>
    <w:rsid w:val="00CE7281"/>
    <w:rsid w:val="00D00E72"/>
    <w:rsid w:val="00D07BD1"/>
    <w:rsid w:val="00D266A6"/>
    <w:rsid w:val="00D717AB"/>
    <w:rsid w:val="00E57B48"/>
    <w:rsid w:val="00EF5514"/>
    <w:rsid w:val="00F01C98"/>
    <w:rsid w:val="00F1205A"/>
    <w:rsid w:val="00F94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3537F"/>
  <w15:chartTrackingRefBased/>
  <w15:docId w15:val="{6A88C715-7465-457A-B29E-BE1735B6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BA0"/>
    <w:pPr>
      <w:outlineLvl w:val="0"/>
    </w:pPr>
    <w:rPr>
      <w:rFonts w:ascii="Arial" w:hAnsi="Arial" w:cs="Arial"/>
      <w:color w:val="FF0000"/>
      <w:sz w:val="36"/>
      <w:szCs w:val="36"/>
    </w:rPr>
  </w:style>
  <w:style w:type="paragraph" w:styleId="Heading2">
    <w:name w:val="heading 2"/>
    <w:basedOn w:val="Normal"/>
    <w:next w:val="Normal"/>
    <w:link w:val="Heading2Char"/>
    <w:uiPriority w:val="9"/>
    <w:semiHidden/>
    <w:unhideWhenUsed/>
    <w:qFormat/>
    <w:rsid w:val="001B2B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Textindent"/>
    <w:unhideWhenUsed/>
    <w:qFormat/>
    <w:rsid w:val="001B2BC7"/>
    <w:pPr>
      <w:ind w:left="0"/>
    </w:pPr>
  </w:style>
  <w:style w:type="character" w:styleId="Hyperlink">
    <w:name w:val="Hyperlink"/>
    <w:basedOn w:val="DefaultParagraphFont"/>
    <w:uiPriority w:val="99"/>
    <w:unhideWhenUsed/>
    <w:rsid w:val="001B2BC7"/>
    <w:rPr>
      <w:color w:val="0563C1" w:themeColor="hyperlink"/>
      <w:u w:val="single"/>
    </w:rPr>
  </w:style>
  <w:style w:type="paragraph" w:customStyle="1" w:styleId="Textindent">
    <w:name w:val="Text indent"/>
    <w:basedOn w:val="Normal"/>
    <w:link w:val="TextindentChar"/>
    <w:qFormat/>
    <w:rsid w:val="001B2BC7"/>
    <w:pPr>
      <w:spacing w:after="120" w:line="240" w:lineRule="auto"/>
      <w:ind w:left="567"/>
    </w:pPr>
    <w:rPr>
      <w:sz w:val="24"/>
      <w:szCs w:val="24"/>
    </w:rPr>
  </w:style>
  <w:style w:type="character" w:customStyle="1" w:styleId="TextindentChar">
    <w:name w:val="Text indent Char"/>
    <w:basedOn w:val="DefaultParagraphFont"/>
    <w:link w:val="Textindent"/>
    <w:rsid w:val="001B2BC7"/>
    <w:rPr>
      <w:sz w:val="24"/>
      <w:szCs w:val="24"/>
    </w:rPr>
  </w:style>
  <w:style w:type="character" w:styleId="CommentReference">
    <w:name w:val="annotation reference"/>
    <w:basedOn w:val="DefaultParagraphFont"/>
    <w:uiPriority w:val="99"/>
    <w:semiHidden/>
    <w:unhideWhenUsed/>
    <w:rsid w:val="001B2BC7"/>
    <w:rPr>
      <w:sz w:val="16"/>
      <w:szCs w:val="16"/>
    </w:rPr>
  </w:style>
  <w:style w:type="paragraph" w:styleId="CommentText">
    <w:name w:val="annotation text"/>
    <w:basedOn w:val="Normal"/>
    <w:link w:val="CommentTextChar"/>
    <w:uiPriority w:val="99"/>
    <w:semiHidden/>
    <w:unhideWhenUsed/>
    <w:rsid w:val="001B2BC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B2BC7"/>
    <w:rPr>
      <w:sz w:val="20"/>
      <w:szCs w:val="20"/>
    </w:rPr>
  </w:style>
  <w:style w:type="paragraph" w:customStyle="1" w:styleId="InstructionsHeading1">
    <w:name w:val="InstructionsHeading1"/>
    <w:basedOn w:val="Heading1"/>
    <w:qFormat/>
    <w:rsid w:val="001B2BC7"/>
    <w:pPr>
      <w:numPr>
        <w:numId w:val="1"/>
      </w:numPr>
      <w:tabs>
        <w:tab w:val="num" w:pos="360"/>
        <w:tab w:val="left" w:pos="567"/>
      </w:tabs>
      <w:spacing w:before="480" w:line="240" w:lineRule="auto"/>
      <w:ind w:left="0" w:firstLine="0"/>
    </w:pPr>
    <w:rPr>
      <w:rFonts w:asciiTheme="minorHAnsi" w:hAnsiTheme="minorHAnsi"/>
      <w:b/>
      <w:color w:val="264F90"/>
      <w:szCs w:val="56"/>
    </w:rPr>
  </w:style>
  <w:style w:type="paragraph" w:customStyle="1" w:styleId="InstructionsHeading2">
    <w:name w:val="InstructionsHeading2"/>
    <w:basedOn w:val="Heading2"/>
    <w:link w:val="InstructionsHeading2Char"/>
    <w:qFormat/>
    <w:rsid w:val="001B2BC7"/>
    <w:pPr>
      <w:keepLines w:val="0"/>
      <w:numPr>
        <w:ilvl w:val="1"/>
        <w:numId w:val="1"/>
      </w:numPr>
      <w:tabs>
        <w:tab w:val="left" w:pos="1134"/>
      </w:tabs>
      <w:spacing w:before="480" w:line="240" w:lineRule="auto"/>
    </w:pPr>
    <w:rPr>
      <w:rFonts w:cs="Arial"/>
      <w:b/>
      <w:color w:val="264F90"/>
      <w:sz w:val="28"/>
      <w:szCs w:val="28"/>
    </w:rPr>
  </w:style>
  <w:style w:type="character" w:customStyle="1" w:styleId="InstructionsHeading2Char">
    <w:name w:val="InstructionsHeading2 Char"/>
    <w:basedOn w:val="Heading2Char"/>
    <w:link w:val="InstructionsHeading2"/>
    <w:rsid w:val="001B2BC7"/>
    <w:rPr>
      <w:rFonts w:asciiTheme="majorHAnsi" w:eastAsiaTheme="majorEastAsia" w:hAnsiTheme="majorHAnsi" w:cs="Arial"/>
      <w:b/>
      <w:color w:val="264F90"/>
      <w:sz w:val="28"/>
      <w:szCs w:val="28"/>
    </w:rPr>
  </w:style>
  <w:style w:type="character" w:customStyle="1" w:styleId="Heading1Char">
    <w:name w:val="Heading 1 Char"/>
    <w:basedOn w:val="DefaultParagraphFont"/>
    <w:link w:val="Heading1"/>
    <w:uiPriority w:val="9"/>
    <w:rsid w:val="00961BA0"/>
    <w:rPr>
      <w:rFonts w:ascii="Arial" w:hAnsi="Arial" w:cs="Arial"/>
      <w:color w:val="FF0000"/>
      <w:sz w:val="36"/>
      <w:szCs w:val="36"/>
    </w:rPr>
  </w:style>
  <w:style w:type="character" w:customStyle="1" w:styleId="Heading2Char">
    <w:name w:val="Heading 2 Char"/>
    <w:basedOn w:val="DefaultParagraphFont"/>
    <w:link w:val="Heading2"/>
    <w:uiPriority w:val="9"/>
    <w:semiHidden/>
    <w:rsid w:val="001B2BC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B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BC7"/>
    <w:rPr>
      <w:rFonts w:ascii="Segoe UI" w:hAnsi="Segoe UI" w:cs="Segoe UI"/>
      <w:sz w:val="18"/>
      <w:szCs w:val="18"/>
    </w:rPr>
  </w:style>
  <w:style w:type="paragraph" w:customStyle="1" w:styleId="TableHeader">
    <w:name w:val="Table Header"/>
    <w:basedOn w:val="Normal"/>
    <w:qFormat/>
    <w:rsid w:val="001B2BC7"/>
    <w:pPr>
      <w:spacing w:before="60" w:after="60" w:line="240" w:lineRule="auto"/>
      <w:jc w:val="center"/>
    </w:pPr>
    <w:rPr>
      <w:rFonts w:ascii="Arial" w:eastAsia="Times New Roman" w:hAnsi="Arial" w:cs="Arial"/>
      <w:b/>
      <w:color w:val="FFFFFF"/>
      <w:szCs w:val="24"/>
      <w:lang w:eastAsia="en-AU"/>
    </w:rPr>
  </w:style>
  <w:style w:type="table" w:customStyle="1" w:styleId="TableGrid1">
    <w:name w:val="Table Grid1"/>
    <w:basedOn w:val="TableNormal"/>
    <w:next w:val="TableGrid"/>
    <w:uiPriority w:val="59"/>
    <w:rsid w:val="001B2B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
    <w:name w:val="Text table"/>
    <w:basedOn w:val="Normal"/>
    <w:link w:val="TexttableChar"/>
    <w:qFormat/>
    <w:rsid w:val="001B2BC7"/>
    <w:pPr>
      <w:spacing w:before="120" w:after="120" w:line="240" w:lineRule="auto"/>
    </w:pPr>
    <w:rPr>
      <w:sz w:val="24"/>
      <w:szCs w:val="24"/>
    </w:rPr>
  </w:style>
  <w:style w:type="character" w:customStyle="1" w:styleId="TexttableChar">
    <w:name w:val="Text table Char"/>
    <w:basedOn w:val="DefaultParagraphFont"/>
    <w:link w:val="Texttable"/>
    <w:rsid w:val="001B2BC7"/>
    <w:rPr>
      <w:sz w:val="24"/>
      <w:szCs w:val="24"/>
    </w:rPr>
  </w:style>
  <w:style w:type="paragraph" w:styleId="FootnoteText">
    <w:name w:val="footnote text"/>
    <w:basedOn w:val="Normal"/>
    <w:link w:val="FootnoteTextChar1"/>
    <w:autoRedefine/>
    <w:uiPriority w:val="99"/>
    <w:qFormat/>
    <w:rsid w:val="001B2BC7"/>
    <w:pPr>
      <w:tabs>
        <w:tab w:val="left" w:pos="4590"/>
        <w:tab w:val="right" w:pos="9450"/>
      </w:tabs>
      <w:spacing w:before="40" w:after="120" w:line="240" w:lineRule="atLeast"/>
    </w:pPr>
    <w:rPr>
      <w:rFonts w:ascii="Arial" w:eastAsia="Times New Roman" w:hAnsi="Arial" w:cs="Times New Roman"/>
      <w:iCs/>
      <w:sz w:val="16"/>
      <w:szCs w:val="24"/>
    </w:rPr>
  </w:style>
  <w:style w:type="character" w:customStyle="1" w:styleId="FootnoteTextChar">
    <w:name w:val="Footnote Text Char"/>
    <w:basedOn w:val="DefaultParagraphFont"/>
    <w:uiPriority w:val="99"/>
    <w:semiHidden/>
    <w:rsid w:val="001B2BC7"/>
    <w:rPr>
      <w:sz w:val="20"/>
      <w:szCs w:val="20"/>
    </w:rPr>
  </w:style>
  <w:style w:type="character" w:customStyle="1" w:styleId="FootnoteTextChar1">
    <w:name w:val="Footnote Text Char1"/>
    <w:basedOn w:val="DefaultParagraphFont"/>
    <w:link w:val="FootnoteText"/>
    <w:uiPriority w:val="99"/>
    <w:rsid w:val="001B2BC7"/>
    <w:rPr>
      <w:rFonts w:ascii="Arial" w:eastAsia="Times New Roman" w:hAnsi="Arial" w:cs="Times New Roman"/>
      <w:iCs/>
      <w:sz w:val="16"/>
      <w:szCs w:val="24"/>
    </w:rPr>
  </w:style>
  <w:style w:type="character" w:styleId="FootnoteReference">
    <w:name w:val="footnote reference"/>
    <w:basedOn w:val="DefaultParagraphFont"/>
    <w:uiPriority w:val="99"/>
    <w:rsid w:val="001B2BC7"/>
    <w:rPr>
      <w:rFonts w:cs="Times New Roman"/>
      <w:vertAlign w:val="superscript"/>
    </w:rPr>
  </w:style>
  <w:style w:type="paragraph" w:styleId="ListParagraph">
    <w:name w:val="List Paragraph"/>
    <w:aliases w:val="List Paragraph1,Recommendation,List Paragraph11,L,bullet point list,1 heading,Bullet point,Dot point 1.5 line spacing,List Paragraph - bullets,NFP GP Bulleted List,Bulletr List Paragraph,CV text,Dot pt,F5 List Paragraph,FooterText,Bullets"/>
    <w:basedOn w:val="Normal"/>
    <w:link w:val="ListParagraphChar"/>
    <w:uiPriority w:val="34"/>
    <w:qFormat/>
    <w:rsid w:val="001B2BC7"/>
    <w:pPr>
      <w:spacing w:after="200" w:line="276" w:lineRule="auto"/>
      <w:ind w:left="720"/>
      <w:contextualSpacing/>
    </w:pPr>
  </w:style>
  <w:style w:type="character" w:styleId="FollowedHyperlink">
    <w:name w:val="FollowedHyperlink"/>
    <w:basedOn w:val="DefaultParagraphFont"/>
    <w:uiPriority w:val="99"/>
    <w:semiHidden/>
    <w:unhideWhenUsed/>
    <w:rsid w:val="00456ABE"/>
    <w:rPr>
      <w:color w:val="954F72" w:themeColor="followedHyperlink"/>
      <w:u w:val="single"/>
    </w:rPr>
  </w:style>
  <w:style w:type="paragraph" w:styleId="Header">
    <w:name w:val="header"/>
    <w:basedOn w:val="Normal"/>
    <w:link w:val="HeaderChar"/>
    <w:uiPriority w:val="99"/>
    <w:unhideWhenUsed/>
    <w:rsid w:val="00456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ABE"/>
  </w:style>
  <w:style w:type="paragraph" w:styleId="Footer">
    <w:name w:val="footer"/>
    <w:basedOn w:val="Normal"/>
    <w:link w:val="FooterChar"/>
    <w:uiPriority w:val="99"/>
    <w:unhideWhenUsed/>
    <w:rsid w:val="0045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ABE"/>
  </w:style>
  <w:style w:type="paragraph" w:styleId="Title">
    <w:name w:val="Title"/>
    <w:basedOn w:val="Normal"/>
    <w:next w:val="Normal"/>
    <w:link w:val="TitleChar"/>
    <w:qFormat/>
    <w:rsid w:val="009E48D3"/>
    <w:pPr>
      <w:pBdr>
        <w:top w:val="single" w:sz="36" w:space="15" w:color="E5B13D"/>
        <w:bottom w:val="single" w:sz="36" w:space="10" w:color="264F90"/>
      </w:pBdr>
      <w:shd w:val="clear" w:color="auto" w:fill="264F90"/>
      <w:spacing w:before="40" w:after="480" w:line="280" w:lineRule="atLeast"/>
      <w:ind w:firstLine="1219"/>
    </w:pPr>
    <w:rPr>
      <w:rFonts w:ascii="Arial" w:hAnsi="Arial" w:cs="Arial"/>
      <w:color w:val="FFFFFF" w:themeColor="background1"/>
      <w:spacing w:val="16"/>
      <w:sz w:val="36"/>
      <w:szCs w:val="36"/>
    </w:rPr>
  </w:style>
  <w:style w:type="character" w:customStyle="1" w:styleId="TitleChar">
    <w:name w:val="Title Char"/>
    <w:basedOn w:val="DefaultParagraphFont"/>
    <w:link w:val="Title"/>
    <w:rsid w:val="009E48D3"/>
    <w:rPr>
      <w:rFonts w:ascii="Arial" w:hAnsi="Arial" w:cs="Arial"/>
      <w:color w:val="FFFFFF" w:themeColor="background1"/>
      <w:spacing w:val="16"/>
      <w:sz w:val="36"/>
      <w:szCs w:val="36"/>
      <w:shd w:val="clear" w:color="auto" w:fill="264F90"/>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CV text Char"/>
    <w:link w:val="ListParagraph"/>
    <w:uiPriority w:val="34"/>
    <w:locked/>
    <w:rsid w:val="00AA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C351.8C5905A0" TargetMode="External"/><Relationship Id="rId18" Type="http://schemas.openxmlformats.org/officeDocument/2006/relationships/hyperlink" Target="mailto:MMF@industry.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MF@industry.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MF@industry.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yber.gov.au/news/updates-essential-eight-maturity-mode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tectivesecurity.gov.au/Pages/defaul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0ed6015731f44198cfcc1cde267fc45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f9f1577e8a221d792d34360ab5e83d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dexed="true"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Frequently Asked Questions</TermName>
          <TermId>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OFFICIAL:Sensitive</TermName>
          <TermId>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MMF</TermName>
          <TermId>555efefc-191c-4c6b-9df9-c7d2c4d296eb</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TaxCatchAll xmlns="2a251b7e-61e4-4816-a71f-b295a9ad20fb">
      <Value>28949</Value>
      <Value>29094</Value>
      <Value>5063</Value>
      <Value>8</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ROUND 2</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D122-189D-4422-9A7E-239F247916A6}">
  <ds:schemaRefs>
    <ds:schemaRef ds:uri="http://schemas.microsoft.com/sharepoint/events"/>
  </ds:schemaRefs>
</ds:datastoreItem>
</file>

<file path=customXml/itemProps2.xml><?xml version="1.0" encoding="utf-8"?>
<ds:datastoreItem xmlns:ds="http://schemas.openxmlformats.org/officeDocument/2006/customXml" ds:itemID="{7ECC7C87-13CB-4FE1-A0F9-8A52BF67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DF674-8F5D-4BB9-8C5E-93423F18A03C}">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FC10D4-6236-4764-BE80-2D7DEFA6C3E2}">
  <ds:schemaRefs>
    <ds:schemaRef ds:uri="http://schemas.microsoft.com/sharepoint/v3/contenttype/forms"/>
  </ds:schemaRefs>
</ds:datastoreItem>
</file>

<file path=customXml/itemProps5.xml><?xml version="1.0" encoding="utf-8"?>
<ds:datastoreItem xmlns:ds="http://schemas.openxmlformats.org/officeDocument/2006/customXml" ds:itemID="{AA89E36E-3959-4093-B1A2-AB443F6F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Manufacturing Modernisation Fund Round 2 Frequently Asked Questions</vt:lpstr>
    </vt:vector>
  </TitlesOfParts>
  <Company>Department of Industry, Innovation and Science</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Modernisation Fund Round 2 Frequently Asked Questions</dc:title>
  <dc:subject/>
  <dc:creator/>
  <cp:keywords/>
  <dc:description/>
  <cp:lastModifiedBy>Cooper, Colin</cp:lastModifiedBy>
  <cp:revision>7</cp:revision>
  <cp:lastPrinted>2020-12-03T01:00:00Z</cp:lastPrinted>
  <dcterms:created xsi:type="dcterms:W3CDTF">2020-12-03T00:37:00Z</dcterms:created>
  <dcterms:modified xsi:type="dcterms:W3CDTF">2020-12-03T01:01:00Z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DocHub_Year">
    <vt:lpwstr>28949;#2020|6a3660c5-15bd-4052-a0a1-6237663b7600</vt:lpwstr>
  </property>
  <property fmtid="{D5CDD505-2E9C-101B-9397-08002B2CF9AE}" pid="4" name="DocHub_DocumentType">
    <vt:lpwstr>5063;#Frequently Asked Questions|752e88a4-b1d1-4a20-8d2b-1e0e29e3494a</vt:lpwstr>
  </property>
  <property fmtid="{D5CDD505-2E9C-101B-9397-08002B2CF9AE}" pid="5" name="DocHub_SecurityClassification">
    <vt:lpwstr>8;#OFFICIAL:Sensitive|11f6fb0b-52ce-4109-8f7f-521b2a62f692</vt:lpwstr>
  </property>
  <property fmtid="{D5CDD505-2E9C-101B-9397-08002B2CF9AE}" pid="6" name="DocHub_Keywords">
    <vt:lpwstr>29094;#MMF|555efefc-191c-4c6b-9df9-c7d2c4d296eb</vt:lpwstr>
  </property>
  <property fmtid="{D5CDD505-2E9C-101B-9397-08002B2CF9AE}" pid="7" name="DocHub_WorkActivity">
    <vt:lpwstr/>
  </property>
  <property fmtid="{D5CDD505-2E9C-101B-9397-08002B2CF9AE}" pid="8" name="DocHub_EntityCustomer">
    <vt:lpwstr/>
  </property>
</Properties>
</file>