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5176735" w:displacedByCustomXml="next"/>
    <w:bookmarkStart w:id="1" w:name="_Toc144911604" w:displacedByCustomXml="next"/>
    <w:bookmarkStart w:id="2" w:name="_Toc19289801" w:displacedByCustomXml="next"/>
    <w:sdt>
      <w:sdtPr>
        <w:id w:val="-2088995269"/>
        <w:docPartObj>
          <w:docPartGallery w:val="Cover Pages"/>
          <w:docPartUnique/>
        </w:docPartObj>
      </w:sdtPr>
      <w:sdtEndPr/>
      <w:sdtContent>
        <w:bookmarkEnd w:id="0" w:displacedByCustomXml="next"/>
        <w:bookmarkEnd w:id="1" w:displacedByCustomXml="next"/>
        <w:bookmarkEnd w:id="2" w:displacedByCustomXml="next"/>
        <w:sdt>
          <w:sdtPr>
            <w:alias w:val="Title"/>
            <w:tag w:val=""/>
            <w:id w:val="-856345196"/>
            <w:placeholder>
              <w:docPart w:val="71986B45844B4990BC6B7097CC6940AD"/>
            </w:placeholder>
            <w:dataBinding w:prefixMappings="xmlns:ns0='http://purl.org/dc/elements/1.1/' xmlns:ns1='http://schemas.openxmlformats.org/package/2006/metadata/core-properties' " w:xpath="/ns1:coreProperties[1]/ns0:title[1]" w:storeItemID="{6C3C8BC8-F283-45AE-878A-BAB7291924A1}"/>
            <w:text/>
          </w:sdtPr>
          <w:sdtEndPr/>
          <w:sdtContent>
            <w:p w14:paraId="0B7559B1" w14:textId="5953CF43" w:rsidR="0068286F" w:rsidRPr="00BC6C16" w:rsidRDefault="00F25A4A" w:rsidP="00F25A4A">
              <w:pPr>
                <w:pStyle w:val="Heading1"/>
                <w:spacing w:before="100" w:after="100"/>
                <w:contextualSpacing w:val="0"/>
              </w:pPr>
              <w:r w:rsidRPr="00F25A4A">
                <w:t>Customs Act 1901</w:t>
              </w:r>
            </w:p>
          </w:sdtContent>
        </w:sdt>
      </w:sdtContent>
    </w:sdt>
    <w:p w14:paraId="5B9A198D" w14:textId="16A772E9" w:rsidR="00B400E0" w:rsidRPr="00BC6C16" w:rsidRDefault="00F25A4A" w:rsidP="00F25A4A">
      <w:pPr>
        <w:pStyle w:val="Subtitle"/>
        <w:spacing w:before="100" w:after="220"/>
        <w:sectPr w:rsidR="00B400E0" w:rsidRPr="00BC6C16" w:rsidSect="00F25A4A">
          <w:headerReference w:type="default" r:id="rId12"/>
          <w:footerReference w:type="default" r:id="rId13"/>
          <w:headerReference w:type="first" r:id="rId14"/>
          <w:footerReference w:type="first" r:id="rId15"/>
          <w:pgSz w:w="11906" w:h="16838"/>
          <w:pgMar w:top="720" w:right="720" w:bottom="720" w:left="720" w:header="510" w:footer="510" w:gutter="0"/>
          <w:cols w:space="708"/>
          <w:docGrid w:linePitch="360"/>
        </w:sectPr>
      </w:pPr>
      <w:r w:rsidRPr="00F25A4A">
        <w:t>If your project involves bringing goods into or out of Australia, you may require approval before import or export occurs and your goods must be cleared through customs in accordance with this Act</w:t>
      </w:r>
      <w:r w:rsidR="007F5051" w:rsidRPr="00BC6C16">
        <w:t xml:space="preserve">. </w:t>
      </w:r>
    </w:p>
    <w:p w14:paraId="1E1085AC" w14:textId="0B407E83" w:rsidR="007F5051" w:rsidRPr="00BC6C16" w:rsidRDefault="007F5051" w:rsidP="00F25A4A">
      <w:pPr>
        <w:pStyle w:val="Heading2"/>
        <w:spacing w:before="100" w:after="100"/>
      </w:pPr>
      <w:r w:rsidRPr="00BC6C16">
        <w:t>1. What approvals do I need?</w:t>
      </w:r>
    </w:p>
    <w:p w14:paraId="491BA305" w14:textId="552556C9" w:rsidR="00F25A4A" w:rsidRPr="00FB286A" w:rsidRDefault="00F25A4A" w:rsidP="00F25A4A">
      <w:pPr>
        <w:spacing w:before="100" w:after="100"/>
      </w:pPr>
      <w:r w:rsidRPr="00FB286A">
        <w:rPr>
          <w:rFonts w:cstheme="minorHAnsi"/>
        </w:rPr>
        <w:t xml:space="preserve">A </w:t>
      </w:r>
      <w:r w:rsidRPr="00FB286A">
        <w:t xml:space="preserve">permit, </w:t>
      </w:r>
      <w:r w:rsidRPr="00FB286A">
        <w:rPr>
          <w:rFonts w:cstheme="minorHAnsi"/>
        </w:rPr>
        <w:t>licence,</w:t>
      </w:r>
      <w:r w:rsidRPr="00FB286A">
        <w:t xml:space="preserve"> </w:t>
      </w:r>
      <w:r w:rsidRPr="00FB286A">
        <w:rPr>
          <w:rFonts w:cstheme="minorHAnsi"/>
        </w:rPr>
        <w:t xml:space="preserve">or written permission is </w:t>
      </w:r>
      <w:r w:rsidRPr="00FB286A">
        <w:t xml:space="preserve">required before certain goods </w:t>
      </w:r>
      <w:r w:rsidRPr="00FB286A">
        <w:rPr>
          <w:rFonts w:cstheme="minorHAnsi"/>
        </w:rPr>
        <w:t xml:space="preserve">can be imported into or exported from Australia under the </w:t>
      </w:r>
      <w:hyperlink r:id="rId16" w:history="1">
        <w:r w:rsidRPr="00FB286A">
          <w:rPr>
            <w:rStyle w:val="Hyperlink"/>
            <w:i/>
            <w:iCs/>
          </w:rPr>
          <w:t>Customs Act 1901</w:t>
        </w:r>
      </w:hyperlink>
      <w:r w:rsidRPr="00FB286A">
        <w:rPr>
          <w:rFonts w:cstheme="minorHAnsi"/>
        </w:rPr>
        <w:t xml:space="preserve"> (the Act). Generally, all goods require clearance from the Australian Border Force (ABF) before export can occur and prior to receipt upon import. Individual </w:t>
      </w:r>
      <w:hyperlink r:id="rId17" w:history="1">
        <w:r w:rsidRPr="00FB286A">
          <w:rPr>
            <w:rStyle w:val="Hyperlink"/>
            <w:rFonts w:cstheme="minorHAnsi"/>
          </w:rPr>
          <w:t xml:space="preserve">labelling </w:t>
        </w:r>
        <w:r w:rsidRPr="00FB286A">
          <w:rPr>
            <w:rStyle w:val="Hyperlink"/>
          </w:rPr>
          <w:t>requirements</w:t>
        </w:r>
      </w:hyperlink>
      <w:r w:rsidRPr="00FB286A">
        <w:rPr>
          <w:rFonts w:cstheme="minorHAnsi"/>
        </w:rPr>
        <w:t xml:space="preserve"> may also apply to imported goods.</w:t>
      </w:r>
    </w:p>
    <w:p w14:paraId="4449E077" w14:textId="6258B8F7" w:rsidR="00F25A4A" w:rsidRPr="00FB286A" w:rsidRDefault="00F25A4A" w:rsidP="00F25A4A">
      <w:pPr>
        <w:spacing w:before="100" w:after="100"/>
      </w:pPr>
      <w:r w:rsidRPr="00FB286A">
        <w:t xml:space="preserve">If goods are considered to be </w:t>
      </w:r>
      <w:hyperlink r:id="rId18" w:history="1">
        <w:r w:rsidRPr="00FB286A">
          <w:rPr>
            <w:rStyle w:val="Hyperlink"/>
            <w:rFonts w:cstheme="minorHAnsi"/>
          </w:rPr>
          <w:t>prohibited goods</w:t>
        </w:r>
      </w:hyperlink>
      <w:r w:rsidRPr="00FB286A">
        <w:rPr>
          <w:rStyle w:val="Hyperlink"/>
          <w:rFonts w:cstheme="minorHAnsi"/>
          <w:color w:val="auto"/>
        </w:rPr>
        <w:t>,</w:t>
      </w:r>
      <w:r w:rsidRPr="00FB286A">
        <w:t xml:space="preserve"> their importation or exportation is either prohibited entirely or must be authorised through a specific permit or other form of approval. Individual approval requirements will depend on the goods. Goods subject to prohibition or restriction for import or export are </w:t>
      </w:r>
      <w:r w:rsidRPr="00FB286A">
        <w:rPr>
          <w:color w:val="000000"/>
        </w:rPr>
        <w:t xml:space="preserve">specified within the </w:t>
      </w:r>
      <w:hyperlink r:id="rId19" w:history="1">
        <w:r w:rsidRPr="00FB286A">
          <w:rPr>
            <w:rStyle w:val="Hyperlink"/>
          </w:rPr>
          <w:t>Customs (Prohibited Imports) Regulations 1956</w:t>
        </w:r>
      </w:hyperlink>
      <w:r w:rsidRPr="00FB286A">
        <w:t xml:space="preserve"> and the </w:t>
      </w:r>
      <w:hyperlink r:id="rId20" w:history="1">
        <w:r w:rsidRPr="00FB286A">
          <w:rPr>
            <w:rStyle w:val="Hyperlink"/>
          </w:rPr>
          <w:t>Customs (Prohibited Exports) Regulations 1958</w:t>
        </w:r>
      </w:hyperlink>
      <w:r w:rsidRPr="00FB286A">
        <w:t xml:space="preserve">. </w:t>
      </w:r>
    </w:p>
    <w:p w14:paraId="6135136A" w14:textId="77777777" w:rsidR="00F25A4A" w:rsidRPr="00F25A4A" w:rsidRDefault="00F25A4A" w:rsidP="00F25A4A">
      <w:pPr>
        <w:spacing w:before="100" w:after="100"/>
      </w:pPr>
      <w:r w:rsidRPr="00F25A4A">
        <w:t xml:space="preserve">Details of the relevant regulators and approvals associated with individual prohibited goods are available on the </w:t>
      </w:r>
      <w:hyperlink r:id="rId21" w:history="1">
        <w:r w:rsidRPr="00F25A4A">
          <w:rPr>
            <w:rStyle w:val="Hyperlink"/>
          </w:rPr>
          <w:t>prohibited goods list</w:t>
        </w:r>
      </w:hyperlink>
      <w:r w:rsidRPr="00F25A4A">
        <w:t xml:space="preserve"> on the ABF website.</w:t>
      </w:r>
    </w:p>
    <w:p w14:paraId="4C36AFB6" w14:textId="77777777" w:rsidR="00F25A4A" w:rsidRPr="00F25A4A" w:rsidRDefault="00F25A4A" w:rsidP="00F25A4A">
      <w:pPr>
        <w:spacing w:before="100" w:after="100"/>
        <w:rPr>
          <w:rStyle w:val="IntenseEmphasis"/>
          <w:b w:val="0"/>
          <w:bCs w:val="0"/>
          <w:i w:val="0"/>
          <w:iCs w:val="0"/>
        </w:rPr>
      </w:pPr>
      <w:r w:rsidRPr="00F25A4A">
        <w:rPr>
          <w:rFonts w:cstheme="minorHAnsi"/>
        </w:rPr>
        <w:t xml:space="preserve">To be cleared by the ABF, imported goods must be entered for either home consumption or warehousing using an applicable </w:t>
      </w:r>
      <w:hyperlink r:id="rId22" w:history="1">
        <w:r w:rsidRPr="00F25A4A">
          <w:rPr>
            <w:rStyle w:val="Hyperlink"/>
            <w:rFonts w:cstheme="minorHAnsi"/>
          </w:rPr>
          <w:t>declaration</w:t>
        </w:r>
      </w:hyperlink>
      <w:r w:rsidRPr="00F25A4A">
        <w:rPr>
          <w:rFonts w:cstheme="minorHAnsi"/>
        </w:rPr>
        <w:t xml:space="preserve">, unless an exemption applies. To receive clearance for export, all </w:t>
      </w:r>
      <w:r w:rsidRPr="00F25A4A">
        <w:rPr>
          <w:rStyle w:val="IntenseEmphasis"/>
          <w:b w:val="0"/>
          <w:bCs w:val="0"/>
          <w:i w:val="0"/>
          <w:iCs w:val="0"/>
        </w:rPr>
        <w:t xml:space="preserve">goods must be reported through an </w:t>
      </w:r>
      <w:hyperlink r:id="rId23" w:history="1">
        <w:r w:rsidRPr="00F25A4A">
          <w:rPr>
            <w:rStyle w:val="Hyperlink"/>
          </w:rPr>
          <w:t>Export Declaration</w:t>
        </w:r>
      </w:hyperlink>
      <w:r w:rsidRPr="00F25A4A">
        <w:rPr>
          <w:rStyle w:val="IntenseEmphasis"/>
          <w:b w:val="0"/>
          <w:bCs w:val="0"/>
          <w:i w:val="0"/>
          <w:iCs w:val="0"/>
        </w:rPr>
        <w:t xml:space="preserve"> unless exempt. </w:t>
      </w:r>
    </w:p>
    <w:p w14:paraId="5CF31B41" w14:textId="10C52E8E" w:rsidR="00B400E0" w:rsidRPr="00F25A4A" w:rsidRDefault="00F25A4A" w:rsidP="00F25A4A">
      <w:pPr>
        <w:spacing w:before="100" w:after="100"/>
        <w:rPr>
          <w:color w:val="001B35" w:themeColor="accent1"/>
        </w:rPr>
      </w:pPr>
      <w:r w:rsidRPr="00F25A4A">
        <w:rPr>
          <w:rStyle w:val="IntenseEmphasis"/>
          <w:b w:val="0"/>
          <w:bCs w:val="0"/>
          <w:i w:val="0"/>
          <w:iCs w:val="0"/>
        </w:rPr>
        <w:t xml:space="preserve">For further guidance on different import and export requirements and processes, please refer to fact sheets, guides and manuals available on the ABF </w:t>
      </w:r>
      <w:hyperlink r:id="rId24" w:history="1">
        <w:r w:rsidRPr="00F25A4A">
          <w:rPr>
            <w:rStyle w:val="Hyperlink"/>
          </w:rPr>
          <w:t>website</w:t>
        </w:r>
      </w:hyperlink>
      <w:r w:rsidR="00934A4A" w:rsidRPr="00F25A4A">
        <w:rPr>
          <w:rFonts w:ascii="Aptos" w:hAnsi="Aptos"/>
          <w:szCs w:val="20"/>
        </w:rPr>
        <w:t>.</w:t>
      </w:r>
    </w:p>
    <w:p w14:paraId="65E07AF2" w14:textId="5CD67D61" w:rsidR="007F5051" w:rsidRPr="00B400E0" w:rsidRDefault="007F5051" w:rsidP="00F25A4A">
      <w:pPr>
        <w:pStyle w:val="Heading2"/>
        <w:spacing w:before="100" w:after="100"/>
      </w:pPr>
      <w:r w:rsidRPr="00B400E0">
        <w:t>2. Who provides the approvals?</w:t>
      </w:r>
    </w:p>
    <w:p w14:paraId="098B8C2C" w14:textId="77777777" w:rsidR="00F25A4A" w:rsidRPr="00FB286A" w:rsidRDefault="00F25A4A" w:rsidP="00F25A4A">
      <w:pPr>
        <w:spacing w:before="100" w:after="100"/>
        <w:rPr>
          <w:rStyle w:val="IntenseEmphasis"/>
          <w:b w:val="0"/>
          <w:bCs w:val="0"/>
          <w:i w:val="0"/>
          <w:iCs w:val="0"/>
        </w:rPr>
      </w:pPr>
      <w:r w:rsidRPr="00FB286A">
        <w:t>The ABF, within the Department of Home Affairs, is Australia’s customs service and administers most of the</w:t>
      </w:r>
    </w:p>
    <w:p w14:paraId="68FC3142" w14:textId="56F7FD21" w:rsidR="00B400E0" w:rsidRPr="00F25A4A" w:rsidRDefault="00F25A4A" w:rsidP="00F25A4A">
      <w:pPr>
        <w:spacing w:before="100" w:after="100"/>
      </w:pPr>
      <w:r w:rsidRPr="00FB286A">
        <w:t>Act. The ABF clears goods through customs and processes import and export declarations. The ABF is responsible for providing many of the permissions and permits required under the Act</w:t>
      </w:r>
      <w:r w:rsidR="007F5051" w:rsidRPr="00B400E0">
        <w:rPr>
          <w:rFonts w:ascii="Aptos" w:hAnsi="Aptos"/>
          <w:szCs w:val="20"/>
        </w:rPr>
        <w:t xml:space="preserve">. </w:t>
      </w:r>
    </w:p>
    <w:p w14:paraId="1883C6AF" w14:textId="6CAB8C82" w:rsidR="007F5051" w:rsidRPr="00B400E0" w:rsidRDefault="007F5051" w:rsidP="00F25A4A">
      <w:pPr>
        <w:pStyle w:val="Heading2"/>
        <w:spacing w:before="100" w:after="100"/>
      </w:pPr>
      <w:r w:rsidRPr="00B400E0">
        <w:t>3. How do I apply for the approvals?</w:t>
      </w:r>
    </w:p>
    <w:p w14:paraId="70E0681B" w14:textId="77777777" w:rsidR="00F25A4A" w:rsidRPr="00FB286A" w:rsidRDefault="00F25A4A" w:rsidP="00F25A4A">
      <w:pPr>
        <w:spacing w:before="100" w:after="100"/>
      </w:pPr>
      <w:bookmarkStart w:id="3" w:name="_Hlk130478411"/>
      <w:r w:rsidRPr="00FB286A">
        <w:t xml:space="preserve">Import and Export Declarations can be lodged electronically through the </w:t>
      </w:r>
      <w:hyperlink r:id="rId25" w:history="1">
        <w:r w:rsidRPr="00FB286A">
          <w:rPr>
            <w:rStyle w:val="Hyperlink"/>
          </w:rPr>
          <w:t>Integrated Cargo System</w:t>
        </w:r>
      </w:hyperlink>
      <w:r w:rsidRPr="00FB286A">
        <w:t xml:space="preserve"> (ICS) or at a physical </w:t>
      </w:r>
      <w:hyperlink r:id="rId26" w:history="1">
        <w:r w:rsidRPr="00FB286A">
          <w:rPr>
            <w:rStyle w:val="Hyperlink"/>
          </w:rPr>
          <w:t>ABF counter</w:t>
        </w:r>
      </w:hyperlink>
      <w:r w:rsidRPr="00FB286A">
        <w:t>.</w:t>
      </w:r>
    </w:p>
    <w:p w14:paraId="6C06C446" w14:textId="77777777" w:rsidR="00F25A4A" w:rsidRPr="00FB286A" w:rsidRDefault="00F25A4A" w:rsidP="00F25A4A">
      <w:pPr>
        <w:spacing w:before="100" w:after="100"/>
      </w:pPr>
      <w:r w:rsidRPr="00FB286A">
        <w:t xml:space="preserve">Approval and compliance requirements may vary depending on the type and volume of goods for import or export, and the method of transportation. </w:t>
      </w:r>
    </w:p>
    <w:p w14:paraId="0110B591" w14:textId="276DE7AF" w:rsidR="00B400E0" w:rsidRPr="00F25A4A" w:rsidRDefault="00F25A4A" w:rsidP="00F25A4A">
      <w:pPr>
        <w:spacing w:before="100" w:after="100"/>
        <w:rPr>
          <w:rFonts w:cstheme="minorHAnsi"/>
          <w:iCs/>
          <w:color w:val="001B35" w:themeColor="accent1"/>
        </w:rPr>
      </w:pPr>
      <w:r w:rsidRPr="00F25A4A">
        <w:t>If you are a first-time or infrequent importer, the ABF encourages the use of a </w:t>
      </w:r>
      <w:hyperlink r:id="rId27" w:history="1">
        <w:r w:rsidRPr="00F25A4A">
          <w:rPr>
            <w:rStyle w:val="Hyperlink"/>
          </w:rPr>
          <w:t>licensed customs broker</w:t>
        </w:r>
      </w:hyperlink>
      <w:r w:rsidRPr="00F25A4A">
        <w:t xml:space="preserve"> to clear your goods. The ABF provides further </w:t>
      </w:r>
      <w:r w:rsidRPr="00F25A4A">
        <w:rPr>
          <w:rStyle w:val="IntenseEmphasis"/>
          <w:rFonts w:cstheme="minorHAnsi"/>
          <w:b w:val="0"/>
          <w:bCs w:val="0"/>
          <w:i w:val="0"/>
          <w:iCs w:val="0"/>
          <w:color w:val="auto"/>
        </w:rPr>
        <w:t xml:space="preserve">guidance about </w:t>
      </w:r>
      <w:hyperlink r:id="rId28" w:history="1">
        <w:r w:rsidRPr="00F25A4A">
          <w:rPr>
            <w:rStyle w:val="Hyperlink"/>
            <w:rFonts w:cstheme="minorHAnsi"/>
          </w:rPr>
          <w:t>how to comply</w:t>
        </w:r>
      </w:hyperlink>
      <w:r w:rsidRPr="00F25A4A">
        <w:rPr>
          <w:rStyle w:val="IntenseEmphasis"/>
          <w:rFonts w:cstheme="minorHAnsi"/>
        </w:rPr>
        <w:t xml:space="preserve"> </w:t>
      </w:r>
      <w:r w:rsidRPr="00F25A4A">
        <w:rPr>
          <w:rStyle w:val="IntenseEmphasis"/>
          <w:rFonts w:cstheme="minorHAnsi"/>
          <w:b w:val="0"/>
          <w:bCs w:val="0"/>
          <w:i w:val="0"/>
          <w:iCs w:val="0"/>
          <w:color w:val="auto"/>
        </w:rPr>
        <w:t xml:space="preserve">with requirements under the Act </w:t>
      </w:r>
      <w:bookmarkStart w:id="4" w:name="_Hlk151624523"/>
      <w:r w:rsidRPr="00F25A4A">
        <w:rPr>
          <w:rStyle w:val="IntenseEmphasis"/>
          <w:rFonts w:cstheme="minorHAnsi"/>
          <w:b w:val="0"/>
          <w:bCs w:val="0"/>
          <w:i w:val="0"/>
          <w:iCs w:val="0"/>
          <w:color w:val="auto"/>
        </w:rPr>
        <w:t>on its website</w:t>
      </w:r>
      <w:bookmarkEnd w:id="3"/>
      <w:bookmarkEnd w:id="4"/>
      <w:r w:rsidR="007F5051" w:rsidRPr="00F25A4A">
        <w:rPr>
          <w:rFonts w:ascii="Aptos" w:hAnsi="Aptos"/>
          <w:b/>
          <w:bCs/>
          <w:i/>
          <w:iCs/>
          <w:szCs w:val="20"/>
        </w:rPr>
        <w:t>.</w:t>
      </w:r>
    </w:p>
    <w:p w14:paraId="1CDA641B" w14:textId="46C16D90" w:rsidR="007F5051" w:rsidRPr="00B400E0" w:rsidRDefault="007F5051" w:rsidP="00F25A4A">
      <w:pPr>
        <w:pStyle w:val="Heading2"/>
        <w:spacing w:before="100" w:after="100"/>
      </w:pPr>
      <w:r w:rsidRPr="00B400E0">
        <w:t>4. More information</w:t>
      </w:r>
    </w:p>
    <w:p w14:paraId="48CE903B" w14:textId="60738230" w:rsidR="007F5051" w:rsidRPr="00B400E0" w:rsidRDefault="00F25A4A" w:rsidP="00F25A4A">
      <w:pPr>
        <w:pStyle w:val="Heading3"/>
        <w:spacing w:before="100" w:after="100"/>
      </w:pPr>
      <w:r w:rsidRPr="00F25A4A">
        <w:t>Australian Border Force</w:t>
      </w:r>
    </w:p>
    <w:p w14:paraId="4E7892E9" w14:textId="77777777" w:rsidR="00F25A4A" w:rsidRPr="00FB286A" w:rsidRDefault="00F25A4A" w:rsidP="00F25A4A">
      <w:pPr>
        <w:spacing w:before="100" w:after="100"/>
        <w:rPr>
          <w:rFonts w:cstheme="minorHAnsi"/>
        </w:rPr>
      </w:pPr>
      <w:r w:rsidRPr="00FB286A">
        <w:rPr>
          <w:rFonts w:cstheme="minorHAnsi"/>
        </w:rPr>
        <w:t xml:space="preserve">Further information on bringing goods in and out of Australia is available on the </w:t>
      </w:r>
      <w:hyperlink r:id="rId29" w:history="1">
        <w:r w:rsidRPr="00FB286A">
          <w:rPr>
            <w:rStyle w:val="Hyperlink"/>
            <w:rFonts w:cstheme="minorHAnsi"/>
          </w:rPr>
          <w:t>importing</w:t>
        </w:r>
      </w:hyperlink>
      <w:r w:rsidRPr="00FB286A">
        <w:rPr>
          <w:rFonts w:cstheme="minorHAnsi"/>
        </w:rPr>
        <w:t xml:space="preserve"> and </w:t>
      </w:r>
      <w:hyperlink r:id="rId30" w:history="1">
        <w:r w:rsidRPr="00FB286A">
          <w:rPr>
            <w:rStyle w:val="Hyperlink"/>
            <w:rFonts w:cstheme="minorHAnsi"/>
          </w:rPr>
          <w:t>exporting</w:t>
        </w:r>
      </w:hyperlink>
      <w:r w:rsidRPr="00FB286A">
        <w:rPr>
          <w:rStyle w:val="Hyperlink"/>
          <w:rFonts w:cstheme="minorHAnsi"/>
        </w:rPr>
        <w:t xml:space="preserve"> </w:t>
      </w:r>
      <w:r w:rsidRPr="00F25A4A">
        <w:rPr>
          <w:rStyle w:val="Hyperlink"/>
          <w:rFonts w:cstheme="minorHAnsi"/>
          <w:color w:val="auto"/>
          <w:u w:val="none"/>
        </w:rPr>
        <w:t xml:space="preserve">sections on the </w:t>
      </w:r>
      <w:r w:rsidRPr="00F25A4A">
        <w:rPr>
          <w:rFonts w:cstheme="minorHAnsi"/>
        </w:rPr>
        <w:t>ABF website.</w:t>
      </w:r>
    </w:p>
    <w:p w14:paraId="569D2828" w14:textId="79739184" w:rsidR="007F5051" w:rsidRPr="00F25A4A" w:rsidRDefault="00F25A4A" w:rsidP="00F25A4A">
      <w:pPr>
        <w:spacing w:before="100" w:after="100"/>
        <w:rPr>
          <w:rFonts w:cstheme="minorHAnsi"/>
          <w:bCs/>
          <w:iCs/>
        </w:rPr>
      </w:pPr>
      <w:r w:rsidRPr="00FB286A">
        <w:rPr>
          <w:rFonts w:cstheme="minorHAnsi"/>
        </w:rPr>
        <w:t xml:space="preserve">The ABF can be contacted via its </w:t>
      </w:r>
      <w:hyperlink r:id="rId31" w:history="1">
        <w:r w:rsidRPr="00FB286A">
          <w:rPr>
            <w:rStyle w:val="Hyperlink"/>
            <w:rFonts w:cstheme="minorHAnsi"/>
          </w:rPr>
          <w:t>contact us webpage</w:t>
        </w:r>
      </w:hyperlink>
      <w:r w:rsidR="00585C14">
        <w:rPr>
          <w:rFonts w:ascii="Aptos" w:hAnsi="Aptos"/>
          <w:bCs/>
          <w:szCs w:val="20"/>
        </w:rPr>
        <w:t>.</w:t>
      </w:r>
    </w:p>
    <w:p w14:paraId="661A6371" w14:textId="77777777" w:rsidR="007F5051" w:rsidRPr="00BC6C16" w:rsidRDefault="007F5051" w:rsidP="00F25A4A">
      <w:pPr>
        <w:pStyle w:val="Heading3"/>
        <w:spacing w:before="100" w:after="100"/>
      </w:pPr>
      <w:bookmarkStart w:id="5" w:name="_Hlk152160540"/>
      <w:r w:rsidRPr="00BC6C16">
        <w:t>Major Projects Facilitation Agency</w:t>
      </w:r>
    </w:p>
    <w:bookmarkEnd w:id="5"/>
    <w:p w14:paraId="6463E3CE" w14:textId="27E644FC" w:rsidR="00CF5B8A" w:rsidRDefault="00CF5B8A" w:rsidP="00F25A4A">
      <w:pPr>
        <w:spacing w:before="100" w:after="100"/>
        <w:rPr>
          <w:rFonts w:ascii="Aptos" w:eastAsia="Arial" w:hAnsi="Aptos" w:cs="Arial"/>
          <w:szCs w:val="20"/>
        </w:rPr>
      </w:pPr>
      <w:r w:rsidRPr="00F52791">
        <w:rPr>
          <w:rFonts w:ascii="Aptos" w:eastAsia="Arial" w:hAnsi="Aptos" w:cs="Arial"/>
          <w:szCs w:val="20"/>
        </w:rPr>
        <w:t xml:space="preserve">If you would like assistance to identify potential Australian Government </w:t>
      </w:r>
      <w:r>
        <w:rPr>
          <w:rFonts w:ascii="Aptos" w:eastAsia="Arial" w:hAnsi="Aptos" w:cs="Arial"/>
          <w:szCs w:val="20"/>
        </w:rPr>
        <w:t>regulatory</w:t>
      </w:r>
      <w:r w:rsidRPr="00F52791">
        <w:rPr>
          <w:rFonts w:ascii="Aptos" w:eastAsia="Arial" w:hAnsi="Aptos" w:cs="Arial"/>
          <w:szCs w:val="20"/>
        </w:rPr>
        <w:t xml:space="preserve"> approvals required for your project, please refer to the </w:t>
      </w:r>
      <w:hyperlink r:id="rId32" w:history="1">
        <w:r w:rsidRPr="00F52791">
          <w:rPr>
            <w:rStyle w:val="Hyperlink"/>
            <w:rFonts w:ascii="Aptos" w:eastAsia="Arial" w:hAnsi="Aptos"/>
            <w:szCs w:val="20"/>
          </w:rPr>
          <w:t xml:space="preserve">Major </w:t>
        </w:r>
        <w:r>
          <w:rPr>
            <w:rStyle w:val="Hyperlink"/>
            <w:rFonts w:ascii="Aptos" w:eastAsia="Arial" w:hAnsi="Aptos"/>
            <w:szCs w:val="20"/>
          </w:rPr>
          <w:t>p</w:t>
        </w:r>
        <w:r w:rsidRPr="00F52791">
          <w:rPr>
            <w:rStyle w:val="Hyperlink"/>
            <w:rFonts w:ascii="Aptos" w:eastAsia="Arial" w:hAnsi="Aptos"/>
            <w:szCs w:val="20"/>
          </w:rPr>
          <w:t xml:space="preserve">rojects </w:t>
        </w:r>
        <w:r>
          <w:rPr>
            <w:rStyle w:val="Hyperlink"/>
            <w:rFonts w:ascii="Aptos" w:eastAsia="Arial" w:hAnsi="Aptos"/>
            <w:szCs w:val="20"/>
          </w:rPr>
          <w:t>h</w:t>
        </w:r>
        <w:r w:rsidRPr="00F52791">
          <w:rPr>
            <w:rStyle w:val="Hyperlink"/>
            <w:rFonts w:ascii="Aptos" w:eastAsia="Arial" w:hAnsi="Aptos"/>
            <w:szCs w:val="20"/>
          </w:rPr>
          <w:t xml:space="preserve">elp </w:t>
        </w:r>
        <w:r>
          <w:rPr>
            <w:rStyle w:val="Hyperlink"/>
            <w:rFonts w:ascii="Aptos" w:eastAsia="Arial" w:hAnsi="Aptos"/>
            <w:szCs w:val="20"/>
          </w:rPr>
          <w:t>t</w:t>
        </w:r>
        <w:r w:rsidRPr="00F52791">
          <w:rPr>
            <w:rStyle w:val="Hyperlink"/>
            <w:rFonts w:ascii="Aptos" w:eastAsia="Arial" w:hAnsi="Aptos"/>
            <w:szCs w:val="20"/>
          </w:rPr>
          <w:t>ool</w:t>
        </w:r>
      </w:hyperlink>
      <w:r w:rsidRPr="00F52791">
        <w:rPr>
          <w:rFonts w:ascii="Aptos" w:eastAsia="Arial" w:hAnsi="Aptos" w:cs="Arial"/>
          <w:szCs w:val="20"/>
        </w:rPr>
        <w:t xml:space="preserve"> self-assessment</w:t>
      </w:r>
      <w:r>
        <w:rPr>
          <w:rFonts w:ascii="Aptos" w:eastAsia="Arial" w:hAnsi="Aptos" w:cs="Arial"/>
          <w:szCs w:val="20"/>
        </w:rPr>
        <w:t>.</w:t>
      </w:r>
    </w:p>
    <w:p w14:paraId="04809497" w14:textId="53D1158F" w:rsidR="00F25A4A" w:rsidRPr="00BC6C16" w:rsidRDefault="00CF5B8A" w:rsidP="00F25A4A">
      <w:pPr>
        <w:spacing w:before="100" w:after="100"/>
        <w:rPr>
          <w:rFonts w:ascii="Aptos" w:eastAsia="Arial" w:hAnsi="Aptos" w:cs="Arial"/>
          <w:szCs w:val="20"/>
        </w:rPr>
      </w:pPr>
      <w:r>
        <w:rPr>
          <w:rFonts w:ascii="Aptos" w:eastAsia="Arial" w:hAnsi="Aptos" w:cs="Arial"/>
          <w:szCs w:val="20"/>
        </w:rPr>
        <w:t xml:space="preserve">The MPFA team can be contacted by </w:t>
      </w:r>
      <w:r w:rsidRPr="00F52791">
        <w:rPr>
          <w:rFonts w:ascii="Aptos" w:eastAsia="Arial" w:hAnsi="Aptos" w:cs="Arial"/>
          <w:szCs w:val="20"/>
        </w:rPr>
        <w:t>email</w:t>
      </w:r>
      <w:r>
        <w:rPr>
          <w:rFonts w:ascii="Aptos" w:eastAsia="Arial" w:hAnsi="Aptos" w:cs="Arial"/>
          <w:szCs w:val="20"/>
        </w:rPr>
        <w:t xml:space="preserve"> at </w:t>
      </w:r>
      <w:hyperlink r:id="rId33" w:history="1">
        <w:r w:rsidRPr="00AA2CDA">
          <w:rPr>
            <w:rStyle w:val="Hyperlink"/>
            <w:rFonts w:ascii="Aptos" w:eastAsia="Arial" w:hAnsi="Aptos"/>
            <w:szCs w:val="20"/>
          </w:rPr>
          <w:t>MPFA@industry.gov.au</w:t>
        </w:r>
      </w:hyperlink>
      <w:r w:rsidRPr="00F52791">
        <w:rPr>
          <w:rFonts w:ascii="Aptos" w:eastAsia="Arial" w:hAnsi="Aptos" w:cs="Arial"/>
          <w:szCs w:val="20"/>
        </w:rPr>
        <w:t>.</w:t>
      </w:r>
    </w:p>
    <w:sectPr w:rsidR="00F25A4A" w:rsidRPr="00BC6C16" w:rsidSect="00B400E0">
      <w:headerReference w:type="default" r:id="rId34"/>
      <w:type w:val="continuous"/>
      <w:pgSz w:w="11906" w:h="16838"/>
      <w:pgMar w:top="720" w:right="720" w:bottom="720" w:left="720" w:header="850"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8CB4" w14:textId="77777777" w:rsidR="007F5051" w:rsidRDefault="007F5051" w:rsidP="00B251DB">
      <w:pPr>
        <w:spacing w:after="0"/>
      </w:pPr>
      <w:r>
        <w:separator/>
      </w:r>
    </w:p>
  </w:endnote>
  <w:endnote w:type="continuationSeparator" w:id="0">
    <w:p w14:paraId="69E19E8F" w14:textId="77777777" w:rsidR="007F5051" w:rsidRDefault="007F5051"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BE05" w14:textId="77777777" w:rsidR="00B400E0" w:rsidRPr="00FD4042" w:rsidRDefault="00B400E0" w:rsidP="00F25A4A">
    <w:pPr>
      <w:pStyle w:val="Heading4"/>
    </w:pPr>
    <w:r w:rsidRPr="00FD4042">
      <w:t>This fact sheet provides general information and does not constitute legal advice. You should seek independent legal advice tailored to your individual circumstances. The Major Projects Facilitation Agency (MPFA) assists major project proponents to navigate Australian Government approval processes. The MPFA does not grant approvals, nor administer the legislation listed in this fact sheet.</w:t>
    </w:r>
  </w:p>
  <w:p w14:paraId="2A4EDF34" w14:textId="34543E51" w:rsidR="00B400E0" w:rsidRPr="00B400E0" w:rsidRDefault="007116E5" w:rsidP="00F25A4A">
    <w:pPr>
      <w:pStyle w:val="Heading4"/>
    </w:pPr>
    <w:hyperlink r:id="rId1" w:history="1">
      <w:r w:rsidR="00B400E0" w:rsidRPr="007F5051">
        <w:rPr>
          <w:rStyle w:val="Hyperlink"/>
        </w:rPr>
        <w:t>www.business.</w:t>
      </w:r>
      <w:r w:rsidR="00B400E0" w:rsidRPr="007F5051">
        <w:rPr>
          <w:rStyle w:val="Hyperlink"/>
          <w:color w:val="15659B"/>
        </w:rPr>
        <w:t>gov</w:t>
      </w:r>
      <w:r w:rsidR="00B400E0" w:rsidRPr="007F5051">
        <w:rPr>
          <w:rStyle w:val="Hyperlink"/>
        </w:rPr>
        <w:t>.au/MPFA</w:t>
      </w:r>
    </w:hyperlink>
    <w:r w:rsidR="00B400E0" w:rsidRPr="00010BDA">
      <w:rPr>
        <w:rStyle w:val="Hyperlink"/>
        <w:color w:val="auto"/>
        <w:u w:val="none"/>
      </w:rPr>
      <w:ptab w:relativeTo="margin" w:alignment="center" w:leader="none"/>
    </w:r>
    <w:hyperlink r:id="rId2" w:history="1">
      <w:r w:rsidR="00B400E0" w:rsidRPr="007F5051">
        <w:rPr>
          <w:rStyle w:val="Hyperlink"/>
        </w:rPr>
        <w:t>MPFA@industry.gov.au</w:t>
      </w:r>
    </w:hyperlink>
    <w:r w:rsidR="00B400E0" w:rsidRPr="00010BDA">
      <w:rPr>
        <w:rStyle w:val="Hyperlink"/>
        <w:color w:val="auto"/>
        <w:u w:val="none"/>
      </w:rPr>
      <w:ptab w:relativeTo="margin" w:alignment="right" w:leader="none"/>
    </w:r>
    <w:r w:rsidR="00CE09F2">
      <w:rPr>
        <w:rStyle w:val="Hyperlink"/>
        <w:color w:val="auto"/>
        <w:u w:val="none"/>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7E7B" w14:textId="77777777" w:rsidR="007F5051" w:rsidRPr="007F5051" w:rsidRDefault="007F5051" w:rsidP="007F5051">
    <w:pPr>
      <w:pStyle w:val="Footer"/>
      <w:tabs>
        <w:tab w:val="clear" w:pos="4513"/>
        <w:tab w:val="center" w:pos="5245"/>
      </w:tabs>
      <w:rPr>
        <w:rFonts w:ascii="Aptos" w:hAnsi="Aptos" w:cs="Calibri"/>
        <w:sz w:val="16"/>
        <w:szCs w:val="16"/>
      </w:rPr>
    </w:pPr>
    <w:r w:rsidRPr="007F5051">
      <w:rPr>
        <w:rFonts w:ascii="Aptos" w:hAnsi="Aptos" w:cs="Calibri"/>
        <w:sz w:val="16"/>
        <w:szCs w:val="16"/>
      </w:rPr>
      <w:t>This fact sheet provides general information and does not constitute legal advice. You should seek independent legal advice tailored to your individual circumstances. The Major Projects Facilitation Agency (MPFA) assists major project proponents to navigate Australian Government approval processes. The MPFA does not grant approvals, nor administer the legislation listed in this fact sheet.</w:t>
    </w:r>
  </w:p>
  <w:p w14:paraId="0C4D9418" w14:textId="04C05E24" w:rsidR="007F5051" w:rsidRPr="007F5051" w:rsidRDefault="007116E5" w:rsidP="007F5051">
    <w:pPr>
      <w:pStyle w:val="Footer"/>
      <w:tabs>
        <w:tab w:val="clear" w:pos="4513"/>
        <w:tab w:val="clear" w:pos="9026"/>
        <w:tab w:val="center" w:pos="5245"/>
        <w:tab w:val="right" w:pos="10466"/>
      </w:tabs>
      <w:rPr>
        <w:rFonts w:ascii="Aptos" w:hAnsi="Aptos"/>
        <w:sz w:val="16"/>
        <w:szCs w:val="16"/>
      </w:rPr>
    </w:pPr>
    <w:hyperlink r:id="rId1" w:history="1">
      <w:r w:rsidR="007F5051" w:rsidRPr="007F5051">
        <w:rPr>
          <w:rStyle w:val="Hyperlink"/>
          <w:rFonts w:ascii="Aptos" w:hAnsi="Aptos"/>
          <w:sz w:val="16"/>
          <w:szCs w:val="16"/>
        </w:rPr>
        <w:t>www.business.</w:t>
      </w:r>
      <w:r w:rsidR="007F5051" w:rsidRPr="007F5051">
        <w:rPr>
          <w:rStyle w:val="Hyperlink"/>
          <w:rFonts w:ascii="Aptos" w:hAnsi="Aptos"/>
          <w:color w:val="15659B"/>
          <w:sz w:val="16"/>
          <w:szCs w:val="16"/>
        </w:rPr>
        <w:t>gov</w:t>
      </w:r>
      <w:r w:rsidR="007F5051" w:rsidRPr="007F5051">
        <w:rPr>
          <w:rStyle w:val="Hyperlink"/>
          <w:rFonts w:ascii="Aptos" w:hAnsi="Aptos"/>
          <w:sz w:val="16"/>
          <w:szCs w:val="16"/>
        </w:rPr>
        <w:t>.au/MPFA</w:t>
      </w:r>
    </w:hyperlink>
    <w:r w:rsidR="007F5051" w:rsidRPr="007F5051">
      <w:rPr>
        <w:rStyle w:val="Hyperlink"/>
        <w:rFonts w:ascii="Aptos" w:hAnsi="Aptos"/>
        <w:color w:val="auto"/>
        <w:sz w:val="16"/>
        <w:szCs w:val="16"/>
        <w:u w:val="none"/>
      </w:rPr>
      <w:ptab w:relativeTo="margin" w:alignment="center" w:leader="none"/>
    </w:r>
    <w:hyperlink r:id="rId2" w:history="1">
      <w:r w:rsidR="007F5051" w:rsidRPr="007F5051">
        <w:rPr>
          <w:rStyle w:val="Hyperlink"/>
          <w:rFonts w:ascii="Aptos" w:hAnsi="Aptos"/>
          <w:sz w:val="16"/>
          <w:szCs w:val="16"/>
        </w:rPr>
        <w:t>MPFA@industry.gov.au</w:t>
      </w:r>
    </w:hyperlink>
    <w:r w:rsidR="007F5051" w:rsidRPr="007F5051">
      <w:rPr>
        <w:rStyle w:val="Hyperlink"/>
        <w:rFonts w:ascii="Aptos" w:hAnsi="Aptos"/>
        <w:color w:val="auto"/>
        <w:sz w:val="16"/>
        <w:szCs w:val="16"/>
        <w:u w:val="none"/>
      </w:rPr>
      <w:ptab w:relativeTo="margin" w:alignment="right" w:leader="none"/>
    </w:r>
    <w:r w:rsidR="007F5051" w:rsidRPr="00B400E0">
      <w:rPr>
        <w:rStyle w:val="Hyperlink"/>
        <w:rFonts w:ascii="Aptos" w:hAnsi="Aptos"/>
        <w:color w:val="auto"/>
        <w:sz w:val="16"/>
        <w:szCs w:val="16"/>
        <w:highlight w:val="yellow"/>
        <w:u w:val="none"/>
      </w:rPr>
      <w:t>February</w:t>
    </w:r>
    <w:r w:rsidR="007F5051" w:rsidRPr="007F5051">
      <w:rPr>
        <w:rStyle w:val="Hyperlink"/>
        <w:rFonts w:ascii="Aptos" w:hAnsi="Aptos"/>
        <w:color w:val="auto"/>
        <w:sz w:val="16"/>
        <w:szCs w:val="16"/>
        <w:u w:val="none"/>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4284" w14:textId="77777777" w:rsidR="007F5051" w:rsidRDefault="007F5051" w:rsidP="00B251DB">
      <w:pPr>
        <w:spacing w:after="0"/>
      </w:pPr>
      <w:r>
        <w:separator/>
      </w:r>
    </w:p>
  </w:footnote>
  <w:footnote w:type="continuationSeparator" w:id="0">
    <w:p w14:paraId="5B4D8204" w14:textId="77777777" w:rsidR="007F5051" w:rsidRDefault="007F5051"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89F9" w14:textId="552067A6" w:rsidR="00B400E0" w:rsidRDefault="00B400E0">
    <w:pPr>
      <w:pStyle w:val="Header"/>
    </w:pPr>
    <w:r w:rsidRPr="00B400E0">
      <w:rPr>
        <w:rFonts w:ascii="Aptos" w:hAnsi="Aptos"/>
        <w:noProof/>
        <w:lang w:eastAsia="en-AU"/>
      </w:rPr>
      <w:drawing>
        <wp:inline distT="0" distB="0" distL="0" distR="0" wp14:anchorId="57352BF6" wp14:editId="2DE46259">
          <wp:extent cx="6634855" cy="3068652"/>
          <wp:effectExtent l="0" t="0" r="0" b="0"/>
          <wp:docPr id="1" name="Picture 1" descr="Major Projects Facilitation Agency &#10;Fact she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jor Projects Facilitation Agency &#10;Fact shee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050" t="2447" r="2022" b="4436"/>
                  <a:stretch/>
                </pic:blipFill>
                <pic:spPr bwMode="auto">
                  <a:xfrm>
                    <a:off x="0" y="0"/>
                    <a:ext cx="6644986" cy="30733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4077" w14:textId="53535777" w:rsidR="007F5051" w:rsidRPr="00B400E0" w:rsidRDefault="007F5051" w:rsidP="007F5051">
    <w:pPr>
      <w:pStyle w:val="Header"/>
      <w:tabs>
        <w:tab w:val="clear" w:pos="4513"/>
        <w:tab w:val="clear" w:pos="9026"/>
        <w:tab w:val="center" w:pos="5245"/>
        <w:tab w:val="right" w:pos="10466"/>
      </w:tabs>
      <w:rPr>
        <w:rFonts w:ascii="Aptos" w:hAnsi="Aptos"/>
      </w:rPr>
    </w:pPr>
    <w:r w:rsidRPr="00B400E0">
      <w:rPr>
        <w:rFonts w:ascii="Aptos" w:hAnsi="Aptos"/>
        <w:noProof/>
        <w:lang w:eastAsia="en-AU"/>
      </w:rPr>
      <w:drawing>
        <wp:inline distT="0" distB="0" distL="0" distR="0" wp14:anchorId="3F4F5A67" wp14:editId="624C0A04">
          <wp:extent cx="6634855" cy="3068652"/>
          <wp:effectExtent l="0" t="0" r="0" b="0"/>
          <wp:docPr id="2" name="Picture 2" descr="Major Projects Facilitation Agency &#10;Fact she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jor Projects Facilitation Agency &#10;Fact shee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050" t="2447" r="2022" b="4436"/>
                  <a:stretch/>
                </pic:blipFill>
                <pic:spPr bwMode="auto">
                  <a:xfrm>
                    <a:off x="0" y="0"/>
                    <a:ext cx="6644986" cy="30733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B24" w14:textId="77777777" w:rsidR="00B400E0" w:rsidRDefault="00B40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2605387">
    <w:abstractNumId w:val="6"/>
  </w:num>
  <w:num w:numId="2" w16cid:durableId="648444589">
    <w:abstractNumId w:val="8"/>
  </w:num>
  <w:num w:numId="3" w16cid:durableId="1474374502">
    <w:abstractNumId w:val="2"/>
  </w:num>
  <w:num w:numId="4" w16cid:durableId="660547498">
    <w:abstractNumId w:val="1"/>
  </w:num>
  <w:num w:numId="5" w16cid:durableId="1405948882">
    <w:abstractNumId w:val="0"/>
  </w:num>
  <w:num w:numId="6" w16cid:durableId="1770931210">
    <w:abstractNumId w:val="3"/>
  </w:num>
  <w:num w:numId="7" w16cid:durableId="1514956900">
    <w:abstractNumId w:val="4"/>
  </w:num>
  <w:num w:numId="8" w16cid:durableId="1928151220">
    <w:abstractNumId w:val="7"/>
  </w:num>
  <w:num w:numId="9" w16cid:durableId="191944205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51"/>
    <w:rsid w:val="00003766"/>
    <w:rsid w:val="00032995"/>
    <w:rsid w:val="00034867"/>
    <w:rsid w:val="00043F36"/>
    <w:rsid w:val="000552B3"/>
    <w:rsid w:val="0007067B"/>
    <w:rsid w:val="0008167B"/>
    <w:rsid w:val="00081D07"/>
    <w:rsid w:val="00090DDB"/>
    <w:rsid w:val="000A75CB"/>
    <w:rsid w:val="000B6C60"/>
    <w:rsid w:val="000C3494"/>
    <w:rsid w:val="000E0F53"/>
    <w:rsid w:val="000E599A"/>
    <w:rsid w:val="000E5C60"/>
    <w:rsid w:val="000F2564"/>
    <w:rsid w:val="00153C15"/>
    <w:rsid w:val="00171757"/>
    <w:rsid w:val="0018753C"/>
    <w:rsid w:val="00194586"/>
    <w:rsid w:val="001A38CC"/>
    <w:rsid w:val="001B314C"/>
    <w:rsid w:val="001D216A"/>
    <w:rsid w:val="001D2E82"/>
    <w:rsid w:val="001D51DA"/>
    <w:rsid w:val="001F5AB1"/>
    <w:rsid w:val="00205DF3"/>
    <w:rsid w:val="0022083E"/>
    <w:rsid w:val="00222D0B"/>
    <w:rsid w:val="00241D3D"/>
    <w:rsid w:val="00254DA8"/>
    <w:rsid w:val="00266F7C"/>
    <w:rsid w:val="00272B04"/>
    <w:rsid w:val="00274C94"/>
    <w:rsid w:val="00282ED3"/>
    <w:rsid w:val="00293BAA"/>
    <w:rsid w:val="002A101F"/>
    <w:rsid w:val="002B3A3A"/>
    <w:rsid w:val="002B5C69"/>
    <w:rsid w:val="002D230B"/>
    <w:rsid w:val="002F60C0"/>
    <w:rsid w:val="0031048E"/>
    <w:rsid w:val="0031654A"/>
    <w:rsid w:val="00330C0B"/>
    <w:rsid w:val="0035140F"/>
    <w:rsid w:val="00393784"/>
    <w:rsid w:val="003A0E7F"/>
    <w:rsid w:val="003A5FBD"/>
    <w:rsid w:val="003D38ED"/>
    <w:rsid w:val="003D747D"/>
    <w:rsid w:val="00406032"/>
    <w:rsid w:val="00423B2E"/>
    <w:rsid w:val="00423D13"/>
    <w:rsid w:val="0043720A"/>
    <w:rsid w:val="004632E9"/>
    <w:rsid w:val="0046678C"/>
    <w:rsid w:val="0048236F"/>
    <w:rsid w:val="004A7856"/>
    <w:rsid w:val="004B4254"/>
    <w:rsid w:val="004D3B0F"/>
    <w:rsid w:val="004E23A9"/>
    <w:rsid w:val="004E5181"/>
    <w:rsid w:val="004E75D2"/>
    <w:rsid w:val="004F5BB1"/>
    <w:rsid w:val="00512647"/>
    <w:rsid w:val="00516B0E"/>
    <w:rsid w:val="00527381"/>
    <w:rsid w:val="005419C2"/>
    <w:rsid w:val="005706FD"/>
    <w:rsid w:val="00572521"/>
    <w:rsid w:val="005777BC"/>
    <w:rsid w:val="00584B74"/>
    <w:rsid w:val="00585C14"/>
    <w:rsid w:val="005A1B5C"/>
    <w:rsid w:val="005D27F7"/>
    <w:rsid w:val="005E5F5F"/>
    <w:rsid w:val="00603DDF"/>
    <w:rsid w:val="00607188"/>
    <w:rsid w:val="006337C7"/>
    <w:rsid w:val="00671D1D"/>
    <w:rsid w:val="00671FC8"/>
    <w:rsid w:val="0068286F"/>
    <w:rsid w:val="00695B12"/>
    <w:rsid w:val="00697567"/>
    <w:rsid w:val="00697C73"/>
    <w:rsid w:val="006C4C9C"/>
    <w:rsid w:val="006D2221"/>
    <w:rsid w:val="006E1636"/>
    <w:rsid w:val="006E1E6A"/>
    <w:rsid w:val="006E4001"/>
    <w:rsid w:val="006F58A5"/>
    <w:rsid w:val="00703734"/>
    <w:rsid w:val="00711349"/>
    <w:rsid w:val="007116E5"/>
    <w:rsid w:val="00723C5D"/>
    <w:rsid w:val="0073362E"/>
    <w:rsid w:val="007833EE"/>
    <w:rsid w:val="007B553F"/>
    <w:rsid w:val="007F5051"/>
    <w:rsid w:val="00806473"/>
    <w:rsid w:val="00825581"/>
    <w:rsid w:val="00826293"/>
    <w:rsid w:val="00853A7A"/>
    <w:rsid w:val="008653E9"/>
    <w:rsid w:val="00872DFF"/>
    <w:rsid w:val="00892B6E"/>
    <w:rsid w:val="008B7B1E"/>
    <w:rsid w:val="008C2718"/>
    <w:rsid w:val="008C3B21"/>
    <w:rsid w:val="008D244C"/>
    <w:rsid w:val="008E3C31"/>
    <w:rsid w:val="008E5E4B"/>
    <w:rsid w:val="009059E9"/>
    <w:rsid w:val="0091071D"/>
    <w:rsid w:val="0091556D"/>
    <w:rsid w:val="00917329"/>
    <w:rsid w:val="00934A4A"/>
    <w:rsid w:val="00960D98"/>
    <w:rsid w:val="009830D1"/>
    <w:rsid w:val="009A549D"/>
    <w:rsid w:val="009A64AF"/>
    <w:rsid w:val="009C60B9"/>
    <w:rsid w:val="009E39E6"/>
    <w:rsid w:val="00A52F3D"/>
    <w:rsid w:val="00A61699"/>
    <w:rsid w:val="00A6365B"/>
    <w:rsid w:val="00A731BB"/>
    <w:rsid w:val="00AA740C"/>
    <w:rsid w:val="00AD22BA"/>
    <w:rsid w:val="00B15C01"/>
    <w:rsid w:val="00B17B99"/>
    <w:rsid w:val="00B251DB"/>
    <w:rsid w:val="00B26C25"/>
    <w:rsid w:val="00B35C0C"/>
    <w:rsid w:val="00B400E0"/>
    <w:rsid w:val="00B40A60"/>
    <w:rsid w:val="00B45B98"/>
    <w:rsid w:val="00BB350F"/>
    <w:rsid w:val="00BC6C16"/>
    <w:rsid w:val="00BD0F8A"/>
    <w:rsid w:val="00BE1CB4"/>
    <w:rsid w:val="00BE53C7"/>
    <w:rsid w:val="00BE6EEA"/>
    <w:rsid w:val="00C27CB3"/>
    <w:rsid w:val="00C42F09"/>
    <w:rsid w:val="00C43D48"/>
    <w:rsid w:val="00C50A9A"/>
    <w:rsid w:val="00C65E4E"/>
    <w:rsid w:val="00C859DE"/>
    <w:rsid w:val="00CB2DE1"/>
    <w:rsid w:val="00CB7499"/>
    <w:rsid w:val="00CE09F2"/>
    <w:rsid w:val="00CE4789"/>
    <w:rsid w:val="00CE6BBD"/>
    <w:rsid w:val="00CE7F17"/>
    <w:rsid w:val="00CF5B8A"/>
    <w:rsid w:val="00D220CF"/>
    <w:rsid w:val="00D24A20"/>
    <w:rsid w:val="00D27B99"/>
    <w:rsid w:val="00D64BFA"/>
    <w:rsid w:val="00D841E9"/>
    <w:rsid w:val="00D9122B"/>
    <w:rsid w:val="00DB270D"/>
    <w:rsid w:val="00DE04A8"/>
    <w:rsid w:val="00DE1060"/>
    <w:rsid w:val="00E01D7D"/>
    <w:rsid w:val="00E04DA0"/>
    <w:rsid w:val="00E11B00"/>
    <w:rsid w:val="00E3027E"/>
    <w:rsid w:val="00E37443"/>
    <w:rsid w:val="00E51EC5"/>
    <w:rsid w:val="00E95372"/>
    <w:rsid w:val="00EA0739"/>
    <w:rsid w:val="00EB2A69"/>
    <w:rsid w:val="00ED173E"/>
    <w:rsid w:val="00EE1F4B"/>
    <w:rsid w:val="00F1441E"/>
    <w:rsid w:val="00F16FE0"/>
    <w:rsid w:val="00F22BB9"/>
    <w:rsid w:val="00F25A4A"/>
    <w:rsid w:val="00F32757"/>
    <w:rsid w:val="00F3409A"/>
    <w:rsid w:val="00F50FA6"/>
    <w:rsid w:val="00F62B4E"/>
    <w:rsid w:val="00F669E4"/>
    <w:rsid w:val="00F66A4B"/>
    <w:rsid w:val="00FD4042"/>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0538"/>
  <w15:chartTrackingRefBased/>
  <w15:docId w15:val="{7ED241D3-61EF-459D-BC43-8F4FFE8A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66"/>
    <w:pPr>
      <w:spacing w:before="120" w:after="120" w:line="240" w:lineRule="auto"/>
    </w:pPr>
    <w:rPr>
      <w:sz w:val="20"/>
    </w:rPr>
  </w:style>
  <w:style w:type="paragraph" w:styleId="Heading1">
    <w:name w:val="heading 1"/>
    <w:basedOn w:val="Normal"/>
    <w:next w:val="Normal"/>
    <w:link w:val="Heading1Char"/>
    <w:uiPriority w:val="9"/>
    <w:qFormat/>
    <w:rsid w:val="00BC6C16"/>
    <w:pPr>
      <w:keepNext/>
      <w:keepLines/>
      <w:contextualSpacing/>
      <w:outlineLvl w:val="0"/>
    </w:pPr>
    <w:rPr>
      <w:rFonts w:ascii="Aptos" w:hAnsi="Aptos"/>
      <w:b/>
      <w:bCs/>
      <w:color w:val="001B35"/>
      <w:sz w:val="36"/>
      <w:szCs w:val="36"/>
    </w:rPr>
  </w:style>
  <w:style w:type="paragraph" w:styleId="Heading2">
    <w:name w:val="heading 2"/>
    <w:basedOn w:val="Normal"/>
    <w:next w:val="Normal"/>
    <w:link w:val="Heading2Char"/>
    <w:uiPriority w:val="9"/>
    <w:unhideWhenUsed/>
    <w:qFormat/>
    <w:rsid w:val="00BC6C16"/>
    <w:pPr>
      <w:keepNext/>
      <w:keepLines/>
      <w:outlineLvl w:val="1"/>
    </w:pPr>
    <w:rPr>
      <w:rFonts w:ascii="Aptos" w:eastAsiaTheme="majorEastAsia" w:hAnsi="Aptos" w:cstheme="majorBidi"/>
      <w:b/>
      <w:bCs/>
      <w:color w:val="095258"/>
      <w:sz w:val="24"/>
      <w:szCs w:val="24"/>
    </w:rPr>
  </w:style>
  <w:style w:type="paragraph" w:styleId="Heading3">
    <w:name w:val="heading 3"/>
    <w:basedOn w:val="Normal"/>
    <w:next w:val="Normal"/>
    <w:link w:val="Heading3Char"/>
    <w:uiPriority w:val="9"/>
    <w:unhideWhenUsed/>
    <w:qFormat/>
    <w:rsid w:val="00BC6C16"/>
    <w:pPr>
      <w:keepNext/>
      <w:keepLines/>
      <w:outlineLvl w:val="2"/>
    </w:pPr>
    <w:rPr>
      <w:rFonts w:ascii="Aptos" w:eastAsiaTheme="majorEastAsia" w:hAnsi="Aptos" w:cstheme="majorBidi"/>
      <w:b/>
      <w:bCs/>
      <w:szCs w:val="20"/>
    </w:rPr>
  </w:style>
  <w:style w:type="paragraph" w:styleId="Heading4">
    <w:name w:val="heading 4"/>
    <w:aliases w:val="Footer text"/>
    <w:basedOn w:val="Footer"/>
    <w:next w:val="Normal"/>
    <w:link w:val="Heading4Char"/>
    <w:uiPriority w:val="9"/>
    <w:unhideWhenUsed/>
    <w:qFormat/>
    <w:rsid w:val="00FD4042"/>
    <w:pPr>
      <w:tabs>
        <w:tab w:val="clear" w:pos="4513"/>
        <w:tab w:val="clear" w:pos="9026"/>
        <w:tab w:val="center" w:pos="5245"/>
        <w:tab w:val="right" w:pos="10466"/>
      </w:tabs>
      <w:outlineLvl w:val="3"/>
    </w:pPr>
    <w:rPr>
      <w:rFonts w:ascii="Aptos" w:hAnsi="Aptos" w:cs="Calibri"/>
      <w:sz w:val="16"/>
      <w:szCs w:val="16"/>
    </w:rPr>
  </w:style>
  <w:style w:type="paragraph" w:styleId="Heading5">
    <w:name w:val="heading 5"/>
    <w:basedOn w:val="Normal"/>
    <w:next w:val="Normal"/>
    <w:link w:val="Heading5Char"/>
    <w:uiPriority w:val="9"/>
    <w:unhideWhenUsed/>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sz w:val="24"/>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7116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C6C16"/>
    <w:rPr>
      <w:rFonts w:ascii="Aptos" w:hAnsi="Aptos"/>
      <w:b/>
      <w:bCs/>
      <w:color w:val="001B35"/>
      <w:sz w:val="36"/>
      <w:szCs w:val="36"/>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BC6C16"/>
    <w:pPr>
      <w:spacing w:after="240"/>
    </w:pPr>
    <w:rPr>
      <w:rFonts w:ascii="Aptos" w:hAnsi="Aptos"/>
      <w:sz w:val="24"/>
      <w:szCs w:val="24"/>
    </w:rPr>
  </w:style>
  <w:style w:type="character" w:customStyle="1" w:styleId="SubtitleChar">
    <w:name w:val="Subtitle Char"/>
    <w:basedOn w:val="DefaultParagraphFont"/>
    <w:link w:val="Subtitle"/>
    <w:uiPriority w:val="11"/>
    <w:rsid w:val="00BC6C16"/>
    <w:rPr>
      <w:rFonts w:ascii="Aptos" w:hAnsi="Aptos"/>
      <w:sz w:val="24"/>
      <w:szCs w:val="24"/>
    </w:rPr>
  </w:style>
  <w:style w:type="character" w:customStyle="1" w:styleId="Heading2Char">
    <w:name w:val="Heading 2 Char"/>
    <w:basedOn w:val="DefaultParagraphFont"/>
    <w:link w:val="Heading2"/>
    <w:uiPriority w:val="9"/>
    <w:rsid w:val="00BC6C16"/>
    <w:rPr>
      <w:rFonts w:ascii="Aptos" w:eastAsiaTheme="majorEastAsia" w:hAnsi="Aptos" w:cstheme="majorBidi"/>
      <w:b/>
      <w:bCs/>
      <w:color w:val="095258"/>
      <w:sz w:val="24"/>
      <w:szCs w:val="24"/>
    </w:rPr>
  </w:style>
  <w:style w:type="character" w:customStyle="1" w:styleId="Heading3Char">
    <w:name w:val="Heading 3 Char"/>
    <w:basedOn w:val="DefaultParagraphFont"/>
    <w:link w:val="Heading3"/>
    <w:uiPriority w:val="9"/>
    <w:rsid w:val="00BC6C16"/>
    <w:rPr>
      <w:rFonts w:ascii="Aptos" w:eastAsiaTheme="majorEastAsia" w:hAnsi="Aptos" w:cstheme="majorBidi"/>
      <w:b/>
      <w:bCs/>
      <w:sz w:val="20"/>
      <w:szCs w:val="20"/>
    </w:rPr>
  </w:style>
  <w:style w:type="character" w:customStyle="1" w:styleId="Heading4Char">
    <w:name w:val="Heading 4 Char"/>
    <w:aliases w:val="Footer text Char"/>
    <w:basedOn w:val="DefaultParagraphFont"/>
    <w:link w:val="Heading4"/>
    <w:uiPriority w:val="9"/>
    <w:rsid w:val="00FD4042"/>
    <w:rPr>
      <w:rFonts w:ascii="Aptos" w:hAnsi="Aptos" w:cs="Calibri"/>
      <w:sz w:val="16"/>
      <w:szCs w:val="16"/>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rsid w:val="00B251DB"/>
    <w:rPr>
      <w:b/>
      <w:bCs/>
    </w:rPr>
  </w:style>
  <w:style w:type="character" w:styleId="Emphasis">
    <w:name w:val="Emphasis"/>
    <w:basedOn w:val="DefaultParagraphFont"/>
    <w:uiPriority w:val="20"/>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rsid w:val="009A549D"/>
    <w:pPr>
      <w:spacing w:after="0"/>
    </w:p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rsid w:val="000A75CB"/>
    <w:pPr>
      <w:pBdr>
        <w:top w:val="single" w:sz="4" w:space="6" w:color="15659B" w:themeColor="accent4"/>
        <w:bottom w:val="single" w:sz="4" w:space="6" w:color="15659B" w:themeColor="accent4"/>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ascii="Aptos" w:eastAsiaTheme="minorEastAsia" w:hAnsi="Aptos"/>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styleId="IntenseEmphasis">
    <w:name w:val="Intense Emphasis"/>
    <w:basedOn w:val="DefaultParagraphFont"/>
    <w:uiPriority w:val="21"/>
    <w:qFormat/>
    <w:rsid w:val="00F25A4A"/>
    <w:rPr>
      <w:b/>
      <w:bCs/>
      <w:i/>
      <w:iCs/>
      <w:color w:val="001B35" w:themeColor="accent1"/>
    </w:rPr>
  </w:style>
  <w:style w:type="character" w:customStyle="1" w:styleId="Heading9Char">
    <w:name w:val="Heading 9 Char"/>
    <w:basedOn w:val="DefaultParagraphFont"/>
    <w:link w:val="Heading9"/>
    <w:uiPriority w:val="9"/>
    <w:semiHidden/>
    <w:rsid w:val="007116E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bf.gov.au/importing-exporting-and-manufacturing/prohibited-goods/overview" TargetMode="External"/><Relationship Id="rId26" Type="http://schemas.openxmlformats.org/officeDocument/2006/relationships/hyperlink" Target="https://www.abf.gov.au/help-and-support/contact-us/offices" TargetMode="External"/><Relationship Id="rId21" Type="http://schemas.openxmlformats.org/officeDocument/2006/relationships/hyperlink" Target="https://www.abf.gov.au/importing-exporting-and-manufacturing/prohibited-goods/list-of-item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bf.gov.au/importing-exporting-and-manufacturing/importing/how-to-import/requirements/labelling" TargetMode="External"/><Relationship Id="rId25" Type="http://schemas.openxmlformats.org/officeDocument/2006/relationships/hyperlink" Target="https://www.abf.gov.au/help-and-support/ics/integrated-cargo-system-(ics)/overview" TargetMode="External"/><Relationship Id="rId33" Type="http://schemas.openxmlformats.org/officeDocument/2006/relationships/hyperlink" Target="mailto:MPFA@industry.gov.au" TargetMode="External"/><Relationship Id="rId2" Type="http://schemas.openxmlformats.org/officeDocument/2006/relationships/customXml" Target="../customXml/item2.xml"/><Relationship Id="rId16" Type="http://schemas.openxmlformats.org/officeDocument/2006/relationships/hyperlink" Target="https://www.legislation.gov.au/C1901A00006/latest/text" TargetMode="External"/><Relationship Id="rId20" Type="http://schemas.openxmlformats.org/officeDocument/2006/relationships/hyperlink" Target="https://www.legislation.gov.au/F1996B03403/latest/text" TargetMode="External"/><Relationship Id="rId29" Type="http://schemas.openxmlformats.org/officeDocument/2006/relationships/hyperlink" Target="https://www.abf.gov.au/importing-exporting-and-manufacturing/importing/how-to-import/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f.gov.au/help-and-support/ics/integrated-cargo-system-(ics)/resources-and-guides" TargetMode="External"/><Relationship Id="rId32" Type="http://schemas.openxmlformats.org/officeDocument/2006/relationships/hyperlink" Target="https://business.gov.au/expertise-and-advice/major-projects-facilitation-agency/help-too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bf.gov.au/importing-exporting-and-manufacturing/exporting/how-to-export/export-declaration" TargetMode="External"/><Relationship Id="rId28" Type="http://schemas.openxmlformats.org/officeDocument/2006/relationships/hyperlink" Target="https://www.abf.gov.au/importing-exporting-and-manufacturing/trade-and-goods-complianc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legislation.gov.au/F1996B03651/latest/text" TargetMode="External"/><Relationship Id="rId31" Type="http://schemas.openxmlformats.org/officeDocument/2006/relationships/hyperlink" Target="https://www.abf.gov.au/help-and-support/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bf.gov.au/importing-exporting-and-manufacturing/importing/how-to-import/import-declaration" TargetMode="External"/><Relationship Id="rId27" Type="http://schemas.openxmlformats.org/officeDocument/2006/relationships/hyperlink" Target="https://www.abf.gov.au/licensing/brokers/brokerages" TargetMode="External"/><Relationship Id="rId30" Type="http://schemas.openxmlformats.org/officeDocument/2006/relationships/hyperlink" Target="https://www.abf.gov.au/importing-exporting-and-manufacturing/exporting/how-to-export"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MPFA@industry.gov.au" TargetMode="External"/><Relationship Id="rId1" Type="http://schemas.openxmlformats.org/officeDocument/2006/relationships/hyperlink" Target="http://www.business.gov.au/MPF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PFA@industry.gov.au" TargetMode="External"/><Relationship Id="rId1" Type="http://schemas.openxmlformats.org/officeDocument/2006/relationships/hyperlink" Target="http://www.business.gov.au/MP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protected.ind\Apps\APPS01\M365\Workgroup%20Templates\Departmental\DISR-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86B45844B4990BC6B7097CC6940AD"/>
        <w:category>
          <w:name w:val="General"/>
          <w:gallery w:val="placeholder"/>
        </w:category>
        <w:types>
          <w:type w:val="bbPlcHdr"/>
        </w:types>
        <w:behaviors>
          <w:behavior w:val="content"/>
        </w:behaviors>
        <w:guid w:val="{E5626C1E-BB8D-48A3-B98B-65F8F5A9C192}"/>
      </w:docPartPr>
      <w:docPartBody>
        <w:p w:rsidR="003A16B7" w:rsidRDefault="003A16B7">
          <w:pPr>
            <w:pStyle w:val="71986B45844B4990BC6B7097CC6940AD"/>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B7"/>
    <w:rsid w:val="00293BAA"/>
    <w:rsid w:val="003A1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986B45844B4990BC6B7097CC6940AD">
    <w:name w:val="71986B45844B4990BC6B7097CC694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bd50b-1532-4c22-b385-5c082c960938">
      <Value>52</Value>
      <Value>4417</Value>
      <Value>4442</Value>
      <Value>3</Value>
      <Value>7</Value>
    </TaxCatchAll>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MPFA Fact sheet</TermName>
          <TermId xmlns="http://schemas.microsoft.com/office/infopath/2007/PartnerControls">ef30a2d5-478e-4e19-a26d-0cfa456562ed</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a9509632-5de2-45f9-9fc7-c24df7848880</TermId>
        </TermInfo>
      </Term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38af007d-6d80-4dd0-9833-ef17489d7c7e</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cd41d649-1e1a-44f5-b99b-946d42ce56d6</TermId>
        </TermInfo>
      </Terms>
    </g7bcb40ba23249a78edca7d43a67c1c9>
    <Comments xmlns="http://schemas.microsoft.com/sharepoint/v3">2024 updates</Comments>
    <_dlc_DocId xmlns="a36bd50b-1532-4c22-b385-5c082c960938" xsi:nil="true"/>
    <_dlc_DocIdUrl xmlns="a36bd50b-1532-4c22-b385-5c082c960938">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780164a7762156836e5a3c9042e9904e">
  <xsd:schema xmlns:xsd="http://www.w3.org/2001/XMLSchema" xmlns:xs="http://www.w3.org/2001/XMLSchema" xmlns:p="http://schemas.microsoft.com/office/2006/metadata/properties" xmlns:ns1="http://schemas.microsoft.com/sharepoint/v3" xmlns:ns2="a36bd50b-1532-4c22-b385-5c082c960938" xmlns:ns3="e950eb60-a35e-4b14-88a9-41f408f74491" xmlns:ns4="http://schemas.microsoft.com/sharepoint/v4" targetNamespace="http://schemas.microsoft.com/office/2006/metadata/properties" ma:root="true" ma:fieldsID="f47454887633ca44c0b54924b796084f" ns1:_="" ns2:_="" ns3:_="" ns4:_="">
    <xsd:import namespace="http://schemas.microsoft.com/sharepoint/v3"/>
    <xsd:import namespace="a36bd50b-1532-4c22-b385-5c082c960938"/>
    <xsd:import namespace="e950eb60-a35e-4b14-88a9-41f408f7449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2dff2eb7-e297-4992-b865-1a47fdf64e6a}" ma:internalName="TaxCatchAll" ma:showField="CatchAllData" ma:web="e950eb60-a35e-4b14-88a9-41f408f74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acf7d73-44f1-4bad-9de4-dfdec5c74e03"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0eb60-a35e-4b14-88a9-41f408f7449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CF5D-ECED-40B9-848C-61973DAC72C5}">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4"/>
    <ds:schemaRef ds:uri="http://purl.org/dc/terms/"/>
    <ds:schemaRef ds:uri="e950eb60-a35e-4b14-88a9-41f408f74491"/>
    <ds:schemaRef ds:uri="a36bd50b-1532-4c22-b385-5c082c960938"/>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3.xml><?xml version="1.0" encoding="utf-8"?>
<ds:datastoreItem xmlns:ds="http://schemas.openxmlformats.org/officeDocument/2006/customXml" ds:itemID="{4E50B4FD-314D-4882-A6F7-5B982355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e950eb60-a35e-4b14-88a9-41f408f744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9A0F7-6319-4AD1-B49D-427DDF0B2EE6}">
  <ds:schemaRefs>
    <ds:schemaRef ds:uri="http://schemas.microsoft.com/sharepoint/events"/>
  </ds:schemaRefs>
</ds:datastoreItem>
</file>

<file path=customXml/itemProps5.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DISR-document</Template>
  <TotalTime>1</TotalTime>
  <Pages>1</Pages>
  <Words>467</Words>
  <Characters>2536</Characters>
  <DocSecurity>0</DocSecurity>
  <Lines>64</Lines>
  <Paragraphs>22</Paragraphs>
  <ScaleCrop>false</ScaleCrop>
  <HeadingPairs>
    <vt:vector size="2" baseType="variant">
      <vt:variant>
        <vt:lpstr>Title</vt:lpstr>
      </vt:variant>
      <vt:variant>
        <vt:i4>1</vt:i4>
      </vt:variant>
    </vt:vector>
  </HeadingPairs>
  <TitlesOfParts>
    <vt:vector size="1" baseType="lpstr">
      <vt:lpstr>Legislation Title</vt:lpstr>
    </vt:vector>
  </TitlesOfParts>
  <Manager/>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MPFA@industry.gov.au</dc:creator>
  <cp:keywords/>
  <dc:description/>
  <cp:lastPrinted>2025-02-19T06:14:00Z</cp:lastPrinted>
  <dcterms:created xsi:type="dcterms:W3CDTF">2025-02-19T06:14:00Z</dcterms:created>
  <dcterms:modified xsi:type="dcterms:W3CDTF">2025-02-19T06:14:00Z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MediaServiceImageTags">
    <vt:lpwstr/>
  </property>
  <property fmtid="{D5CDD505-2E9C-101B-9397-08002B2CF9AE}" pid="4" name="DocHub_Year">
    <vt:lpwstr>4417;#2024|a9509632-5de2-45f9-9fc7-c24df7848880</vt:lpwstr>
  </property>
  <property fmtid="{D5CDD505-2E9C-101B-9397-08002B2CF9AE}" pid="5" name="DocHub_DocumentType">
    <vt:lpwstr>52;#Fact Sheet|38af007d-6d80-4dd0-9833-ef17489d7c7e</vt:lpwstr>
  </property>
  <property fmtid="{D5CDD505-2E9C-101B-9397-08002B2CF9AE}" pid="6" name="DocHub_SecurityClassification">
    <vt:lpwstr>3;#OFFICIAL|6106d03b-a1a0-4e30-9d91-d5e9fb4314f9</vt:lpwstr>
  </property>
  <property fmtid="{D5CDD505-2E9C-101B-9397-08002B2CF9AE}" pid="7" name="DocHub_Keywords">
    <vt:lpwstr>4442;#MPFA Fact sheet|ef30a2d5-478e-4e19-a26d-0cfa456562ed</vt:lpwstr>
  </property>
  <property fmtid="{D5CDD505-2E9C-101B-9397-08002B2CF9AE}" pid="8" name="DocHub_WorkActivity">
    <vt:lpwstr>7;#Communication|cd41d649-1e1a-44f5-b99b-946d42ce56d6</vt:lpwstr>
  </property>
</Properties>
</file>