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4B19BD4F" w:rsidR="0068286F" w:rsidRPr="00BC6C16" w:rsidRDefault="00AE2E73" w:rsidP="00BC6C16">
              <w:pPr>
                <w:pStyle w:val="Heading1"/>
              </w:pPr>
              <w:r>
                <w:t>Defence Act 1903</w:t>
              </w:r>
            </w:p>
          </w:sdtContent>
        </w:sdt>
      </w:sdtContent>
    </w:sdt>
    <w:p w14:paraId="5B9A198D" w14:textId="41D29503" w:rsidR="00B400E0" w:rsidRPr="00BC6C16" w:rsidRDefault="00CF5AD3" w:rsidP="00BC6C16">
      <w:pPr>
        <w:pStyle w:val="Subtitle"/>
        <w:sectPr w:rsidR="00B400E0" w:rsidRPr="00BC6C16" w:rsidSect="00B400E0">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t xml:space="preserve">If your project involves </w:t>
      </w:r>
      <w:r w:rsidR="009900CB">
        <w:t xml:space="preserve">specified </w:t>
      </w:r>
      <w:r w:rsidR="00445270">
        <w:t xml:space="preserve">activity within a </w:t>
      </w:r>
      <w:r w:rsidR="009900CB">
        <w:t>d</w:t>
      </w:r>
      <w:r w:rsidR="00445270">
        <w:t>eclared Defence Aviation Area</w:t>
      </w:r>
      <w:r>
        <w:t>, you must obtain approval in accordance with this Act</w:t>
      </w:r>
      <w:r w:rsidR="007F5051" w:rsidRPr="00BC6C16">
        <w:t xml:space="preserve">. </w:t>
      </w:r>
    </w:p>
    <w:p w14:paraId="1E1085AC" w14:textId="0B407E83" w:rsidR="007F5051" w:rsidRPr="00BC6C16" w:rsidRDefault="007F5051" w:rsidP="00BC6C16">
      <w:pPr>
        <w:pStyle w:val="Heading2"/>
      </w:pPr>
      <w:r w:rsidRPr="00BC6C16">
        <w:t>1. What approvals do I need?</w:t>
      </w:r>
    </w:p>
    <w:p w14:paraId="19CF4CA5" w14:textId="77777777" w:rsidR="0063387B" w:rsidRDefault="0063387B" w:rsidP="0063387B">
      <w:pPr>
        <w:rPr>
          <w:rFonts w:ascii="Aptos" w:hAnsi="Aptos"/>
          <w:szCs w:val="20"/>
        </w:rPr>
      </w:pPr>
      <w:r>
        <w:rPr>
          <w:rFonts w:ascii="Aptos" w:hAnsi="Aptos"/>
          <w:szCs w:val="20"/>
        </w:rPr>
        <w:t xml:space="preserve">Defence Aviation Areas (DAA) are declared under the </w:t>
      </w:r>
      <w:hyperlink r:id="rId16" w:history="1">
        <w:r>
          <w:rPr>
            <w:rStyle w:val="Hyperlink"/>
            <w:rFonts w:ascii="Aptos" w:hAnsi="Aptos"/>
            <w:i/>
            <w:iCs/>
            <w:szCs w:val="20"/>
          </w:rPr>
          <w:t>Defence Act 1903</w:t>
        </w:r>
      </w:hyperlink>
      <w:r w:rsidRPr="0063387B">
        <w:rPr>
          <w:rStyle w:val="Hyperlink"/>
          <w:rFonts w:ascii="Aptos" w:hAnsi="Aptos"/>
          <w:i/>
          <w:iCs/>
          <w:szCs w:val="20"/>
          <w:u w:val="none"/>
        </w:rPr>
        <w:t xml:space="preserve"> </w:t>
      </w:r>
      <w:r>
        <w:rPr>
          <w:rFonts w:ascii="Aptos" w:hAnsi="Aptos"/>
          <w:szCs w:val="20"/>
        </w:rPr>
        <w:t xml:space="preserve">and the </w:t>
      </w:r>
      <w:hyperlink r:id="rId17" w:history="1">
        <w:r w:rsidRPr="0063387B">
          <w:rPr>
            <w:rStyle w:val="Hyperlink"/>
          </w:rPr>
          <w:t>Defence Regulation 2016</w:t>
        </w:r>
      </w:hyperlink>
      <w:r>
        <w:rPr>
          <w:rStyle w:val="Hyperlink"/>
          <w:i/>
        </w:rPr>
        <w:t xml:space="preserve"> </w:t>
      </w:r>
      <w:r>
        <w:rPr>
          <w:rFonts w:ascii="Aptos" w:hAnsi="Aptos"/>
          <w:szCs w:val="20"/>
        </w:rPr>
        <w:t>provides the framework for controlling activities within them. Within a DAA, approval is required for activities, structures and objects (including trees and other natural obstacles) that exceed specified height restrictions,</w:t>
      </w:r>
      <w:r>
        <w:t xml:space="preserve"> </w:t>
      </w:r>
      <w:r>
        <w:rPr>
          <w:rFonts w:ascii="Aptos" w:hAnsi="Aptos"/>
          <w:szCs w:val="20"/>
        </w:rPr>
        <w:t xml:space="preserve">generate gas plumes or air turbulence, or pose a hazard to aviation-related operations. </w:t>
      </w:r>
    </w:p>
    <w:p w14:paraId="40BC0D17" w14:textId="77777777" w:rsidR="0063387B" w:rsidRDefault="0063387B" w:rsidP="0063387B">
      <w:pPr>
        <w:rPr>
          <w:rFonts w:ascii="Aptos" w:hAnsi="Aptos"/>
          <w:szCs w:val="20"/>
        </w:rPr>
      </w:pPr>
      <w:r>
        <w:rPr>
          <w:rFonts w:ascii="Aptos" w:hAnsi="Aptos"/>
          <w:szCs w:val="20"/>
        </w:rPr>
        <w:t>Approval may be needed for the following:</w:t>
      </w:r>
    </w:p>
    <w:p w14:paraId="094EF936" w14:textId="77777777" w:rsidR="0063387B" w:rsidRDefault="0063387B" w:rsidP="0063387B">
      <w:pPr>
        <w:pStyle w:val="ListParagraph"/>
        <w:numPr>
          <w:ilvl w:val="0"/>
          <w:numId w:val="13"/>
        </w:numPr>
        <w:spacing w:before="60" w:after="60"/>
      </w:pPr>
      <w:r>
        <w:t>permanent structures, including buildings and communication towers</w:t>
      </w:r>
    </w:p>
    <w:p w14:paraId="35BB3587" w14:textId="77777777" w:rsidR="0063387B" w:rsidRDefault="0063387B" w:rsidP="0063387B">
      <w:pPr>
        <w:pStyle w:val="ListParagraph"/>
        <w:numPr>
          <w:ilvl w:val="0"/>
          <w:numId w:val="13"/>
        </w:numPr>
        <w:spacing w:before="60" w:after="60"/>
      </w:pPr>
      <w:r>
        <w:t>temporary structures, including cranes</w:t>
      </w:r>
    </w:p>
    <w:p w14:paraId="6A015CA0" w14:textId="77777777" w:rsidR="0063387B" w:rsidRDefault="0063387B" w:rsidP="0063387B">
      <w:pPr>
        <w:pStyle w:val="ListParagraph"/>
        <w:numPr>
          <w:ilvl w:val="0"/>
          <w:numId w:val="13"/>
        </w:numPr>
        <w:spacing w:before="60" w:after="60"/>
      </w:pPr>
      <w:r>
        <w:t>wind turbines and wind monitoring masts</w:t>
      </w:r>
    </w:p>
    <w:p w14:paraId="514B4522" w14:textId="77777777" w:rsidR="0063387B" w:rsidRDefault="0063387B" w:rsidP="0063387B">
      <w:pPr>
        <w:pStyle w:val="ListParagraph"/>
        <w:numPr>
          <w:ilvl w:val="0"/>
          <w:numId w:val="13"/>
        </w:numPr>
        <w:spacing w:before="60" w:after="60"/>
      </w:pPr>
      <w:r>
        <w:t>the temporary mooring of structures, including oil rigs and maritime vessels</w:t>
      </w:r>
    </w:p>
    <w:p w14:paraId="4FA80F7A" w14:textId="77777777" w:rsidR="0063387B" w:rsidRDefault="0063387B" w:rsidP="0063387B">
      <w:pPr>
        <w:pStyle w:val="ListParagraph"/>
        <w:numPr>
          <w:ilvl w:val="0"/>
          <w:numId w:val="13"/>
        </w:numPr>
        <w:spacing w:before="60" w:after="60"/>
      </w:pPr>
      <w:r>
        <w:t>vegetation, including trees and plants used for landscaping</w:t>
      </w:r>
    </w:p>
    <w:p w14:paraId="7D66AB42" w14:textId="77777777" w:rsidR="0063387B" w:rsidRDefault="0063387B" w:rsidP="0063387B">
      <w:pPr>
        <w:pStyle w:val="ListParagraph"/>
        <w:numPr>
          <w:ilvl w:val="0"/>
          <w:numId w:val="13"/>
        </w:numPr>
        <w:spacing w:before="60" w:after="60"/>
      </w:pPr>
      <w:r>
        <w:t>gas plumes or air turbulence generated from an exhaust stack</w:t>
      </w:r>
    </w:p>
    <w:p w14:paraId="66C5116A" w14:textId="31929B4F" w:rsidR="0063387B" w:rsidRDefault="0063387B" w:rsidP="0063387B">
      <w:pPr>
        <w:pStyle w:val="ListParagraph"/>
        <w:numPr>
          <w:ilvl w:val="0"/>
          <w:numId w:val="13"/>
        </w:numPr>
      </w:pPr>
      <w:r>
        <w:t>developments where activities may be hazardous to the safety of aircraft operations</w:t>
      </w:r>
    </w:p>
    <w:p w14:paraId="3139F4E3" w14:textId="77777777" w:rsidR="0063387B" w:rsidRDefault="0063387B" w:rsidP="0063387B">
      <w:pPr>
        <w:pStyle w:val="ListParagraph"/>
        <w:numPr>
          <w:ilvl w:val="0"/>
          <w:numId w:val="13"/>
        </w:numPr>
        <w:spacing w:before="60" w:after="60"/>
      </w:pPr>
      <w:r>
        <w:t>objects that may cause interference with other aviation-related communications, navigation or surveillance facilities, including transmitting antenna.</w:t>
      </w:r>
    </w:p>
    <w:p w14:paraId="17747917" w14:textId="670F8D7B" w:rsidR="0063387B" w:rsidRDefault="0063387B" w:rsidP="0063387B">
      <w:r>
        <w:rPr>
          <w:rFonts w:cs="Arial"/>
          <w:iCs/>
        </w:rPr>
        <w:t xml:space="preserve">DAAs cover an area situated within a 15-kilometre radius of a Defence aerodrome. There are currently 14 DAAs across QLD, WA, VIC, SA, NSW and the NT. The location </w:t>
      </w:r>
      <w:r>
        <w:rPr>
          <w:rFonts w:cs="Arial"/>
          <w:iCs/>
        </w:rPr>
        <w:t xml:space="preserve">of </w:t>
      </w:r>
      <w:r>
        <w:t xml:space="preserve">each </w:t>
      </w:r>
      <w:r>
        <w:rPr>
          <w:szCs w:val="20"/>
        </w:rPr>
        <w:t xml:space="preserve">DAA, as well as a link to each individual Ministerial declaration, </w:t>
      </w:r>
      <w:r>
        <w:rPr>
          <w:rFonts w:cs="Arial"/>
          <w:iCs/>
        </w:rPr>
        <w:t xml:space="preserve">is available on the Department of Defence </w:t>
      </w:r>
      <w:hyperlink r:id="rId18" w:history="1">
        <w:r>
          <w:rPr>
            <w:rStyle w:val="Hyperlink"/>
            <w:rFonts w:ascii="Aptos" w:hAnsi="Aptos" w:cs="Arial"/>
            <w:iCs/>
          </w:rPr>
          <w:t>website</w:t>
        </w:r>
      </w:hyperlink>
      <w:r>
        <w:rPr>
          <w:rFonts w:cs="Arial"/>
          <w:iCs/>
        </w:rPr>
        <w:t>.</w:t>
      </w:r>
    </w:p>
    <w:p w14:paraId="6A562BEA" w14:textId="77777777" w:rsidR="0063387B" w:rsidRDefault="0063387B" w:rsidP="0063387B">
      <w:r>
        <w:t>The Ministerial declaration for each DAA specifies</w:t>
      </w:r>
      <w:r>
        <w:rPr>
          <w:rFonts w:ascii="Aptos" w:hAnsi="Aptos" w:cs="Arial"/>
          <w:iCs/>
        </w:rPr>
        <w:t xml:space="preserve"> the</w:t>
      </w:r>
      <w:r>
        <w:t xml:space="preserve"> heights at which proposed structures require approval. </w:t>
      </w:r>
    </w:p>
    <w:p w14:paraId="06DF9191" w14:textId="77777777" w:rsidR="0063387B" w:rsidRDefault="0063387B" w:rsidP="0063387B">
      <w:r>
        <w:t>If an object or activity is considered hazardous to aircraft or aviation-related communications, navigation or surveillance, approval is required regardless of height.</w:t>
      </w:r>
    </w:p>
    <w:p w14:paraId="65E07AF2" w14:textId="5CD67D61" w:rsidR="007F5051" w:rsidRPr="00B400E0" w:rsidRDefault="007F5051" w:rsidP="00BC6C16">
      <w:pPr>
        <w:pStyle w:val="Heading2"/>
      </w:pPr>
      <w:r w:rsidRPr="00B400E0">
        <w:t>2. Who provides the approvals?</w:t>
      </w:r>
    </w:p>
    <w:p w14:paraId="659EE428" w14:textId="77777777" w:rsidR="0063387B" w:rsidRDefault="0063387B" w:rsidP="0063387B">
      <w:pPr>
        <w:rPr>
          <w:rFonts w:ascii="Aptos" w:hAnsi="Aptos"/>
          <w:szCs w:val="20"/>
        </w:rPr>
      </w:pPr>
      <w:r>
        <w:rPr>
          <w:rFonts w:ascii="Aptos" w:hAnsi="Aptos"/>
          <w:szCs w:val="20"/>
        </w:rPr>
        <w:t>The delegate for the Minister for Defence makes decisions on whether to approve proposed developments within a DAA, having regard to advice from the Department of Defence.</w:t>
      </w:r>
    </w:p>
    <w:p w14:paraId="1883C6AF" w14:textId="6CAB8C82" w:rsidR="007F5051" w:rsidRPr="00B400E0" w:rsidRDefault="007F5051" w:rsidP="00BC6C16">
      <w:pPr>
        <w:pStyle w:val="Heading2"/>
      </w:pPr>
      <w:r w:rsidRPr="00B400E0">
        <w:t>3. How do I apply for the approvals?</w:t>
      </w:r>
    </w:p>
    <w:p w14:paraId="73206BB7" w14:textId="77777777" w:rsidR="0063387B" w:rsidRDefault="0063387B" w:rsidP="0063387B">
      <w:pPr>
        <w:rPr>
          <w:rFonts w:ascii="Aptos" w:hAnsi="Aptos"/>
          <w:szCs w:val="20"/>
        </w:rPr>
      </w:pPr>
      <w:r>
        <w:rPr>
          <w:rFonts w:ascii="Aptos" w:hAnsi="Aptos"/>
          <w:szCs w:val="20"/>
        </w:rPr>
        <w:t xml:space="preserve">Applications for approval for proposed activities, structures or objects within a DAA are submitted to the Department for Defence by </w:t>
      </w:r>
      <w:hyperlink r:id="rId19" w:history="1">
        <w:r>
          <w:rPr>
            <w:rStyle w:val="Hyperlink"/>
            <w:rFonts w:ascii="Aptos" w:hAnsi="Aptos"/>
            <w:szCs w:val="20"/>
          </w:rPr>
          <w:t>email</w:t>
        </w:r>
      </w:hyperlink>
      <w:r>
        <w:rPr>
          <w:rFonts w:ascii="Aptos" w:hAnsi="Aptos"/>
          <w:szCs w:val="20"/>
        </w:rPr>
        <w:t>. Applications must contain detail on the height, location and purpose of the proposed development, as well as geographical and grid co-ordinates for the development.</w:t>
      </w:r>
    </w:p>
    <w:p w14:paraId="536F6D53" w14:textId="763C7BFC" w:rsidR="0063387B" w:rsidRPr="0063387B" w:rsidRDefault="0063387B" w:rsidP="0063387B">
      <w:pPr>
        <w:rPr>
          <w:color w:val="15659B" w:themeColor="accent4"/>
          <w:u w:val="single"/>
        </w:rPr>
      </w:pPr>
      <w:r>
        <w:rPr>
          <w:rFonts w:ascii="Aptos" w:hAnsi="Aptos"/>
          <w:szCs w:val="20"/>
        </w:rPr>
        <w:t xml:space="preserve">Application requirements are available on the Department of Defence </w:t>
      </w:r>
      <w:hyperlink r:id="rId20" w:history="1">
        <w:r>
          <w:rPr>
            <w:rStyle w:val="Hyperlink"/>
            <w:rFonts w:ascii="Aptos" w:hAnsi="Aptos"/>
            <w:szCs w:val="20"/>
          </w:rPr>
          <w:t>website</w:t>
        </w:r>
      </w:hyperlink>
      <w:r>
        <w:rPr>
          <w:rFonts w:ascii="Aptos" w:hAnsi="Aptos"/>
          <w:szCs w:val="20"/>
        </w:rPr>
        <w:t>.</w:t>
      </w:r>
    </w:p>
    <w:p w14:paraId="1CDA641B" w14:textId="46C16D90" w:rsidR="007F5051" w:rsidRPr="00B400E0" w:rsidRDefault="007F5051" w:rsidP="00BC6C16">
      <w:pPr>
        <w:pStyle w:val="Heading2"/>
      </w:pPr>
      <w:r w:rsidRPr="00B400E0">
        <w:t>4. More information</w:t>
      </w:r>
    </w:p>
    <w:p w14:paraId="48CE903B" w14:textId="7675C9DB" w:rsidR="007F5051" w:rsidRPr="00B400E0" w:rsidRDefault="00AE2E73" w:rsidP="00BC6C16">
      <w:pPr>
        <w:pStyle w:val="Heading3"/>
      </w:pPr>
      <w:r>
        <w:t>Department of Defence</w:t>
      </w:r>
    </w:p>
    <w:p w14:paraId="3C9A6D49" w14:textId="170D211F" w:rsidR="00AE2E73" w:rsidRPr="007F5051" w:rsidRDefault="00AE2E73" w:rsidP="00AE2E73">
      <w:pPr>
        <w:rPr>
          <w:rFonts w:ascii="Aptos" w:hAnsi="Aptos"/>
          <w:szCs w:val="20"/>
        </w:rPr>
      </w:pPr>
      <w:r w:rsidRPr="007F5051">
        <w:rPr>
          <w:rFonts w:ascii="Aptos" w:hAnsi="Aptos"/>
          <w:szCs w:val="20"/>
        </w:rPr>
        <w:t xml:space="preserve">Further information on </w:t>
      </w:r>
      <w:r w:rsidR="00ED7645">
        <w:rPr>
          <w:rFonts w:ascii="Aptos" w:hAnsi="Aptos"/>
          <w:szCs w:val="20"/>
        </w:rPr>
        <w:t>Defence Aviation Areas</w:t>
      </w:r>
      <w:r w:rsidR="009C76D5">
        <w:rPr>
          <w:rFonts w:ascii="Aptos" w:hAnsi="Aptos"/>
          <w:szCs w:val="20"/>
        </w:rPr>
        <w:t xml:space="preserve"> </w:t>
      </w:r>
      <w:r w:rsidRPr="007F5051">
        <w:rPr>
          <w:rFonts w:ascii="Aptos" w:hAnsi="Aptos"/>
          <w:szCs w:val="20"/>
        </w:rPr>
        <w:t xml:space="preserve">is available on the </w:t>
      </w:r>
      <w:r>
        <w:rPr>
          <w:rFonts w:ascii="Aptos" w:hAnsi="Aptos"/>
          <w:szCs w:val="20"/>
        </w:rPr>
        <w:t>Department of Defence</w:t>
      </w:r>
      <w:r w:rsidRPr="007F5051">
        <w:rPr>
          <w:rFonts w:ascii="Aptos" w:hAnsi="Aptos"/>
          <w:szCs w:val="20"/>
        </w:rPr>
        <w:t xml:space="preserve"> </w:t>
      </w:r>
      <w:hyperlink r:id="rId21" w:history="1">
        <w:r w:rsidRPr="00CF5AD3">
          <w:rPr>
            <w:rStyle w:val="Hyperlink"/>
            <w:rFonts w:ascii="Aptos" w:hAnsi="Aptos"/>
            <w:szCs w:val="20"/>
          </w:rPr>
          <w:t>website</w:t>
        </w:r>
      </w:hyperlink>
      <w:r w:rsidRPr="007F5051">
        <w:rPr>
          <w:rFonts w:ascii="Aptos" w:hAnsi="Aptos"/>
          <w:szCs w:val="20"/>
        </w:rPr>
        <w:t>.</w:t>
      </w:r>
    </w:p>
    <w:p w14:paraId="569D2828" w14:textId="2AEB62BD" w:rsidR="007F5051" w:rsidRPr="00AE2E73" w:rsidRDefault="00AE2E73" w:rsidP="007F5051">
      <w:pPr>
        <w:rPr>
          <w:rFonts w:ascii="Aptos" w:hAnsi="Aptos"/>
          <w:szCs w:val="20"/>
        </w:rPr>
      </w:pPr>
      <w:bookmarkStart w:id="3" w:name="_Hlk179529108"/>
      <w:r>
        <w:rPr>
          <w:rFonts w:ascii="Aptos" w:hAnsi="Aptos"/>
          <w:bCs/>
          <w:szCs w:val="20"/>
        </w:rPr>
        <w:lastRenderedPageBreak/>
        <w:t xml:space="preserve">The Department of Defence </w:t>
      </w:r>
      <w:r w:rsidRPr="007F5051">
        <w:rPr>
          <w:rFonts w:ascii="Aptos" w:hAnsi="Aptos"/>
          <w:bCs/>
          <w:szCs w:val="20"/>
        </w:rPr>
        <w:t xml:space="preserve">can be contacted </w:t>
      </w:r>
      <w:r>
        <w:rPr>
          <w:rFonts w:ascii="Aptos" w:hAnsi="Aptos"/>
          <w:bCs/>
          <w:szCs w:val="20"/>
        </w:rPr>
        <w:t>by</w:t>
      </w:r>
      <w:r w:rsidRPr="007F5051">
        <w:rPr>
          <w:rFonts w:ascii="Aptos" w:hAnsi="Aptos"/>
          <w:bCs/>
          <w:szCs w:val="20"/>
        </w:rPr>
        <w:t xml:space="preserve"> email at </w:t>
      </w:r>
      <w:bookmarkEnd w:id="3"/>
      <w:r>
        <w:rPr>
          <w:rFonts w:ascii="Aptos" w:hAnsi="Aptos"/>
          <w:szCs w:val="20"/>
        </w:rPr>
        <w:fldChar w:fldCharType="begin"/>
      </w:r>
      <w:r>
        <w:rPr>
          <w:rFonts w:ascii="Aptos" w:hAnsi="Aptos"/>
          <w:szCs w:val="20"/>
        </w:rPr>
        <w:instrText>HYPERLINK "mailto:</w:instrText>
      </w:r>
      <w:r w:rsidRPr="00AE2E73">
        <w:rPr>
          <w:rFonts w:ascii="Aptos" w:hAnsi="Aptos"/>
          <w:szCs w:val="20"/>
        </w:rPr>
        <w:instrText>land.planning@defence.gov.au</w:instrText>
      </w:r>
      <w:r>
        <w:rPr>
          <w:rFonts w:ascii="Aptos" w:hAnsi="Aptos"/>
          <w:szCs w:val="20"/>
        </w:rPr>
        <w:instrText>"</w:instrText>
      </w:r>
      <w:r>
        <w:rPr>
          <w:rFonts w:ascii="Aptos" w:hAnsi="Aptos"/>
          <w:szCs w:val="20"/>
        </w:rPr>
      </w:r>
      <w:r>
        <w:rPr>
          <w:rFonts w:ascii="Aptos" w:hAnsi="Aptos"/>
          <w:szCs w:val="20"/>
        </w:rPr>
        <w:fldChar w:fldCharType="separate"/>
      </w:r>
      <w:r w:rsidRPr="00C07141">
        <w:rPr>
          <w:rStyle w:val="Hyperlink"/>
          <w:rFonts w:ascii="Aptos" w:hAnsi="Aptos"/>
          <w:szCs w:val="20"/>
        </w:rPr>
        <w:t>land.planning@defence.gov.au</w:t>
      </w:r>
      <w:r>
        <w:rPr>
          <w:rFonts w:ascii="Aptos" w:hAnsi="Aptos"/>
          <w:szCs w:val="20"/>
        </w:rPr>
        <w:fldChar w:fldCharType="end"/>
      </w:r>
      <w:r w:rsidR="00585C14">
        <w:rPr>
          <w:rFonts w:ascii="Aptos" w:hAnsi="Aptos"/>
          <w:bCs/>
          <w:szCs w:val="20"/>
        </w:rPr>
        <w:t>.</w:t>
      </w:r>
    </w:p>
    <w:p w14:paraId="661A6371" w14:textId="77777777" w:rsidR="007F5051" w:rsidRPr="00BC6C16" w:rsidRDefault="007F5051" w:rsidP="00BC6C16">
      <w:pPr>
        <w:pStyle w:val="Heading3"/>
      </w:pPr>
      <w:bookmarkStart w:id="4" w:name="_Hlk152160540"/>
      <w:r w:rsidRPr="00BC6C16">
        <w:t>Major Projects Facilitation Agency</w:t>
      </w:r>
    </w:p>
    <w:bookmarkEnd w:id="4"/>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22"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455E5024" w14:textId="34DD8627" w:rsidR="00CF5AD3"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23" w:history="1">
        <w:r w:rsidR="00CF5AD3" w:rsidRPr="007C486D">
          <w:rPr>
            <w:rStyle w:val="Hyperlink"/>
            <w:rFonts w:ascii="Aptos" w:eastAsia="Arial" w:hAnsi="Aptos"/>
            <w:szCs w:val="20"/>
          </w:rPr>
          <w:t>MPFA@industry.gov.au</w:t>
        </w:r>
      </w:hyperlink>
      <w:r w:rsidRPr="00F52791">
        <w:rPr>
          <w:rFonts w:ascii="Aptos" w:eastAsia="Arial" w:hAnsi="Aptos" w:cs="Arial"/>
          <w:szCs w:val="20"/>
        </w:rPr>
        <w:t>.</w:t>
      </w:r>
    </w:p>
    <w:sectPr w:rsidR="00CF5AD3" w:rsidRPr="00BC6C16" w:rsidSect="00B400E0">
      <w:headerReference w:type="default" r:id="rId24"/>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64700E1F" w:rsidR="00B400E0" w:rsidRPr="00B400E0" w:rsidRDefault="00360746"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0623B6">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360746"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4E3E35"/>
    <w:multiLevelType w:val="hybridMultilevel"/>
    <w:tmpl w:val="4AECB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F03483"/>
    <w:multiLevelType w:val="multilevel"/>
    <w:tmpl w:val="A0FE9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7984C45"/>
    <w:multiLevelType w:val="multilevel"/>
    <w:tmpl w:val="7EF4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605387">
    <w:abstractNumId w:val="8"/>
  </w:num>
  <w:num w:numId="2" w16cid:durableId="648444589">
    <w:abstractNumId w:val="10"/>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9"/>
  </w:num>
  <w:num w:numId="9" w16cid:durableId="1919442051">
    <w:abstractNumId w:val="7"/>
  </w:num>
  <w:num w:numId="10" w16cid:durableId="481191473">
    <w:abstractNumId w:val="5"/>
  </w:num>
  <w:num w:numId="11" w16cid:durableId="1997495721">
    <w:abstractNumId w:val="6"/>
  </w:num>
  <w:num w:numId="12" w16cid:durableId="1899507726">
    <w:abstractNumId w:val="11"/>
  </w:num>
  <w:num w:numId="13" w16cid:durableId="11591550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43F36"/>
    <w:rsid w:val="00045DCC"/>
    <w:rsid w:val="000552B3"/>
    <w:rsid w:val="000623B6"/>
    <w:rsid w:val="0007067B"/>
    <w:rsid w:val="0008167B"/>
    <w:rsid w:val="00081D07"/>
    <w:rsid w:val="00090DDB"/>
    <w:rsid w:val="000A75CB"/>
    <w:rsid w:val="000B0611"/>
    <w:rsid w:val="000B6C60"/>
    <w:rsid w:val="000C3494"/>
    <w:rsid w:val="000E0F53"/>
    <w:rsid w:val="000E4B0C"/>
    <w:rsid w:val="000E599A"/>
    <w:rsid w:val="000E5C60"/>
    <w:rsid w:val="000F2564"/>
    <w:rsid w:val="00153C15"/>
    <w:rsid w:val="00171757"/>
    <w:rsid w:val="00180E14"/>
    <w:rsid w:val="0018753C"/>
    <w:rsid w:val="00194586"/>
    <w:rsid w:val="00195FE9"/>
    <w:rsid w:val="001A38CC"/>
    <w:rsid w:val="001B314C"/>
    <w:rsid w:val="001D216A"/>
    <w:rsid w:val="001D2E82"/>
    <w:rsid w:val="001D51DA"/>
    <w:rsid w:val="001F5AB1"/>
    <w:rsid w:val="00205DF3"/>
    <w:rsid w:val="0022083E"/>
    <w:rsid w:val="00222D0B"/>
    <w:rsid w:val="00241D3D"/>
    <w:rsid w:val="00254DA8"/>
    <w:rsid w:val="00255CCF"/>
    <w:rsid w:val="00266F7C"/>
    <w:rsid w:val="00272B04"/>
    <w:rsid w:val="00274C94"/>
    <w:rsid w:val="00282ED3"/>
    <w:rsid w:val="00293BAA"/>
    <w:rsid w:val="002A101F"/>
    <w:rsid w:val="002B3A3A"/>
    <w:rsid w:val="002B5C69"/>
    <w:rsid w:val="002D230B"/>
    <w:rsid w:val="002F60C0"/>
    <w:rsid w:val="0031048E"/>
    <w:rsid w:val="0031654A"/>
    <w:rsid w:val="00330C0B"/>
    <w:rsid w:val="0035140F"/>
    <w:rsid w:val="00360746"/>
    <w:rsid w:val="00393784"/>
    <w:rsid w:val="003A0E7F"/>
    <w:rsid w:val="003A2282"/>
    <w:rsid w:val="003A5FBD"/>
    <w:rsid w:val="003D38ED"/>
    <w:rsid w:val="003D747D"/>
    <w:rsid w:val="00406032"/>
    <w:rsid w:val="00423B2E"/>
    <w:rsid w:val="00423D13"/>
    <w:rsid w:val="0043720A"/>
    <w:rsid w:val="00445270"/>
    <w:rsid w:val="004632E9"/>
    <w:rsid w:val="0046678C"/>
    <w:rsid w:val="0048236F"/>
    <w:rsid w:val="004A7856"/>
    <w:rsid w:val="004B4254"/>
    <w:rsid w:val="004D3B0F"/>
    <w:rsid w:val="004E23A9"/>
    <w:rsid w:val="004E27F5"/>
    <w:rsid w:val="004E5181"/>
    <w:rsid w:val="004E75D2"/>
    <w:rsid w:val="004F5BB1"/>
    <w:rsid w:val="00512647"/>
    <w:rsid w:val="00516B0E"/>
    <w:rsid w:val="00527381"/>
    <w:rsid w:val="00540301"/>
    <w:rsid w:val="005419C2"/>
    <w:rsid w:val="00555AF9"/>
    <w:rsid w:val="005706FD"/>
    <w:rsid w:val="00572521"/>
    <w:rsid w:val="005777BC"/>
    <w:rsid w:val="00584B74"/>
    <w:rsid w:val="00585C14"/>
    <w:rsid w:val="005A1B5C"/>
    <w:rsid w:val="005D27F7"/>
    <w:rsid w:val="005E5F5F"/>
    <w:rsid w:val="00603DDF"/>
    <w:rsid w:val="00607188"/>
    <w:rsid w:val="006337C7"/>
    <w:rsid w:val="0063387B"/>
    <w:rsid w:val="00671D1D"/>
    <w:rsid w:val="00671FC8"/>
    <w:rsid w:val="0068286F"/>
    <w:rsid w:val="00695B12"/>
    <w:rsid w:val="00697567"/>
    <w:rsid w:val="00697C73"/>
    <w:rsid w:val="006B130F"/>
    <w:rsid w:val="006C4C9C"/>
    <w:rsid w:val="006D2221"/>
    <w:rsid w:val="006E1636"/>
    <w:rsid w:val="006E1E6A"/>
    <w:rsid w:val="006E4001"/>
    <w:rsid w:val="006F58A5"/>
    <w:rsid w:val="00703734"/>
    <w:rsid w:val="00711349"/>
    <w:rsid w:val="00723C5D"/>
    <w:rsid w:val="0073362E"/>
    <w:rsid w:val="007833EE"/>
    <w:rsid w:val="0079795E"/>
    <w:rsid w:val="007B553F"/>
    <w:rsid w:val="007C1519"/>
    <w:rsid w:val="007F5051"/>
    <w:rsid w:val="00806473"/>
    <w:rsid w:val="00821D4E"/>
    <w:rsid w:val="00826293"/>
    <w:rsid w:val="00853A7A"/>
    <w:rsid w:val="008653E9"/>
    <w:rsid w:val="00872DFF"/>
    <w:rsid w:val="00892B6E"/>
    <w:rsid w:val="008A7C4F"/>
    <w:rsid w:val="008B0980"/>
    <w:rsid w:val="008B7B1E"/>
    <w:rsid w:val="008C2718"/>
    <w:rsid w:val="008C3B21"/>
    <w:rsid w:val="008D244C"/>
    <w:rsid w:val="008E3C31"/>
    <w:rsid w:val="008E5E4B"/>
    <w:rsid w:val="009059E9"/>
    <w:rsid w:val="0091556D"/>
    <w:rsid w:val="00917329"/>
    <w:rsid w:val="00934A4A"/>
    <w:rsid w:val="00960D98"/>
    <w:rsid w:val="00965696"/>
    <w:rsid w:val="009830D1"/>
    <w:rsid w:val="009900CB"/>
    <w:rsid w:val="009A549D"/>
    <w:rsid w:val="009A64AF"/>
    <w:rsid w:val="009C60B9"/>
    <w:rsid w:val="009C76D5"/>
    <w:rsid w:val="009E39E6"/>
    <w:rsid w:val="009F0C6A"/>
    <w:rsid w:val="00A5097F"/>
    <w:rsid w:val="00A52F3D"/>
    <w:rsid w:val="00A61699"/>
    <w:rsid w:val="00A6365B"/>
    <w:rsid w:val="00A731BB"/>
    <w:rsid w:val="00AA740C"/>
    <w:rsid w:val="00AD22BA"/>
    <w:rsid w:val="00AE2E73"/>
    <w:rsid w:val="00AF0787"/>
    <w:rsid w:val="00B01F5E"/>
    <w:rsid w:val="00B15C01"/>
    <w:rsid w:val="00B17B99"/>
    <w:rsid w:val="00B251DB"/>
    <w:rsid w:val="00B26C25"/>
    <w:rsid w:val="00B35C0C"/>
    <w:rsid w:val="00B400E0"/>
    <w:rsid w:val="00B40A60"/>
    <w:rsid w:val="00B45B98"/>
    <w:rsid w:val="00BA237E"/>
    <w:rsid w:val="00BB350F"/>
    <w:rsid w:val="00BC6C16"/>
    <w:rsid w:val="00BD0F8A"/>
    <w:rsid w:val="00BE1CB4"/>
    <w:rsid w:val="00BE53C7"/>
    <w:rsid w:val="00BE6EEA"/>
    <w:rsid w:val="00BF4650"/>
    <w:rsid w:val="00C27CB3"/>
    <w:rsid w:val="00C42F09"/>
    <w:rsid w:val="00C43D48"/>
    <w:rsid w:val="00C50A9A"/>
    <w:rsid w:val="00C65E4E"/>
    <w:rsid w:val="00C859DE"/>
    <w:rsid w:val="00CA41D7"/>
    <w:rsid w:val="00CA45E3"/>
    <w:rsid w:val="00CB2DE1"/>
    <w:rsid w:val="00CB7499"/>
    <w:rsid w:val="00CE4789"/>
    <w:rsid w:val="00CE6BBD"/>
    <w:rsid w:val="00CE7F17"/>
    <w:rsid w:val="00CF5AD3"/>
    <w:rsid w:val="00CF5B8A"/>
    <w:rsid w:val="00D220CF"/>
    <w:rsid w:val="00D27B99"/>
    <w:rsid w:val="00D5340C"/>
    <w:rsid w:val="00D53DCE"/>
    <w:rsid w:val="00D64BFA"/>
    <w:rsid w:val="00D841E9"/>
    <w:rsid w:val="00D9122B"/>
    <w:rsid w:val="00DA1371"/>
    <w:rsid w:val="00DB270D"/>
    <w:rsid w:val="00DC7566"/>
    <w:rsid w:val="00DE04A8"/>
    <w:rsid w:val="00DE1060"/>
    <w:rsid w:val="00E01D7D"/>
    <w:rsid w:val="00E04DA0"/>
    <w:rsid w:val="00E11B00"/>
    <w:rsid w:val="00E3027E"/>
    <w:rsid w:val="00E37443"/>
    <w:rsid w:val="00E51EC5"/>
    <w:rsid w:val="00E80A58"/>
    <w:rsid w:val="00E95372"/>
    <w:rsid w:val="00EA0739"/>
    <w:rsid w:val="00EB2A69"/>
    <w:rsid w:val="00ED173E"/>
    <w:rsid w:val="00ED7645"/>
    <w:rsid w:val="00EE1F4B"/>
    <w:rsid w:val="00EF076A"/>
    <w:rsid w:val="00F1441E"/>
    <w:rsid w:val="00F16FE0"/>
    <w:rsid w:val="00F22BB9"/>
    <w:rsid w:val="00F32757"/>
    <w:rsid w:val="00F3409A"/>
    <w:rsid w:val="00F50FA6"/>
    <w:rsid w:val="00F62B4E"/>
    <w:rsid w:val="00F669E4"/>
    <w:rsid w:val="00F66A4B"/>
    <w:rsid w:val="00FD4042"/>
    <w:rsid w:val="00FE0D47"/>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3607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NormalWeb">
    <w:name w:val="Normal (Web)"/>
    <w:basedOn w:val="Normal"/>
    <w:uiPriority w:val="99"/>
    <w:semiHidden/>
    <w:unhideWhenUsed/>
    <w:rsid w:val="00FE0D47"/>
    <w:rPr>
      <w:rFonts w:ascii="Times New Roman" w:hAnsi="Times New Roman" w:cs="Times New Roman"/>
      <w:sz w:val="24"/>
      <w:szCs w:val="24"/>
    </w:rPr>
  </w:style>
  <w:style w:type="paragraph" w:styleId="Revision">
    <w:name w:val="Revision"/>
    <w:hidden/>
    <w:uiPriority w:val="99"/>
    <w:semiHidden/>
    <w:rsid w:val="003A2282"/>
    <w:pPr>
      <w:spacing w:after="0" w:line="240" w:lineRule="auto"/>
    </w:pPr>
    <w:rPr>
      <w:sz w:val="20"/>
    </w:rPr>
  </w:style>
  <w:style w:type="character" w:customStyle="1" w:styleId="Heading9Char">
    <w:name w:val="Heading 9 Char"/>
    <w:basedOn w:val="DefaultParagraphFont"/>
    <w:link w:val="Heading9"/>
    <w:uiPriority w:val="9"/>
    <w:semiHidden/>
    <w:rsid w:val="003607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263996661">
      <w:bodyDiv w:val="1"/>
      <w:marLeft w:val="0"/>
      <w:marRight w:val="0"/>
      <w:marTop w:val="0"/>
      <w:marBottom w:val="0"/>
      <w:divBdr>
        <w:top w:val="none" w:sz="0" w:space="0" w:color="auto"/>
        <w:left w:val="none" w:sz="0" w:space="0" w:color="auto"/>
        <w:bottom w:val="none" w:sz="0" w:space="0" w:color="auto"/>
        <w:right w:val="none" w:sz="0" w:space="0" w:color="auto"/>
      </w:divBdr>
    </w:div>
    <w:div w:id="281569536">
      <w:bodyDiv w:val="1"/>
      <w:marLeft w:val="0"/>
      <w:marRight w:val="0"/>
      <w:marTop w:val="0"/>
      <w:marBottom w:val="0"/>
      <w:divBdr>
        <w:top w:val="none" w:sz="0" w:space="0" w:color="auto"/>
        <w:left w:val="none" w:sz="0" w:space="0" w:color="auto"/>
        <w:bottom w:val="none" w:sz="0" w:space="0" w:color="auto"/>
        <w:right w:val="none" w:sz="0" w:space="0" w:color="auto"/>
      </w:divBdr>
    </w:div>
    <w:div w:id="29799526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990525578">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78938315">
      <w:bodyDiv w:val="1"/>
      <w:marLeft w:val="0"/>
      <w:marRight w:val="0"/>
      <w:marTop w:val="0"/>
      <w:marBottom w:val="0"/>
      <w:divBdr>
        <w:top w:val="none" w:sz="0" w:space="0" w:color="auto"/>
        <w:left w:val="none" w:sz="0" w:space="0" w:color="auto"/>
        <w:bottom w:val="none" w:sz="0" w:space="0" w:color="auto"/>
        <w:right w:val="none" w:sz="0" w:space="0" w:color="auto"/>
      </w:divBdr>
    </w:div>
    <w:div w:id="1295066407">
      <w:bodyDiv w:val="1"/>
      <w:marLeft w:val="0"/>
      <w:marRight w:val="0"/>
      <w:marTop w:val="0"/>
      <w:marBottom w:val="0"/>
      <w:divBdr>
        <w:top w:val="none" w:sz="0" w:space="0" w:color="auto"/>
        <w:left w:val="none" w:sz="0" w:space="0" w:color="auto"/>
        <w:bottom w:val="none" w:sz="0" w:space="0" w:color="auto"/>
        <w:right w:val="none" w:sz="0" w:space="0" w:color="auto"/>
      </w:divBdr>
    </w:div>
    <w:div w:id="1508061539">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960649200">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efence.gov.au/about/locations-property/defence-aviation-areas-regulatio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defence.gov.au/about/locations-property/defence-aviation-areas-regulati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legislation.gov.au/F2016L01568/latest/tex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C1903A00020/latest/text" TargetMode="External"/><Relationship Id="rId20" Type="http://schemas.openxmlformats.org/officeDocument/2006/relationships/hyperlink" Target="https://www.defence.gov.au/about/locations-property/defence-aviation-areas-regul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PFA@industry.gov.au" TargetMode="External"/><Relationship Id="rId10" Type="http://schemas.openxmlformats.org/officeDocument/2006/relationships/footnotes" Target="footnotes.xml"/><Relationship Id="rId19" Type="http://schemas.openxmlformats.org/officeDocument/2006/relationships/hyperlink" Target="mailto:land.planning@defence.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business.gov.au/expertise-and-advice/major-projects-facilitation-agency/help-too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New fact sheet created in October 2024</Comments>
  </documentManagement>
</p:properties>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2.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3.xml><?xml version="1.0" encoding="utf-8"?>
<ds:datastoreItem xmlns:ds="http://schemas.openxmlformats.org/officeDocument/2006/customXml" ds:itemID="{EF7845FC-D8A7-4FCD-B43E-2C22A072B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5.xml><?xml version="1.0" encoding="utf-8"?>
<ds:datastoreItem xmlns:ds="http://schemas.openxmlformats.org/officeDocument/2006/customXml" ds:itemID="{297BCF5D-ECED-40B9-848C-61973DAC72C5}">
  <ds:schemaRefs>
    <ds:schemaRef ds:uri="http://purl.org/dc/dcmitype/"/>
    <ds:schemaRef ds:uri="http://schemas.microsoft.com/office/2006/documentManagement/types"/>
    <ds:schemaRef ds:uri="http://schemas.microsoft.com/office/2006/metadata/properties"/>
    <ds:schemaRef ds:uri="http://schemas.microsoft.com/sharepoint/v3"/>
    <ds:schemaRef ds:uri="http://purl.org/dc/elements/1.1/"/>
    <ds:schemaRef ds:uri="http://schemas.microsoft.com/office/infopath/2007/PartnerControls"/>
    <ds:schemaRef ds:uri="http://schemas.openxmlformats.org/package/2006/metadata/core-properties"/>
    <ds:schemaRef ds:uri="e950eb60-a35e-4b14-88a9-41f408f74491"/>
    <ds:schemaRef ds:uri="http://schemas.microsoft.com/sharepoint/v4"/>
    <ds:schemaRef ds:uri="a36bd50b-1532-4c22-b385-5c082c96093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DISR-document</Template>
  <TotalTime>0</TotalTime>
  <Pages>2</Pages>
  <Words>422</Words>
  <Characters>2503</Characters>
  <DocSecurity>0</DocSecurity>
  <Lines>68</Lines>
  <Paragraphs>28</Paragraphs>
  <ScaleCrop>false</ScaleCrop>
  <HeadingPairs>
    <vt:vector size="2" baseType="variant">
      <vt:variant>
        <vt:lpstr>Title</vt:lpstr>
      </vt:variant>
      <vt:variant>
        <vt:i4>1</vt:i4>
      </vt:variant>
    </vt:vector>
  </HeadingPairs>
  <TitlesOfParts>
    <vt:vector size="1" baseType="lpstr">
      <vt:lpstr>Defence Act 1903</vt:lpstr>
    </vt:vector>
  </TitlesOfParts>
  <Manager/>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Act 1903</dc:title>
  <dc:subject/>
  <dc:creator>MPFA@industry.gov.au</dc:creator>
  <cp:keywords/>
  <dc:description/>
  <cp:lastPrinted>2025-02-19T06:19:00Z</cp:lastPrinted>
  <dcterms:created xsi:type="dcterms:W3CDTF">2025-02-19T06:19:00Z</dcterms:created>
  <dcterms:modified xsi:type="dcterms:W3CDTF">2025-02-19T06:19:00Z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