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5CA9C8E1" w:rsidR="0068286F" w:rsidRPr="00BC6C16" w:rsidRDefault="00AF0EB7" w:rsidP="00BC6C16">
              <w:pPr>
                <w:pStyle w:val="Heading1"/>
              </w:pPr>
              <w:r w:rsidRPr="00AF0EB7">
                <w:t>Export Control Act 2020</w:t>
              </w:r>
            </w:p>
          </w:sdtContent>
        </w:sdt>
      </w:sdtContent>
    </w:sdt>
    <w:p w14:paraId="5B9A198D" w14:textId="103234C3" w:rsidR="00B400E0" w:rsidRPr="00BC6C16" w:rsidRDefault="00AF0EB7" w:rsidP="00BC6C16">
      <w:pPr>
        <w:pStyle w:val="Subtitle"/>
        <w:sectPr w:rsidR="00B400E0" w:rsidRPr="00BC6C16" w:rsidSect="00AF0EB7">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AF0EB7">
        <w:t>If your project involves exporting goods, including agricultural products and food, from Australian territory, you must meet applicable permit, registration, certification and licencing requirements under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655D7F9A" w14:textId="3CF0DADF" w:rsidR="00AF0EB7" w:rsidRDefault="00AF0EB7" w:rsidP="00AF0EB7">
      <w:r>
        <w:t>An export permit is generally required before goods specified as ‘prescribed goods’ can be exported from Australia in accordance with the</w:t>
      </w:r>
      <w:r w:rsidRPr="001009B8">
        <w:t xml:space="preserve"> </w:t>
      </w:r>
      <w:hyperlink r:id="rId16" w:history="1">
        <w:r w:rsidRPr="001009B8">
          <w:rPr>
            <w:rStyle w:val="Hyperlink"/>
            <w:i/>
            <w:iCs/>
          </w:rPr>
          <w:t>Export Control Act 2020</w:t>
        </w:r>
      </w:hyperlink>
      <w:r w:rsidRPr="001009B8">
        <w:t xml:space="preserve"> (the A</w:t>
      </w:r>
      <w:r w:rsidRPr="007D17EB">
        <w:t>ct)</w:t>
      </w:r>
      <w:r>
        <w:t>.</w:t>
      </w:r>
    </w:p>
    <w:p w14:paraId="4EF513A2" w14:textId="77777777" w:rsidR="00AF0EB7" w:rsidRPr="001009B8" w:rsidRDefault="00AF0EB7" w:rsidP="00AF0EB7">
      <w:r>
        <w:t>Most goods within the following commodity types are prescribed:</w:t>
      </w:r>
    </w:p>
    <w:p w14:paraId="2AFEFBC7" w14:textId="77777777" w:rsidR="00AF0EB7" w:rsidRPr="002A322D" w:rsidRDefault="00AF0EB7" w:rsidP="00AF0EB7">
      <w:pPr>
        <w:pStyle w:val="ListParagraph"/>
        <w:spacing w:before="120"/>
        <w:contextualSpacing/>
      </w:pPr>
      <w:r w:rsidRPr="002A322D">
        <w:t>live animals</w:t>
      </w:r>
    </w:p>
    <w:p w14:paraId="130DD78A" w14:textId="77777777" w:rsidR="00AF0EB7" w:rsidRPr="002A322D" w:rsidRDefault="00AF0EB7" w:rsidP="00AF0EB7">
      <w:pPr>
        <w:pStyle w:val="ListParagraph"/>
        <w:spacing w:before="120"/>
        <w:contextualSpacing/>
      </w:pPr>
      <w:r w:rsidRPr="002A322D">
        <w:t>eggs and their products</w:t>
      </w:r>
    </w:p>
    <w:p w14:paraId="15127F3C" w14:textId="77777777" w:rsidR="00AF0EB7" w:rsidRPr="002A322D" w:rsidRDefault="00AF0EB7" w:rsidP="00AF0EB7">
      <w:pPr>
        <w:pStyle w:val="ListParagraph"/>
        <w:spacing w:before="120"/>
        <w:contextualSpacing/>
      </w:pPr>
      <w:r w:rsidRPr="002A322D">
        <w:t>fish and their products</w:t>
      </w:r>
    </w:p>
    <w:p w14:paraId="01A7D9D2" w14:textId="77777777" w:rsidR="00AF0EB7" w:rsidRPr="002A322D" w:rsidRDefault="00AF0EB7" w:rsidP="00AF0EB7">
      <w:pPr>
        <w:pStyle w:val="ListParagraph"/>
        <w:spacing w:before="120"/>
        <w:contextualSpacing/>
      </w:pPr>
      <w:r w:rsidRPr="002A322D">
        <w:t>milk and their products</w:t>
      </w:r>
    </w:p>
    <w:p w14:paraId="1F5C0989" w14:textId="77777777" w:rsidR="00AF0EB7" w:rsidRPr="002A322D" w:rsidRDefault="00AF0EB7" w:rsidP="00AF0EB7">
      <w:pPr>
        <w:pStyle w:val="ListParagraph"/>
        <w:spacing w:before="120"/>
        <w:contextualSpacing/>
      </w:pPr>
      <w:r w:rsidRPr="002A322D">
        <w:t>meat and their products</w:t>
      </w:r>
    </w:p>
    <w:p w14:paraId="28E681BF" w14:textId="77777777" w:rsidR="00AF0EB7" w:rsidRPr="002A322D" w:rsidRDefault="00AF0EB7" w:rsidP="00AF0EB7">
      <w:pPr>
        <w:pStyle w:val="ListParagraph"/>
        <w:spacing w:before="120"/>
        <w:contextualSpacing/>
      </w:pPr>
      <w:r w:rsidRPr="002A322D">
        <w:t xml:space="preserve">organic products </w:t>
      </w:r>
    </w:p>
    <w:p w14:paraId="2E0C4B7A" w14:textId="77777777" w:rsidR="00AF0EB7" w:rsidRPr="002A322D" w:rsidRDefault="00AF0EB7" w:rsidP="00AF0EB7">
      <w:pPr>
        <w:pStyle w:val="ListParagraph"/>
        <w:spacing w:before="120"/>
        <w:contextualSpacing/>
      </w:pPr>
      <w:r w:rsidRPr="002A322D">
        <w:t>plants and their products</w:t>
      </w:r>
    </w:p>
    <w:p w14:paraId="28B8434D" w14:textId="77777777" w:rsidR="00AF0EB7" w:rsidRPr="002A322D" w:rsidRDefault="00AF0EB7" w:rsidP="00AF0EB7">
      <w:pPr>
        <w:pStyle w:val="ListParagraph"/>
        <w:spacing w:before="120"/>
        <w:contextualSpacing/>
      </w:pPr>
      <w:r w:rsidRPr="002A322D">
        <w:t>poultry meat and their products</w:t>
      </w:r>
    </w:p>
    <w:p w14:paraId="3FFAB71A" w14:textId="77777777" w:rsidR="00AF0EB7" w:rsidRPr="002A322D" w:rsidRDefault="00AF0EB7" w:rsidP="00AF0EB7">
      <w:pPr>
        <w:pStyle w:val="ListParagraph"/>
        <w:spacing w:before="120"/>
        <w:contextualSpacing/>
      </w:pPr>
      <w:r w:rsidRPr="002A322D">
        <w:t>rabbit and ratite meat and their products</w:t>
      </w:r>
    </w:p>
    <w:p w14:paraId="104F45A4" w14:textId="77777777" w:rsidR="00AF0EB7" w:rsidRPr="002A322D" w:rsidRDefault="00AF0EB7" w:rsidP="00AF0EB7">
      <w:pPr>
        <w:pStyle w:val="ListParagraph"/>
        <w:spacing w:before="120"/>
        <w:contextualSpacing/>
      </w:pPr>
      <w:r w:rsidRPr="002A322D">
        <w:t>wild game meat and their products</w:t>
      </w:r>
    </w:p>
    <w:p w14:paraId="4C2F50A3" w14:textId="77777777" w:rsidR="00AF0EB7" w:rsidRPr="002A322D" w:rsidRDefault="00AF0EB7" w:rsidP="00AF0EB7">
      <w:pPr>
        <w:pStyle w:val="ListParagraph"/>
        <w:spacing w:before="120"/>
        <w:contextualSpacing/>
      </w:pPr>
      <w:r w:rsidRPr="002A322D">
        <w:t>wood and woodchips.</w:t>
      </w:r>
    </w:p>
    <w:p w14:paraId="4E354F8F" w14:textId="77777777" w:rsidR="00AF0EB7" w:rsidRDefault="00AF0EB7" w:rsidP="00AF0EB7">
      <w:r>
        <w:t>The</w:t>
      </w:r>
      <w:r w:rsidRPr="007D17EB">
        <w:t xml:space="preserve"> </w:t>
      </w:r>
      <w:hyperlink r:id="rId17" w:history="1">
        <w:r w:rsidRPr="00CC6977">
          <w:rPr>
            <w:rStyle w:val="Hyperlink"/>
          </w:rPr>
          <w:t>Export Control Rules</w:t>
        </w:r>
      </w:hyperlink>
      <w:r>
        <w:t xml:space="preserve"> of each commodity type specify the goods within that type that are and are not prescribed.</w:t>
      </w:r>
    </w:p>
    <w:p w14:paraId="6E3A12B0" w14:textId="2EE8CD2F" w:rsidR="00AF0EB7" w:rsidRDefault="00AF0EB7" w:rsidP="00AF0EB7">
      <w:r>
        <w:t xml:space="preserve">Generally, premises used to prepare and store prescribed goods for export must be </w:t>
      </w:r>
      <w:hyperlink r:id="rId18" w:history="1">
        <w:r w:rsidRPr="00C6000A">
          <w:rPr>
            <w:rStyle w:val="Hyperlink"/>
          </w:rPr>
          <w:t>registered</w:t>
        </w:r>
      </w:hyperlink>
      <w:r>
        <w:t xml:space="preserve"> as an establishment for export operations in relation to those goods. Most premises also need to obtain a</w:t>
      </w:r>
      <w:r w:rsidRPr="00224470">
        <w:t xml:space="preserve">n </w:t>
      </w:r>
      <w:hyperlink r:id="rId19" w:anchor="approved-arrangements" w:history="1">
        <w:r w:rsidRPr="00224470">
          <w:rPr>
            <w:rStyle w:val="Hyperlink"/>
          </w:rPr>
          <w:t>approved arrangement</w:t>
        </w:r>
      </w:hyperlink>
      <w:r w:rsidRPr="00224470">
        <w:t xml:space="preserve"> </w:t>
      </w:r>
      <w:r>
        <w:t>documenting</w:t>
      </w:r>
      <w:r w:rsidRPr="00C6000A">
        <w:t xml:space="preserve"> how </w:t>
      </w:r>
      <w:r>
        <w:t xml:space="preserve">the premises </w:t>
      </w:r>
      <w:r w:rsidRPr="00C6000A">
        <w:t>will meet legal</w:t>
      </w:r>
      <w:r>
        <w:t xml:space="preserve"> </w:t>
      </w:r>
      <w:r w:rsidRPr="00C6000A">
        <w:t>requirements</w:t>
      </w:r>
      <w:r>
        <w:t xml:space="preserve"> for export</w:t>
      </w:r>
      <w:r w:rsidRPr="00C6000A">
        <w:t>.</w:t>
      </w:r>
    </w:p>
    <w:p w14:paraId="367819AF" w14:textId="77777777" w:rsidR="00AF0EB7" w:rsidRDefault="00AF0EB7" w:rsidP="00AF0EB7"/>
    <w:p w14:paraId="27F58AAC" w14:textId="72544575" w:rsidR="00AF0EB7" w:rsidDel="00F01B64" w:rsidRDefault="00AF0EB7" w:rsidP="00AF0EB7">
      <w:r w:rsidRPr="00224470" w:rsidDel="00F01B64">
        <w:t xml:space="preserve">Individual requirements for certification, </w:t>
      </w:r>
      <w:r>
        <w:t xml:space="preserve">accreditation </w:t>
      </w:r>
      <w:r w:rsidRPr="00224470" w:rsidDel="00F01B64">
        <w:t>and licencing may apply depending on the goods</w:t>
      </w:r>
      <w:r>
        <w:t xml:space="preserve"> </w:t>
      </w:r>
      <w:r w:rsidRPr="00224470" w:rsidDel="00F01B64">
        <w:t>involved</w:t>
      </w:r>
      <w:r>
        <w:t xml:space="preserve"> </w:t>
      </w:r>
      <w:r w:rsidRPr="00224470" w:rsidDel="00F01B64">
        <w:t>and importing country requirements.</w:t>
      </w:r>
      <w:r>
        <w:t xml:space="preserve"> </w:t>
      </w:r>
      <w:r w:rsidRPr="00F63935">
        <w:t>A specific trade</w:t>
      </w:r>
      <w:r>
        <w:t xml:space="preserve"> </w:t>
      </w:r>
      <w:r w:rsidRPr="00F63935">
        <w:t>description or official mark may need to be applied to certain goods.</w:t>
      </w:r>
    </w:p>
    <w:p w14:paraId="11D5C21A" w14:textId="77777777" w:rsidR="00AF0EB7" w:rsidRPr="002A322D" w:rsidRDefault="00AF0EB7" w:rsidP="00AF0EB7">
      <w:r w:rsidRPr="00AF0EB7">
        <w:t>Non-prescribed goods</w:t>
      </w:r>
      <w:r w:rsidRPr="00AF0EB7">
        <w:rPr>
          <w:rStyle w:val="Hyperlink"/>
          <w:u w:val="none"/>
        </w:rPr>
        <w:t xml:space="preserve"> </w:t>
      </w:r>
      <w:r w:rsidRPr="00AF0EB7">
        <w:rPr>
          <w:rStyle w:val="Hyperlink"/>
          <w:color w:val="auto"/>
          <w:u w:val="none"/>
        </w:rPr>
        <w:t xml:space="preserve">do not require an export permit, but they must meet </w:t>
      </w:r>
      <w:hyperlink r:id="rId20" w:history="1">
        <w:r w:rsidRPr="00463020">
          <w:rPr>
            <w:rStyle w:val="Hyperlink"/>
          </w:rPr>
          <w:t>importing country requirements</w:t>
        </w:r>
      </w:hyperlink>
      <w:r w:rsidRPr="00AF0EB7">
        <w:rPr>
          <w:rStyle w:val="Hyperlink"/>
          <w:color w:val="auto"/>
          <w:u w:val="none"/>
        </w:rPr>
        <w:t xml:space="preserve"> for certification and/or preparation at an </w:t>
      </w:r>
      <w:hyperlink r:id="rId21" w:history="1">
        <w:r w:rsidRPr="008C5A66">
          <w:rPr>
            <w:rStyle w:val="Hyperlink"/>
          </w:rPr>
          <w:t>export-listed establishment</w:t>
        </w:r>
      </w:hyperlink>
      <w:r w:rsidRPr="00AF0EB7">
        <w:rPr>
          <w:rStyle w:val="Hyperlink"/>
          <w:color w:val="auto"/>
          <w:u w:val="none"/>
        </w:rPr>
        <w:t>.</w:t>
      </w:r>
    </w:p>
    <w:p w14:paraId="5CF31B41" w14:textId="7BBC1D36" w:rsidR="00B400E0" w:rsidRPr="00B400E0" w:rsidRDefault="00AF0EB7" w:rsidP="00AF0EB7">
      <w:pPr>
        <w:rPr>
          <w:rFonts w:ascii="Aptos" w:hAnsi="Aptos"/>
          <w:szCs w:val="20"/>
        </w:rPr>
      </w:pPr>
      <w:r w:rsidRPr="00224470">
        <w:t>To</w:t>
      </w:r>
      <w:r>
        <w:t xml:space="preserve"> determine the specific requirements that apply to the goods you wish to export, please refer to the </w:t>
      </w:r>
      <w:hyperlink r:id="rId22" w:history="1">
        <w:r w:rsidRPr="00755C8A">
          <w:rPr>
            <w:rStyle w:val="Hyperlink"/>
          </w:rPr>
          <w:t>Step by Step Export Guides</w:t>
        </w:r>
      </w:hyperlink>
      <w:r>
        <w:t xml:space="preserve"> available on the </w:t>
      </w:r>
      <w:r w:rsidRPr="00224470">
        <w:t>Department of Agriculture, Fisheries and Forestry</w:t>
      </w:r>
      <w:r>
        <w:t xml:space="preserve"> (DAFF) website</w:t>
      </w:r>
      <w:r w:rsidR="00934A4A">
        <w:rPr>
          <w:rFonts w:ascii="Aptos" w:hAnsi="Aptos"/>
          <w:szCs w:val="20"/>
        </w:rPr>
        <w:t>.</w:t>
      </w:r>
    </w:p>
    <w:p w14:paraId="65E07AF2" w14:textId="5CD67D61" w:rsidR="007F5051" w:rsidRPr="00B400E0" w:rsidRDefault="007F5051" w:rsidP="00BC6C16">
      <w:pPr>
        <w:pStyle w:val="Heading2"/>
      </w:pPr>
      <w:r w:rsidRPr="00B400E0">
        <w:t>2. Who provides the approvals?</w:t>
      </w:r>
    </w:p>
    <w:p w14:paraId="4855421B" w14:textId="77777777" w:rsidR="00AF0EB7" w:rsidRPr="002A322D" w:rsidRDefault="00AF0EB7" w:rsidP="00AF0EB7">
      <w:r w:rsidRPr="002A322D">
        <w:t>DAFF regulates the export of agricultural goods under the Act and oversees approval requirements. The Secretary of DAFF, or their delegate, makes decisions on whether to:</w:t>
      </w:r>
    </w:p>
    <w:p w14:paraId="09D5CEDE" w14:textId="77777777" w:rsidR="00AF0EB7" w:rsidRPr="002A322D" w:rsidRDefault="00AF0EB7" w:rsidP="00AF0EB7">
      <w:pPr>
        <w:pStyle w:val="ListParagraph"/>
        <w:spacing w:before="120"/>
        <w:contextualSpacing/>
      </w:pPr>
      <w:r w:rsidRPr="002A322D">
        <w:t>grant an export permit or licence</w:t>
      </w:r>
    </w:p>
    <w:p w14:paraId="6A6DD1F1" w14:textId="77777777" w:rsidR="00AF0EB7" w:rsidRPr="002A322D" w:rsidRDefault="00AF0EB7" w:rsidP="00AF0EB7">
      <w:pPr>
        <w:pStyle w:val="ListParagraph"/>
        <w:spacing w:before="120"/>
        <w:contextualSpacing/>
      </w:pPr>
      <w:r w:rsidRPr="002A322D">
        <w:t>register an export establishment</w:t>
      </w:r>
    </w:p>
    <w:p w14:paraId="121C0CB4" w14:textId="77777777" w:rsidR="00AF0EB7" w:rsidRPr="002A322D" w:rsidRDefault="00AF0EB7" w:rsidP="00AF0EB7">
      <w:pPr>
        <w:pStyle w:val="ListParagraph"/>
        <w:spacing w:before="120"/>
        <w:contextualSpacing/>
      </w:pPr>
      <w:r w:rsidRPr="002A322D">
        <w:t>issue government certification</w:t>
      </w:r>
    </w:p>
    <w:p w14:paraId="59201C6C" w14:textId="77777777" w:rsidR="00AF0EB7" w:rsidRPr="002A322D" w:rsidRDefault="00AF0EB7" w:rsidP="00AF0EB7">
      <w:pPr>
        <w:pStyle w:val="ListParagraph"/>
        <w:spacing w:before="120"/>
        <w:contextualSpacing/>
      </w:pPr>
      <w:r w:rsidRPr="002A322D">
        <w:t>approve a proposed arrangement</w:t>
      </w:r>
    </w:p>
    <w:p w14:paraId="68FC3142" w14:textId="3FD40F22" w:rsidR="00B400E0" w:rsidRPr="00AF0EB7" w:rsidRDefault="00AF0EB7" w:rsidP="007F5051">
      <w:pPr>
        <w:pStyle w:val="ListParagraph"/>
        <w:spacing w:before="120"/>
        <w:contextualSpacing/>
      </w:pPr>
      <w:r w:rsidRPr="002A322D">
        <w:t>accredit a property</w:t>
      </w:r>
      <w:r w:rsidR="007F5051" w:rsidRPr="00AF0EB7">
        <w:rPr>
          <w:rFonts w:ascii="Aptos" w:hAnsi="Aptos"/>
          <w:szCs w:val="20"/>
        </w:rPr>
        <w:t xml:space="preserve">. </w:t>
      </w:r>
    </w:p>
    <w:p w14:paraId="1883C6AF" w14:textId="6CAB8C82" w:rsidR="007F5051" w:rsidRPr="00B400E0" w:rsidRDefault="007F5051" w:rsidP="00BC6C16">
      <w:pPr>
        <w:pStyle w:val="Heading2"/>
      </w:pPr>
      <w:r w:rsidRPr="00B400E0">
        <w:t>3. How do I apply for the approvals?</w:t>
      </w:r>
    </w:p>
    <w:p w14:paraId="0110B591" w14:textId="73973C2E" w:rsidR="00B400E0" w:rsidRDefault="00AF0EB7" w:rsidP="007F5051">
      <w:pPr>
        <w:rPr>
          <w:rFonts w:ascii="Aptos" w:hAnsi="Aptos"/>
          <w:szCs w:val="20"/>
        </w:rPr>
      </w:pPr>
      <w:r>
        <w:t xml:space="preserve">Applications for export permits, certificates and related documents for </w:t>
      </w:r>
      <w:r w:rsidRPr="00D818DD">
        <w:t>prescribed primary produce</w:t>
      </w:r>
      <w:r>
        <w:t xml:space="preserve"> are made online using either DAFF’s </w:t>
      </w:r>
      <w:r w:rsidRPr="005E1E12">
        <w:t>Next Export Documentation System (</w:t>
      </w:r>
      <w:r w:rsidRPr="00C0755A">
        <w:t>NEXDOC</w:t>
      </w:r>
      <w:r>
        <w:t xml:space="preserve">) or </w:t>
      </w:r>
      <w:r w:rsidRPr="00095133">
        <w:t xml:space="preserve">Export Documentation System </w:t>
      </w:r>
      <w:r w:rsidRPr="00095133">
        <w:lastRenderedPageBreak/>
        <w:t>(</w:t>
      </w:r>
      <w:r w:rsidRPr="00A52F8D">
        <w:t>EXDOC</w:t>
      </w:r>
      <w:r>
        <w:t xml:space="preserve">). Please refer to DAFF’s website for guidance on the registration and application process for </w:t>
      </w:r>
      <w:hyperlink r:id="rId23" w:history="1">
        <w:r w:rsidRPr="005A233C">
          <w:rPr>
            <w:rStyle w:val="Hyperlink"/>
          </w:rPr>
          <w:t>NEXDOC</w:t>
        </w:r>
      </w:hyperlink>
      <w:r>
        <w:t xml:space="preserve"> and </w:t>
      </w:r>
      <w:hyperlink r:id="rId24" w:history="1">
        <w:r w:rsidRPr="005A233C">
          <w:rPr>
            <w:rStyle w:val="Hyperlink"/>
          </w:rPr>
          <w:t>EXDOC</w:t>
        </w:r>
      </w:hyperlink>
      <w:r w:rsidR="007F5051" w:rsidRPr="00B400E0">
        <w:rPr>
          <w:rFonts w:ascii="Aptos" w:hAnsi="Aptos"/>
          <w:szCs w:val="20"/>
        </w:rPr>
        <w:t>.</w:t>
      </w:r>
    </w:p>
    <w:p w14:paraId="74366292" w14:textId="77777777" w:rsidR="00AF0EB7" w:rsidRPr="009E0A92" w:rsidRDefault="00AF0EB7" w:rsidP="00AF0EB7">
      <w:r>
        <w:t>Some a</w:t>
      </w:r>
      <w:r w:rsidRPr="00006204">
        <w:t xml:space="preserve">pprovals and documentation for plant and plant products </w:t>
      </w:r>
      <w:r>
        <w:t>are</w:t>
      </w:r>
      <w:r w:rsidRPr="00006204">
        <w:t xml:space="preserve"> made in DAFF’s online Plant Exports Management System (PEMS), in accordance with the </w:t>
      </w:r>
      <w:hyperlink r:id="rId25" w:history="1">
        <w:r w:rsidRPr="00006204">
          <w:rPr>
            <w:rStyle w:val="Hyperlink"/>
          </w:rPr>
          <w:t>process</w:t>
        </w:r>
      </w:hyperlink>
      <w:r w:rsidRPr="00006204">
        <w:t xml:space="preserve"> outlined on the DAFF website.</w:t>
      </w:r>
    </w:p>
    <w:p w14:paraId="11A7FA34" w14:textId="0447272A" w:rsidR="00AF0EB7" w:rsidRPr="00AF0EB7" w:rsidRDefault="00AF0EB7" w:rsidP="007F5051">
      <w:r>
        <w:rPr>
          <w:rFonts w:cs="Open Sans"/>
          <w:color w:val="000000"/>
          <w:shd w:val="clear" w:color="auto" w:fill="FFFFFF"/>
        </w:rPr>
        <w:t>Applications</w:t>
      </w:r>
      <w:r w:rsidRPr="0098587F">
        <w:t xml:space="preserve"> to register, vary or revoke an export establishment </w:t>
      </w:r>
      <w:r>
        <w:t>are</w:t>
      </w:r>
      <w:r w:rsidRPr="0098587F">
        <w:t xml:space="preserve"> </w:t>
      </w:r>
      <w:r>
        <w:t>managed</w:t>
      </w:r>
      <w:r w:rsidRPr="0098587F">
        <w:t xml:space="preserve"> </w:t>
      </w:r>
      <w:r w:rsidRPr="009E0A92">
        <w:t xml:space="preserve">in </w:t>
      </w:r>
      <w:r>
        <w:t xml:space="preserve">the </w:t>
      </w:r>
      <w:r w:rsidRPr="0098587F">
        <w:t xml:space="preserve">online </w:t>
      </w:r>
      <w:hyperlink r:id="rId26" w:history="1">
        <w:r w:rsidRPr="0098587F">
          <w:rPr>
            <w:rStyle w:val="Hyperlink"/>
          </w:rPr>
          <w:t>Export Service</w:t>
        </w:r>
      </w:hyperlink>
      <w:r w:rsidRPr="0098587F">
        <w:t>.</w:t>
      </w:r>
    </w:p>
    <w:p w14:paraId="1CDA641B" w14:textId="46C16D90" w:rsidR="007F5051" w:rsidRPr="00B400E0" w:rsidRDefault="007F5051" w:rsidP="00BC6C16">
      <w:pPr>
        <w:pStyle w:val="Heading2"/>
      </w:pPr>
      <w:r w:rsidRPr="00B400E0">
        <w:t>4. More information</w:t>
      </w:r>
    </w:p>
    <w:p w14:paraId="48CE903B" w14:textId="425AF4CC" w:rsidR="007F5051" w:rsidRPr="00B400E0" w:rsidRDefault="00AF0EB7" w:rsidP="00BC6C16">
      <w:pPr>
        <w:pStyle w:val="Heading3"/>
      </w:pPr>
      <w:r w:rsidRPr="00AF0EB7">
        <w:t>Department of Agriculture, Fisheries and Forestry</w:t>
      </w:r>
    </w:p>
    <w:p w14:paraId="391F26DA" w14:textId="77777777" w:rsidR="00AF0EB7" w:rsidRDefault="00AF0EB7" w:rsidP="00AF0EB7">
      <w:pPr>
        <w:rPr>
          <w:rStyle w:val="Hyperlink"/>
          <w:color w:val="auto"/>
        </w:rPr>
      </w:pPr>
      <w:r>
        <w:rPr>
          <w:rFonts w:cstheme="minorHAnsi"/>
        </w:rPr>
        <w:t>Further</w:t>
      </w:r>
      <w:r w:rsidRPr="001009B8">
        <w:rPr>
          <w:rFonts w:cstheme="minorHAnsi"/>
        </w:rPr>
        <w:t xml:space="preserve"> information on exporting </w:t>
      </w:r>
      <w:r>
        <w:rPr>
          <w:rFonts w:cstheme="minorHAnsi"/>
        </w:rPr>
        <w:t xml:space="preserve">agricultural </w:t>
      </w:r>
      <w:r w:rsidRPr="001009B8">
        <w:rPr>
          <w:rFonts w:cstheme="minorHAnsi"/>
        </w:rPr>
        <w:t>goods from Australia</w:t>
      </w:r>
      <w:r>
        <w:rPr>
          <w:rFonts w:cstheme="minorHAnsi"/>
        </w:rPr>
        <w:t xml:space="preserve"> is available on </w:t>
      </w:r>
      <w:r w:rsidRPr="001009B8">
        <w:rPr>
          <w:rFonts w:cstheme="minorHAnsi"/>
        </w:rPr>
        <w:t xml:space="preserve">the DAFF </w:t>
      </w:r>
      <w:bookmarkStart w:id="3" w:name="_Hlk152142773"/>
      <w:r w:rsidRPr="001009B8">
        <w:fldChar w:fldCharType="begin"/>
      </w:r>
      <w:r w:rsidRPr="001009B8">
        <w:instrText>HYPERLINK "https://www.agriculture.gov.au/biosecurity-trade/export/from-australia"</w:instrText>
      </w:r>
      <w:r w:rsidRPr="001009B8">
        <w:fldChar w:fldCharType="separate"/>
      </w:r>
      <w:r w:rsidRPr="001009B8">
        <w:rPr>
          <w:rStyle w:val="Hyperlink"/>
        </w:rPr>
        <w:t>website</w:t>
      </w:r>
      <w:r w:rsidRPr="001009B8">
        <w:rPr>
          <w:rStyle w:val="Hyperlink"/>
        </w:rPr>
        <w:fldChar w:fldCharType="end"/>
      </w:r>
      <w:bookmarkEnd w:id="3"/>
      <w:r w:rsidRPr="00AF0EB7">
        <w:rPr>
          <w:rStyle w:val="Hyperlink"/>
          <w:color w:val="auto"/>
          <w:u w:val="none"/>
        </w:rPr>
        <w:t>.</w:t>
      </w:r>
    </w:p>
    <w:p w14:paraId="569D2828" w14:textId="67F75556" w:rsidR="007F5051" w:rsidRPr="00AF0EB7" w:rsidRDefault="00AF0EB7" w:rsidP="007F5051">
      <w:pPr>
        <w:rPr>
          <w:color w:val="001B35" w:themeColor="accent1"/>
        </w:rPr>
      </w:pPr>
      <w:r>
        <w:t xml:space="preserve">DAFF can be contacted by email at </w:t>
      </w:r>
      <w:hyperlink r:id="rId27" w:history="1">
        <w:r w:rsidRPr="00006204">
          <w:rPr>
            <w:rStyle w:val="Hyperlink"/>
          </w:rPr>
          <w:t>exportlegislation@aff.gov.au</w:t>
        </w:r>
      </w:hyperlink>
      <w:r w:rsidR="00585C14">
        <w:rPr>
          <w:rFonts w:ascii="Aptos" w:hAnsi="Aptos"/>
          <w:bCs/>
          <w:szCs w:val="20"/>
        </w:rPr>
        <w:t>.</w:t>
      </w:r>
    </w:p>
    <w:p w14:paraId="661A6371" w14:textId="77777777" w:rsidR="007F5051" w:rsidRPr="00BC6C16" w:rsidRDefault="007F5051" w:rsidP="00BC6C16">
      <w:pPr>
        <w:pStyle w:val="Heading3"/>
      </w:pPr>
      <w:bookmarkStart w:id="4" w:name="_Hlk152160540"/>
      <w:r w:rsidRPr="00BC6C16">
        <w:t>Major Projects Facilitation Agency</w:t>
      </w:r>
    </w:p>
    <w:bookmarkEnd w:id="4"/>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8"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9"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30"/>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2B4EB4B5" w:rsidR="00B400E0" w:rsidRPr="00B400E0" w:rsidRDefault="00FF6A1E"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984053">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FF6A1E"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31C46"/>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85C14"/>
    <w:rsid w:val="005A1B5C"/>
    <w:rsid w:val="005D27F7"/>
    <w:rsid w:val="005E5F5F"/>
    <w:rsid w:val="00603DDF"/>
    <w:rsid w:val="00607188"/>
    <w:rsid w:val="006337C7"/>
    <w:rsid w:val="00671D1D"/>
    <w:rsid w:val="00671FC8"/>
    <w:rsid w:val="006735F2"/>
    <w:rsid w:val="0068286F"/>
    <w:rsid w:val="00695B12"/>
    <w:rsid w:val="00697567"/>
    <w:rsid w:val="00697C73"/>
    <w:rsid w:val="006C4C9C"/>
    <w:rsid w:val="006D2221"/>
    <w:rsid w:val="006E1636"/>
    <w:rsid w:val="006E1E6A"/>
    <w:rsid w:val="006E4001"/>
    <w:rsid w:val="006F3486"/>
    <w:rsid w:val="006F58A5"/>
    <w:rsid w:val="00703734"/>
    <w:rsid w:val="00711349"/>
    <w:rsid w:val="00723C5D"/>
    <w:rsid w:val="0073362E"/>
    <w:rsid w:val="007833EE"/>
    <w:rsid w:val="007B553F"/>
    <w:rsid w:val="007F5051"/>
    <w:rsid w:val="00806473"/>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60D98"/>
    <w:rsid w:val="009830D1"/>
    <w:rsid w:val="00984053"/>
    <w:rsid w:val="009A549D"/>
    <w:rsid w:val="009A64AF"/>
    <w:rsid w:val="009C60B9"/>
    <w:rsid w:val="009E39E6"/>
    <w:rsid w:val="00A52F3D"/>
    <w:rsid w:val="00A61699"/>
    <w:rsid w:val="00A6365B"/>
    <w:rsid w:val="00A731BB"/>
    <w:rsid w:val="00AA740C"/>
    <w:rsid w:val="00AD22BA"/>
    <w:rsid w:val="00AF0EB7"/>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27CB3"/>
    <w:rsid w:val="00C42F09"/>
    <w:rsid w:val="00C43D48"/>
    <w:rsid w:val="00C50A9A"/>
    <w:rsid w:val="00C65E4E"/>
    <w:rsid w:val="00C859DE"/>
    <w:rsid w:val="00CB2DE1"/>
    <w:rsid w:val="00CB7499"/>
    <w:rsid w:val="00CE4789"/>
    <w:rsid w:val="00CE6BBD"/>
    <w:rsid w:val="00CE7F17"/>
    <w:rsid w:val="00CF5B8A"/>
    <w:rsid w:val="00D220CF"/>
    <w:rsid w:val="00D27B99"/>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B4E"/>
    <w:rsid w:val="00F669E4"/>
    <w:rsid w:val="00F66A4B"/>
    <w:rsid w:val="00FD4042"/>
    <w:rsid w:val="00FE4569"/>
    <w:rsid w:val="00FE7DB2"/>
    <w:rsid w:val="00FF6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FF6A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styleId="IntenseEmphasis">
    <w:name w:val="Intense Emphasis"/>
    <w:basedOn w:val="DefaultParagraphFont"/>
    <w:uiPriority w:val="21"/>
    <w:rsid w:val="00AF0EB7"/>
    <w:rPr>
      <w:b/>
      <w:bCs/>
      <w:i/>
      <w:iCs/>
      <w:color w:val="001B35" w:themeColor="accent1"/>
    </w:rPr>
  </w:style>
  <w:style w:type="character" w:customStyle="1" w:styleId="Heading9Char">
    <w:name w:val="Heading 9 Char"/>
    <w:basedOn w:val="DefaultParagraphFont"/>
    <w:link w:val="Heading9"/>
    <w:uiPriority w:val="9"/>
    <w:semiHidden/>
    <w:rsid w:val="00FF6A1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griculture.gov.au/biosecurity-trade/export/from-australia/documentation-registration-licensing/establishment-registration" TargetMode="External"/><Relationship Id="rId26" Type="http://schemas.openxmlformats.org/officeDocument/2006/relationships/hyperlink" Target="https://exports.agriculture.gov.au/" TargetMode="External"/><Relationship Id="rId3" Type="http://schemas.openxmlformats.org/officeDocument/2006/relationships/customXml" Target="../customXml/item3.xml"/><Relationship Id="rId21" Type="http://schemas.openxmlformats.org/officeDocument/2006/relationships/hyperlink" Target="https://www.agriculture.gov.au/biosecurity-trade/export/controlled-goods/non-prescribed-goods/export-listed-establishme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au/C2020A00012/latest/authorises" TargetMode="External"/><Relationship Id="rId25" Type="http://schemas.openxmlformats.org/officeDocument/2006/relationships/hyperlink" Target="https://www.agriculture.gov.au/biosecurity-trade/export/controlled-goods/plants-plant-products/plant-exports-management-system-inform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20A00012/latest/text" TargetMode="External"/><Relationship Id="rId20" Type="http://schemas.openxmlformats.org/officeDocument/2006/relationships/hyperlink" Target="https://www.agriculture.gov.au/biosecurity-trade/export/micor" TargetMode="External"/><Relationship Id="rId29" Type="http://schemas.openxmlformats.org/officeDocument/2006/relationships/hyperlink" Target="mailto:MPFA@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iculture.gov.au/biosecurity-trade/export/certification/exdoc/register"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griculture.gov.au/biosecurity-trade/export/certification/nexdoc/access" TargetMode="External"/><Relationship Id="rId28" Type="http://schemas.openxmlformats.org/officeDocument/2006/relationships/hyperlink" Target="https://business.gov.au/expertise-and-advice/major-projects-facilitation-agency/help-tool" TargetMode="External"/><Relationship Id="rId10" Type="http://schemas.openxmlformats.org/officeDocument/2006/relationships/footnotes" Target="footnotes.xml"/><Relationship Id="rId19" Type="http://schemas.openxmlformats.org/officeDocument/2006/relationships/hyperlink" Target="https://www.agriculture.gov.au/biosecurity-trade/export/from-austral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griculture.gov.au/biosecurity-trade/export/from-australia/step-by-step-exporter-guides" TargetMode="External"/><Relationship Id="rId27" Type="http://schemas.openxmlformats.org/officeDocument/2006/relationships/hyperlink" Target="mailto:exportlegislation@aff.gov.au" TargetMode="External"/><Relationship Id="rId30" Type="http://schemas.openxmlformats.org/officeDocument/2006/relationships/header" Target="header3.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BCF5D-ECED-40B9-848C-61973DAC72C5}">
  <ds:schemaRefs>
    <ds:schemaRef ds:uri="http://schemas.microsoft.com/office/2006/documentManagement/types"/>
    <ds:schemaRef ds:uri="http://purl.org/dc/elements/1.1/"/>
    <ds:schemaRef ds:uri="http://purl.org/dc/dcmitype/"/>
    <ds:schemaRef ds:uri="e950eb60-a35e-4b14-88a9-41f408f74491"/>
    <ds:schemaRef ds:uri="http://schemas.microsoft.com/sharepoint/v4"/>
    <ds:schemaRef ds:uri="http://schemas.microsoft.com/sharepoint/v3"/>
    <ds:schemaRef ds:uri="http://schemas.openxmlformats.org/package/2006/metadata/core-properties"/>
    <ds:schemaRef ds:uri="http://schemas.microsoft.com/office/infopath/2007/PartnerControls"/>
    <ds:schemaRef ds:uri="http://www.w3.org/XML/1998/namespace"/>
    <ds:schemaRef ds:uri="a36bd50b-1532-4c22-b385-5c082c9609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4.xml><?xml version="1.0" encoding="utf-8"?>
<ds:datastoreItem xmlns:ds="http://schemas.openxmlformats.org/officeDocument/2006/customXml" ds:itemID="{865AF765-BCC8-4AFB-8B64-4BD768BF5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AE6EB-A8D4-4D9D-8D6C-A552C96C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2</Pages>
  <Words>699</Words>
  <Characters>4084</Characters>
  <DocSecurity>0</DocSecurity>
  <Lines>120</Lines>
  <Paragraphs>64</Paragraphs>
  <ScaleCrop>false</ScaleCrop>
  <HeadingPairs>
    <vt:vector size="2" baseType="variant">
      <vt:variant>
        <vt:lpstr>Title</vt:lpstr>
      </vt:variant>
      <vt:variant>
        <vt:i4>1</vt:i4>
      </vt:variant>
    </vt:vector>
  </HeadingPairs>
  <TitlesOfParts>
    <vt:vector size="1" baseType="lpstr">
      <vt:lpstr>Legislation Title</vt:lpstr>
    </vt:vector>
  </TitlesOfParts>
  <Manager/>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Act 2020</dc:title>
  <dc:subject/>
  <dc:creator>MPFA@industry.gov.au</dc:creator>
  <cp:keywords/>
  <dc:description/>
  <cp:lastPrinted>2025-02-19T06:38:00Z</cp:lastPrinted>
  <dcterms:created xsi:type="dcterms:W3CDTF">2025-02-19T06:38:00Z</dcterms:created>
  <dcterms:modified xsi:type="dcterms:W3CDTF">2025-02-19T06:38:00Z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