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289801" w:displacedByCustomXml="next"/>
    <w:bookmarkStart w:id="1" w:name="_Toc144911604" w:displacedByCustomXml="next"/>
    <w:bookmarkStart w:id="2" w:name="_Toc155176735" w:displacedByCustomXml="next"/>
    <w:sdt>
      <w:sdtPr>
        <w:id w:val="-2088995269"/>
        <w:docPartObj>
          <w:docPartGallery w:val="Cover Pages"/>
          <w:docPartUnique/>
        </w:docPartObj>
      </w:sdtPr>
      <w:sdtEndPr/>
      <w:sdtContent>
        <w:bookmarkEnd w:id="0" w:displacedByCustomXml="next"/>
        <w:bookmarkEnd w:id="1" w:displacedByCustomXml="next"/>
        <w:bookmarkEnd w:id="2" w:displacedByCustomXml="next"/>
        <w:sdt>
          <w:sdtPr>
            <w:alias w:val="Title"/>
            <w:tag w:val=""/>
            <w:id w:val="-856345196"/>
            <w:placeholder>
              <w:docPart w:val="71986B45844B4990BC6B7097CC6940AD"/>
            </w:placeholder>
            <w:dataBinding w:prefixMappings="xmlns:ns0='http://purl.org/dc/elements/1.1/' xmlns:ns1='http://schemas.openxmlformats.org/package/2006/metadata/core-properties' " w:xpath="/ns1:coreProperties[1]/ns0:title[1]" w:storeItemID="{6C3C8BC8-F283-45AE-878A-BAB7291924A1}"/>
            <w:text/>
          </w:sdtPr>
          <w:sdtEndPr/>
          <w:sdtContent>
            <w:p w14:paraId="0B7559B1" w14:textId="4136D8EA" w:rsidR="0068286F" w:rsidRPr="00BC6C16" w:rsidRDefault="00AD32A5" w:rsidP="00BC6C16">
              <w:pPr>
                <w:pStyle w:val="Heading1"/>
              </w:pPr>
              <w:r w:rsidRPr="00AD32A5">
                <w:t>Foreign Acquisitions and Takeovers Act 1975</w:t>
              </w:r>
            </w:p>
          </w:sdtContent>
        </w:sdt>
      </w:sdtContent>
    </w:sdt>
    <w:p w14:paraId="5B9A198D" w14:textId="6AA9CF04" w:rsidR="00B400E0" w:rsidRPr="00BC6C16" w:rsidRDefault="00AD32A5" w:rsidP="00AD32A5">
      <w:pPr>
        <w:pStyle w:val="Subtitle"/>
        <w:spacing w:before="100" w:after="220"/>
        <w:sectPr w:rsidR="00B400E0" w:rsidRPr="00BC6C16" w:rsidSect="00AD32A5">
          <w:headerReference w:type="default" r:id="rId12"/>
          <w:footerReference w:type="default" r:id="rId13"/>
          <w:headerReference w:type="first" r:id="rId14"/>
          <w:footerReference w:type="first" r:id="rId15"/>
          <w:pgSz w:w="11906" w:h="16838"/>
          <w:pgMar w:top="720" w:right="720" w:bottom="720" w:left="720" w:header="510" w:footer="567" w:gutter="0"/>
          <w:cols w:space="708"/>
          <w:docGrid w:linePitch="360"/>
        </w:sectPr>
      </w:pPr>
      <w:r w:rsidRPr="00AD32A5">
        <w:t>If your project involves foreign investment in Australia, you may need approval before the proposed investment can occur and you must comply with any applicable conditions under this Act</w:t>
      </w:r>
      <w:r w:rsidR="007F5051" w:rsidRPr="00BC6C16">
        <w:t xml:space="preserve">. </w:t>
      </w:r>
    </w:p>
    <w:p w14:paraId="1E1085AC" w14:textId="0B407E83" w:rsidR="007F5051" w:rsidRPr="00BC6C16" w:rsidRDefault="007F5051" w:rsidP="00AD32A5">
      <w:pPr>
        <w:pStyle w:val="Heading2"/>
        <w:spacing w:before="100" w:after="100"/>
      </w:pPr>
      <w:r w:rsidRPr="00BC6C16">
        <w:t>1. What approvals do I need?</w:t>
      </w:r>
    </w:p>
    <w:p w14:paraId="17127095" w14:textId="4A80CA64" w:rsidR="00AD32A5" w:rsidRDefault="00AD32A5" w:rsidP="00AD32A5">
      <w:pPr>
        <w:spacing w:before="100" w:after="100"/>
        <w:rPr>
          <w:rFonts w:ascii="Aptos" w:hAnsi="Aptos"/>
        </w:rPr>
      </w:pPr>
      <w:bookmarkStart w:id="3" w:name="_Hlk151552508"/>
      <w:r>
        <w:rPr>
          <w:rFonts w:ascii="Aptos" w:hAnsi="Aptos"/>
          <w:iCs/>
        </w:rPr>
        <w:t>A</w:t>
      </w:r>
      <w:r w:rsidRPr="00E1629E">
        <w:rPr>
          <w:rFonts w:ascii="Aptos" w:hAnsi="Aptos"/>
          <w:iCs/>
        </w:rPr>
        <w:t>pproval</w:t>
      </w:r>
      <w:r w:rsidRPr="00E1629E">
        <w:rPr>
          <w:rFonts w:ascii="Aptos" w:hAnsi="Aptos"/>
        </w:rPr>
        <w:t xml:space="preserve"> is required for proposed foreign investments that meet certain criteria </w:t>
      </w:r>
      <w:r>
        <w:rPr>
          <w:rFonts w:ascii="Aptos" w:hAnsi="Aptos"/>
        </w:rPr>
        <w:t>under t</w:t>
      </w:r>
      <w:r w:rsidRPr="00E1629E">
        <w:rPr>
          <w:rFonts w:ascii="Aptos" w:hAnsi="Aptos"/>
        </w:rPr>
        <w:t xml:space="preserve">he </w:t>
      </w:r>
      <w:hyperlink r:id="rId16" w:history="1">
        <w:r w:rsidRPr="00E1629E">
          <w:rPr>
            <w:rStyle w:val="Hyperlink"/>
            <w:i/>
          </w:rPr>
          <w:t>Foreign Acquisitions and Takeovers Act 1975</w:t>
        </w:r>
      </w:hyperlink>
      <w:r w:rsidRPr="00E1629E">
        <w:rPr>
          <w:rFonts w:ascii="Aptos" w:hAnsi="Aptos"/>
          <w:i/>
        </w:rPr>
        <w:t xml:space="preserve"> </w:t>
      </w:r>
      <w:r w:rsidRPr="00E1629E">
        <w:rPr>
          <w:rFonts w:ascii="Aptos" w:hAnsi="Aptos"/>
        </w:rPr>
        <w:t>(the Act)</w:t>
      </w:r>
      <w:r>
        <w:rPr>
          <w:rFonts w:ascii="Aptos" w:hAnsi="Aptos"/>
        </w:rPr>
        <w:t>.</w:t>
      </w:r>
      <w:r w:rsidRPr="00E1629E">
        <w:rPr>
          <w:rFonts w:ascii="Aptos" w:hAnsi="Aptos"/>
          <w:i/>
        </w:rPr>
        <w:t xml:space="preserve"> </w:t>
      </w:r>
      <w:r w:rsidRPr="00E1629E">
        <w:rPr>
          <w:rFonts w:ascii="Aptos" w:hAnsi="Aptos"/>
        </w:rPr>
        <w:t>Investments may</w:t>
      </w:r>
      <w:r>
        <w:rPr>
          <w:rFonts w:ascii="Aptos" w:hAnsi="Aptos"/>
        </w:rPr>
        <w:t xml:space="preserve"> also</w:t>
      </w:r>
      <w:r w:rsidRPr="00E1629E">
        <w:rPr>
          <w:rFonts w:ascii="Aptos" w:hAnsi="Aptos"/>
        </w:rPr>
        <w:t xml:space="preserve"> be subject to specific conditions.</w:t>
      </w:r>
    </w:p>
    <w:p w14:paraId="3975C1B8" w14:textId="77777777" w:rsidR="00AD32A5" w:rsidRPr="00D7161F" w:rsidRDefault="00AD32A5" w:rsidP="00AD32A5">
      <w:pPr>
        <w:spacing w:before="100" w:after="100"/>
        <w:rPr>
          <w:rFonts w:ascii="Aptos" w:hAnsi="Aptos"/>
        </w:rPr>
      </w:pPr>
      <w:r>
        <w:rPr>
          <w:rFonts w:ascii="Aptos" w:hAnsi="Aptos"/>
        </w:rPr>
        <w:t>Approval may be</w:t>
      </w:r>
      <w:r w:rsidRPr="00E1629E">
        <w:rPr>
          <w:rFonts w:ascii="Aptos" w:hAnsi="Aptos"/>
        </w:rPr>
        <w:t xml:space="preserve"> required for foreign investment in </w:t>
      </w:r>
      <w:bookmarkEnd w:id="3"/>
      <w:r w:rsidRPr="00E1629E">
        <w:rPr>
          <w:rFonts w:ascii="Aptos" w:hAnsi="Aptos"/>
        </w:rPr>
        <w:t xml:space="preserve">any of the </w:t>
      </w:r>
      <w:r w:rsidRPr="00D7161F">
        <w:rPr>
          <w:rFonts w:ascii="Aptos" w:hAnsi="Aptos"/>
        </w:rPr>
        <w:t>following in Australia</w:t>
      </w:r>
      <w:r w:rsidRPr="00D7161F">
        <w:rPr>
          <w:rFonts w:ascii="Aptos" w:hAnsi="Aptos"/>
          <w:iCs/>
        </w:rPr>
        <w:t>:</w:t>
      </w:r>
    </w:p>
    <w:p w14:paraId="75959585" w14:textId="77777777" w:rsidR="00AD32A5" w:rsidRPr="007E1BF3" w:rsidRDefault="00AD32A5" w:rsidP="00AD32A5">
      <w:pPr>
        <w:pStyle w:val="ListParagraph"/>
        <w:spacing w:after="0"/>
      </w:pPr>
      <w:r w:rsidRPr="007E1BF3">
        <w:t>an entity or business</w:t>
      </w:r>
    </w:p>
    <w:p w14:paraId="0695FBD1" w14:textId="77777777" w:rsidR="00AD32A5" w:rsidRPr="007E1BF3" w:rsidRDefault="00AD32A5" w:rsidP="00AD32A5">
      <w:pPr>
        <w:pStyle w:val="ListParagraph"/>
        <w:spacing w:after="0"/>
      </w:pPr>
      <w:r w:rsidRPr="007E1BF3">
        <w:t>agricultural land</w:t>
      </w:r>
    </w:p>
    <w:p w14:paraId="42EA3500" w14:textId="77777777" w:rsidR="00AD32A5" w:rsidRPr="007E1BF3" w:rsidRDefault="00AD32A5" w:rsidP="00AD32A5">
      <w:pPr>
        <w:pStyle w:val="ListParagraph"/>
        <w:spacing w:after="0"/>
      </w:pPr>
      <w:r w:rsidRPr="007E1BF3">
        <w:t>commercial land</w:t>
      </w:r>
    </w:p>
    <w:p w14:paraId="2E00240E" w14:textId="77777777" w:rsidR="00AD32A5" w:rsidRPr="007E1BF3" w:rsidRDefault="00AD32A5" w:rsidP="00AD32A5">
      <w:pPr>
        <w:pStyle w:val="ListParagraph"/>
        <w:spacing w:after="0"/>
      </w:pPr>
      <w:r w:rsidRPr="007E1BF3">
        <w:t xml:space="preserve">a mining, production, or exploration tenement </w:t>
      </w:r>
    </w:p>
    <w:p w14:paraId="56740BDF" w14:textId="77777777" w:rsidR="00AD32A5" w:rsidRPr="007E1BF3" w:rsidRDefault="00AD32A5" w:rsidP="00AD32A5">
      <w:pPr>
        <w:pStyle w:val="ListParagraph"/>
        <w:spacing w:after="0"/>
      </w:pPr>
      <w:r w:rsidRPr="007E1BF3">
        <w:t>residential land</w:t>
      </w:r>
    </w:p>
    <w:p w14:paraId="3CF83B3C" w14:textId="77777777" w:rsidR="00AD32A5" w:rsidRPr="007E1BF3" w:rsidRDefault="00AD32A5" w:rsidP="00AD32A5">
      <w:pPr>
        <w:pStyle w:val="ListParagraph"/>
        <w:spacing w:after="0"/>
      </w:pPr>
      <w:r w:rsidRPr="007E1BF3">
        <w:t>a national security business or land.</w:t>
      </w:r>
    </w:p>
    <w:p w14:paraId="5CF31B41" w14:textId="5AA99FA7" w:rsidR="00B400E0" w:rsidRPr="00AD32A5" w:rsidRDefault="00AD32A5" w:rsidP="00AD32A5">
      <w:pPr>
        <w:spacing w:before="100" w:after="100"/>
        <w:rPr>
          <w:rFonts w:ascii="Aptos" w:hAnsi="Aptos"/>
        </w:rPr>
      </w:pPr>
      <w:r>
        <w:rPr>
          <w:rFonts w:ascii="Aptos" w:hAnsi="Aptos"/>
        </w:rPr>
        <w:t xml:space="preserve">Individual </w:t>
      </w:r>
      <w:hyperlink r:id="rId17" w:history="1">
        <w:r w:rsidRPr="00BA0FCB">
          <w:rPr>
            <w:rStyle w:val="Hyperlink"/>
          </w:rPr>
          <w:t>guidance notes</w:t>
        </w:r>
      </w:hyperlink>
      <w:r>
        <w:rPr>
          <w:rFonts w:ascii="Aptos" w:hAnsi="Aptos"/>
        </w:rPr>
        <w:t xml:space="preserve"> on each of these investment types are available from The Treasury website. </w:t>
      </w:r>
      <w:r>
        <w:rPr>
          <w:rFonts w:ascii="Aptos" w:hAnsi="Aptos"/>
          <w:iCs/>
        </w:rPr>
        <w:t>Approval requirements will depend on f</w:t>
      </w:r>
      <w:r w:rsidRPr="00410065">
        <w:rPr>
          <w:rFonts w:ascii="Aptos" w:hAnsi="Aptos"/>
          <w:iCs/>
        </w:rPr>
        <w:t xml:space="preserve">actors including </w:t>
      </w:r>
      <w:hyperlink r:id="rId18" w:history="1">
        <w:r w:rsidRPr="00410065">
          <w:rPr>
            <w:rStyle w:val="Hyperlink"/>
            <w:iCs/>
          </w:rPr>
          <w:t>monetary thresholds</w:t>
        </w:r>
      </w:hyperlink>
      <w:r w:rsidRPr="00410065">
        <w:rPr>
          <w:rFonts w:ascii="Aptos" w:hAnsi="Aptos"/>
          <w:iCs/>
        </w:rPr>
        <w:t xml:space="preserve">, ownership percentages and </w:t>
      </w:r>
      <w:r>
        <w:rPr>
          <w:rFonts w:ascii="Aptos" w:hAnsi="Aptos"/>
          <w:iCs/>
        </w:rPr>
        <w:t>whether any exemptions apply</w:t>
      </w:r>
      <w:r w:rsidR="00934A4A">
        <w:rPr>
          <w:rFonts w:ascii="Aptos" w:hAnsi="Aptos"/>
          <w:szCs w:val="20"/>
        </w:rPr>
        <w:t>.</w:t>
      </w:r>
    </w:p>
    <w:p w14:paraId="65E07AF2" w14:textId="5CD67D61" w:rsidR="007F5051" w:rsidRPr="00B400E0" w:rsidRDefault="007F5051" w:rsidP="00AD32A5">
      <w:pPr>
        <w:pStyle w:val="Heading2"/>
        <w:spacing w:before="100" w:after="100"/>
      </w:pPr>
      <w:r w:rsidRPr="00B400E0">
        <w:t>2. Who provides the approvals?</w:t>
      </w:r>
    </w:p>
    <w:p w14:paraId="4ADD337C" w14:textId="77777777" w:rsidR="00AD32A5" w:rsidRDefault="00AD32A5" w:rsidP="00AD32A5">
      <w:pPr>
        <w:spacing w:before="100" w:after="100"/>
        <w:rPr>
          <w:rFonts w:ascii="Aptos" w:hAnsi="Aptos"/>
        </w:rPr>
      </w:pPr>
      <w:r w:rsidRPr="00E1629E">
        <w:rPr>
          <w:rFonts w:ascii="Aptos" w:hAnsi="Aptos"/>
        </w:rPr>
        <w:t>The Treasury and the Australian Taxation Office (ATO) administer Australia’s foreign investment regulatory requirements</w:t>
      </w:r>
      <w:r>
        <w:rPr>
          <w:rFonts w:ascii="Aptos" w:hAnsi="Aptos"/>
        </w:rPr>
        <w:t xml:space="preserve"> and monitor compliance with the Act. </w:t>
      </w:r>
    </w:p>
    <w:p w14:paraId="230CF789" w14:textId="77777777" w:rsidR="00AD32A5" w:rsidRDefault="00AD32A5" w:rsidP="00AD32A5">
      <w:pPr>
        <w:spacing w:before="100" w:after="100"/>
        <w:rPr>
          <w:rFonts w:ascii="Aptos" w:hAnsi="Aptos"/>
          <w:b/>
          <w:iCs/>
        </w:rPr>
      </w:pPr>
      <w:r w:rsidRPr="00E1629E">
        <w:rPr>
          <w:rFonts w:ascii="Aptos" w:hAnsi="Aptos"/>
        </w:rPr>
        <w:t xml:space="preserve">The ATO is responsible for screening foreign investment in residential land, while the Treasury is responsible for screening all other foreign investment. </w:t>
      </w:r>
      <w:r w:rsidRPr="00E1629E">
        <w:rPr>
          <w:rFonts w:ascii="Aptos" w:hAnsi="Aptos"/>
          <w:iCs/>
        </w:rPr>
        <w:t xml:space="preserve">The ATO also administers the </w:t>
      </w:r>
      <w:hyperlink r:id="rId19" w:history="1">
        <w:r w:rsidRPr="00E1629E">
          <w:rPr>
            <w:rStyle w:val="Hyperlink"/>
            <w:iCs/>
          </w:rPr>
          <w:t>Register of Foreign Ownership of Australian Assets</w:t>
        </w:r>
      </w:hyperlink>
      <w:r>
        <w:rPr>
          <w:rFonts w:ascii="Aptos" w:hAnsi="Aptos"/>
          <w:iCs/>
        </w:rPr>
        <w:t xml:space="preserve">, which holds details about foreign ownership of each of the assets listed above. </w:t>
      </w:r>
    </w:p>
    <w:p w14:paraId="68FC3142" w14:textId="58E08533" w:rsidR="00B400E0" w:rsidRPr="00AD32A5" w:rsidRDefault="00AD32A5" w:rsidP="00AD32A5">
      <w:pPr>
        <w:spacing w:before="100" w:after="100"/>
        <w:rPr>
          <w:rFonts w:ascii="Aptos" w:hAnsi="Aptos"/>
        </w:rPr>
      </w:pPr>
      <w:r w:rsidRPr="00E1629E">
        <w:rPr>
          <w:rFonts w:ascii="Aptos" w:hAnsi="Aptos"/>
        </w:rPr>
        <w:t>The Treasurer provides approval for investment</w:t>
      </w:r>
      <w:r>
        <w:rPr>
          <w:rFonts w:ascii="Aptos" w:hAnsi="Aptos"/>
        </w:rPr>
        <w:t xml:space="preserve"> </w:t>
      </w:r>
      <w:r w:rsidRPr="00E1629E">
        <w:rPr>
          <w:rFonts w:ascii="Aptos" w:hAnsi="Aptos"/>
        </w:rPr>
        <w:t>proposals and has final decision-making power for all</w:t>
      </w:r>
      <w:r>
        <w:rPr>
          <w:rFonts w:ascii="Aptos" w:hAnsi="Aptos"/>
        </w:rPr>
        <w:t xml:space="preserve"> </w:t>
      </w:r>
      <w:r w:rsidRPr="00E1629E">
        <w:rPr>
          <w:rFonts w:ascii="Aptos" w:hAnsi="Aptos"/>
        </w:rPr>
        <w:t xml:space="preserve">foreign </w:t>
      </w:r>
      <w:r w:rsidRPr="00E1629E">
        <w:rPr>
          <w:rFonts w:ascii="Aptos" w:hAnsi="Aptos"/>
        </w:rPr>
        <w:t>investment</w:t>
      </w:r>
      <w:r>
        <w:rPr>
          <w:rFonts w:ascii="Aptos" w:hAnsi="Aptos"/>
        </w:rPr>
        <w:t xml:space="preserve"> matters</w:t>
      </w:r>
      <w:r w:rsidRPr="00E1629E">
        <w:rPr>
          <w:rFonts w:ascii="Aptos" w:hAnsi="Aptos"/>
        </w:rPr>
        <w:t>. The Foreign Investment Review Board advi</w:t>
      </w:r>
      <w:r>
        <w:rPr>
          <w:rFonts w:ascii="Aptos" w:hAnsi="Aptos"/>
        </w:rPr>
        <w:t>ses</w:t>
      </w:r>
      <w:r w:rsidRPr="00E1629E">
        <w:rPr>
          <w:rFonts w:ascii="Aptos" w:hAnsi="Aptos"/>
        </w:rPr>
        <w:t xml:space="preserve"> the Treasurer on significant proposals</w:t>
      </w:r>
      <w:r w:rsidR="007F5051" w:rsidRPr="00B400E0">
        <w:rPr>
          <w:rFonts w:ascii="Aptos" w:hAnsi="Aptos"/>
          <w:szCs w:val="20"/>
        </w:rPr>
        <w:t xml:space="preserve">. </w:t>
      </w:r>
    </w:p>
    <w:p w14:paraId="1883C6AF" w14:textId="6CAB8C82" w:rsidR="007F5051" w:rsidRPr="00B400E0" w:rsidRDefault="007F5051" w:rsidP="00AD32A5">
      <w:pPr>
        <w:pStyle w:val="Heading2"/>
        <w:spacing w:before="100" w:after="100"/>
      </w:pPr>
      <w:r w:rsidRPr="00B400E0">
        <w:t>3. How do I apply for the approvals?</w:t>
      </w:r>
    </w:p>
    <w:p w14:paraId="60C07853" w14:textId="77777777" w:rsidR="00AD32A5" w:rsidRPr="0016069A" w:rsidRDefault="00AD32A5" w:rsidP="00AD32A5">
      <w:pPr>
        <w:spacing w:before="100" w:after="100"/>
        <w:rPr>
          <w:rFonts w:ascii="Aptos" w:hAnsi="Aptos"/>
        </w:rPr>
      </w:pPr>
      <w:bookmarkStart w:id="4" w:name="_Hlk151552559"/>
      <w:r w:rsidRPr="0016069A">
        <w:rPr>
          <w:rFonts w:ascii="Aptos" w:hAnsi="Aptos"/>
        </w:rPr>
        <w:t xml:space="preserve">Investment proposals for residential property are submitted to the ATO in </w:t>
      </w:r>
      <w:hyperlink r:id="rId20" w:history="1">
        <w:r w:rsidRPr="0016069A">
          <w:rPr>
            <w:rStyle w:val="Hyperlink"/>
          </w:rPr>
          <w:t>Online services for foreign investors</w:t>
        </w:r>
      </w:hyperlink>
      <w:r w:rsidRPr="0016069A">
        <w:rPr>
          <w:rFonts w:ascii="Aptos" w:hAnsi="Aptos"/>
        </w:rPr>
        <w:t xml:space="preserve"> in accordance with the process on the ATO </w:t>
      </w:r>
      <w:hyperlink r:id="rId21" w:history="1">
        <w:r w:rsidRPr="0016069A">
          <w:rPr>
            <w:rStyle w:val="Hyperlink"/>
          </w:rPr>
          <w:t>website</w:t>
        </w:r>
      </w:hyperlink>
      <w:r w:rsidRPr="0016069A">
        <w:rPr>
          <w:rFonts w:ascii="Aptos" w:hAnsi="Aptos"/>
        </w:rPr>
        <w:t xml:space="preserve">. </w:t>
      </w:r>
      <w:r>
        <w:rPr>
          <w:rFonts w:ascii="Aptos" w:hAnsi="Aptos"/>
        </w:rPr>
        <w:t>Online services</w:t>
      </w:r>
      <w:r w:rsidRPr="0016069A">
        <w:rPr>
          <w:rFonts w:ascii="Aptos" w:hAnsi="Aptos"/>
        </w:rPr>
        <w:t xml:space="preserve"> is also used to </w:t>
      </w:r>
      <w:hyperlink r:id="rId22" w:history="1">
        <w:r w:rsidRPr="0016069A">
          <w:rPr>
            <w:rStyle w:val="Hyperlink"/>
          </w:rPr>
          <w:t>register an asset</w:t>
        </w:r>
      </w:hyperlink>
      <w:r w:rsidRPr="0016069A">
        <w:rPr>
          <w:rFonts w:ascii="Aptos" w:hAnsi="Aptos"/>
        </w:rPr>
        <w:t xml:space="preserve"> on </w:t>
      </w:r>
      <w:r w:rsidRPr="0016069A">
        <w:rPr>
          <w:rFonts w:ascii="Aptos" w:hAnsi="Aptos"/>
          <w:iCs/>
        </w:rPr>
        <w:t>the Register of Foreign Ownership of Australian Assets.</w:t>
      </w:r>
    </w:p>
    <w:p w14:paraId="0110B591" w14:textId="0D28C8F5" w:rsidR="00B400E0" w:rsidRPr="00AD32A5" w:rsidRDefault="00AD32A5" w:rsidP="00AD32A5">
      <w:pPr>
        <w:tabs>
          <w:tab w:val="left" w:pos="142"/>
        </w:tabs>
        <w:spacing w:before="100" w:after="100"/>
        <w:rPr>
          <w:color w:val="15659B" w:themeColor="accent4"/>
          <w:u w:val="single"/>
        </w:rPr>
      </w:pPr>
      <w:r w:rsidRPr="0016069A">
        <w:rPr>
          <w:rFonts w:ascii="Aptos" w:hAnsi="Aptos"/>
        </w:rPr>
        <w:t xml:space="preserve">Proposals for all other investments </w:t>
      </w:r>
      <w:r>
        <w:rPr>
          <w:rFonts w:ascii="Aptos" w:hAnsi="Aptos"/>
        </w:rPr>
        <w:t xml:space="preserve">and </w:t>
      </w:r>
      <w:r w:rsidRPr="0016069A">
        <w:rPr>
          <w:rFonts w:ascii="Aptos" w:hAnsi="Aptos"/>
        </w:rPr>
        <w:t xml:space="preserve">applications for exemption certificates are made to The Treasury through the </w:t>
      </w:r>
      <w:r w:rsidRPr="004C264E">
        <w:rPr>
          <w:rFonts w:ascii="Aptos" w:hAnsi="Aptos"/>
        </w:rPr>
        <w:t>online portal</w:t>
      </w:r>
      <w:r w:rsidRPr="0016069A">
        <w:rPr>
          <w:rFonts w:ascii="Aptos" w:hAnsi="Aptos"/>
        </w:rPr>
        <w:t xml:space="preserve"> on its foreign investment </w:t>
      </w:r>
      <w:hyperlink r:id="rId23" w:history="1">
        <w:r w:rsidRPr="0016069A">
          <w:rPr>
            <w:rStyle w:val="Hyperlink"/>
          </w:rPr>
          <w:t>website</w:t>
        </w:r>
      </w:hyperlink>
      <w:r w:rsidRPr="0016069A">
        <w:rPr>
          <w:rFonts w:ascii="Aptos" w:hAnsi="Aptos"/>
        </w:rPr>
        <w:t xml:space="preserve">. For guidance on submitting a proposal, the Treasury </w:t>
      </w:r>
      <w:r>
        <w:rPr>
          <w:rFonts w:ascii="Aptos" w:hAnsi="Aptos"/>
        </w:rPr>
        <w:t xml:space="preserve">website </w:t>
      </w:r>
      <w:r w:rsidRPr="0016069A">
        <w:rPr>
          <w:rFonts w:ascii="Aptos" w:hAnsi="Aptos"/>
        </w:rPr>
        <w:t>includ</w:t>
      </w:r>
      <w:r>
        <w:rPr>
          <w:rFonts w:ascii="Aptos" w:hAnsi="Aptos"/>
        </w:rPr>
        <w:t xml:space="preserve">es </w:t>
      </w:r>
      <w:r w:rsidRPr="0016069A">
        <w:rPr>
          <w:rFonts w:ascii="Aptos" w:hAnsi="Aptos"/>
        </w:rPr>
        <w:t xml:space="preserve">the proposal </w:t>
      </w:r>
      <w:hyperlink r:id="rId24" w:history="1">
        <w:r w:rsidRPr="0016069A">
          <w:rPr>
            <w:rStyle w:val="Hyperlink"/>
          </w:rPr>
          <w:t>checklist</w:t>
        </w:r>
      </w:hyperlink>
      <w:r w:rsidRPr="0016069A">
        <w:rPr>
          <w:rFonts w:ascii="Aptos" w:hAnsi="Aptos"/>
        </w:rPr>
        <w:t xml:space="preserve">, </w:t>
      </w:r>
      <w:r w:rsidRPr="00442BD3">
        <w:rPr>
          <w:rFonts w:ascii="Aptos" w:hAnsi="Aptos"/>
        </w:rPr>
        <w:t>information</w:t>
      </w:r>
      <w:r w:rsidRPr="0016069A">
        <w:rPr>
          <w:rFonts w:ascii="Aptos" w:hAnsi="Aptos"/>
        </w:rPr>
        <w:t xml:space="preserve"> on </w:t>
      </w:r>
      <w:hyperlink r:id="rId25" w:history="1">
        <w:r w:rsidRPr="00442BD3">
          <w:rPr>
            <w:rStyle w:val="Hyperlink"/>
          </w:rPr>
          <w:t>what to include in a submission</w:t>
        </w:r>
      </w:hyperlink>
      <w:r w:rsidRPr="0016069A">
        <w:rPr>
          <w:rFonts w:ascii="Aptos" w:hAnsi="Aptos"/>
        </w:rPr>
        <w:t xml:space="preserve">, and quick reference </w:t>
      </w:r>
      <w:hyperlink r:id="rId26" w:history="1">
        <w:r w:rsidRPr="0016069A">
          <w:rPr>
            <w:rStyle w:val="Hyperlink"/>
          </w:rPr>
          <w:t>guides</w:t>
        </w:r>
      </w:hyperlink>
      <w:r w:rsidRPr="00AD32A5">
        <w:rPr>
          <w:rStyle w:val="Hyperlink"/>
          <w:color w:val="auto"/>
          <w:u w:val="none"/>
        </w:rPr>
        <w:t>.</w:t>
      </w:r>
      <w:bookmarkEnd w:id="4"/>
    </w:p>
    <w:p w14:paraId="1CDA641B" w14:textId="46C16D90" w:rsidR="007F5051" w:rsidRPr="00B400E0" w:rsidRDefault="007F5051" w:rsidP="00AD32A5">
      <w:pPr>
        <w:pStyle w:val="Heading2"/>
        <w:spacing w:before="100" w:after="100"/>
      </w:pPr>
      <w:r w:rsidRPr="00B400E0">
        <w:t>4. More information</w:t>
      </w:r>
    </w:p>
    <w:p w14:paraId="48CE903B" w14:textId="2686469D" w:rsidR="007F5051" w:rsidRPr="00B400E0" w:rsidRDefault="00AD32A5" w:rsidP="00AD32A5">
      <w:pPr>
        <w:pStyle w:val="Heading3"/>
        <w:spacing w:before="100" w:after="100"/>
      </w:pPr>
      <w:r w:rsidRPr="00AD32A5">
        <w:t>The Treasury</w:t>
      </w:r>
    </w:p>
    <w:p w14:paraId="7F9193CA" w14:textId="77777777" w:rsidR="00AD32A5" w:rsidRPr="0016069A" w:rsidRDefault="00AD32A5" w:rsidP="00AD32A5">
      <w:pPr>
        <w:spacing w:before="100" w:after="100"/>
        <w:rPr>
          <w:rFonts w:ascii="Aptos" w:hAnsi="Aptos"/>
        </w:rPr>
      </w:pPr>
      <w:r w:rsidRPr="0016069A">
        <w:rPr>
          <w:rFonts w:ascii="Aptos" w:hAnsi="Aptos"/>
        </w:rPr>
        <w:t xml:space="preserve">Further information about foreign investment in Australia is available on The Treasury’s foreign investment </w:t>
      </w:r>
      <w:hyperlink r:id="rId27" w:history="1">
        <w:r w:rsidRPr="0016069A">
          <w:rPr>
            <w:rStyle w:val="Hyperlink"/>
          </w:rPr>
          <w:t>website</w:t>
        </w:r>
      </w:hyperlink>
      <w:r w:rsidRPr="0016069A">
        <w:rPr>
          <w:rFonts w:ascii="Aptos" w:hAnsi="Aptos"/>
        </w:rPr>
        <w:t>.</w:t>
      </w:r>
    </w:p>
    <w:p w14:paraId="569D2828" w14:textId="02923E3E" w:rsidR="007F5051" w:rsidRPr="00AD32A5" w:rsidRDefault="00AD32A5" w:rsidP="00AD32A5">
      <w:pPr>
        <w:spacing w:before="100" w:after="100"/>
        <w:rPr>
          <w:rFonts w:ascii="Aptos" w:hAnsi="Aptos"/>
        </w:rPr>
      </w:pPr>
      <w:r w:rsidRPr="0016069A">
        <w:rPr>
          <w:rFonts w:ascii="Aptos" w:hAnsi="Aptos"/>
        </w:rPr>
        <w:t xml:space="preserve">The Foreign Investment Division can be contacted by email at </w:t>
      </w:r>
      <w:hyperlink r:id="rId28" w:history="1">
        <w:r w:rsidRPr="0016069A">
          <w:rPr>
            <w:rStyle w:val="Hyperlink"/>
          </w:rPr>
          <w:t>foreigninvestmentenquiries@treasury.gov.au</w:t>
        </w:r>
      </w:hyperlink>
      <w:r w:rsidR="00585C14">
        <w:rPr>
          <w:rFonts w:ascii="Aptos" w:hAnsi="Aptos"/>
          <w:bCs/>
          <w:szCs w:val="20"/>
        </w:rPr>
        <w:t>.</w:t>
      </w:r>
    </w:p>
    <w:p w14:paraId="661A6371" w14:textId="77777777" w:rsidR="007F5051" w:rsidRPr="00BC6C16" w:rsidRDefault="007F5051" w:rsidP="00AD32A5">
      <w:pPr>
        <w:pStyle w:val="Heading3"/>
        <w:spacing w:before="100" w:after="100"/>
      </w:pPr>
      <w:bookmarkStart w:id="5" w:name="_Hlk152160540"/>
      <w:r w:rsidRPr="00BC6C16">
        <w:t>Major Projects Facilitation Agency</w:t>
      </w:r>
    </w:p>
    <w:bookmarkEnd w:id="5"/>
    <w:p w14:paraId="6463E3CE" w14:textId="27E644FC" w:rsidR="00CF5B8A" w:rsidRDefault="00CF5B8A" w:rsidP="00AD32A5">
      <w:pPr>
        <w:spacing w:before="100" w:after="100"/>
        <w:rPr>
          <w:rFonts w:ascii="Aptos" w:eastAsia="Arial" w:hAnsi="Aptos" w:cs="Arial"/>
          <w:szCs w:val="20"/>
        </w:rPr>
      </w:pPr>
      <w:r w:rsidRPr="00F52791">
        <w:rPr>
          <w:rFonts w:ascii="Aptos" w:eastAsia="Arial" w:hAnsi="Aptos" w:cs="Arial"/>
          <w:szCs w:val="20"/>
        </w:rPr>
        <w:t xml:space="preserve">If you would like assistance to identify potential Australian Government </w:t>
      </w:r>
      <w:r>
        <w:rPr>
          <w:rFonts w:ascii="Aptos" w:eastAsia="Arial" w:hAnsi="Aptos" w:cs="Arial"/>
          <w:szCs w:val="20"/>
        </w:rPr>
        <w:t>regulatory</w:t>
      </w:r>
      <w:r w:rsidRPr="00F52791">
        <w:rPr>
          <w:rFonts w:ascii="Aptos" w:eastAsia="Arial" w:hAnsi="Aptos" w:cs="Arial"/>
          <w:szCs w:val="20"/>
        </w:rPr>
        <w:t xml:space="preserve"> approvals required for your project, please refer to the </w:t>
      </w:r>
      <w:hyperlink r:id="rId29" w:history="1">
        <w:r w:rsidRPr="00F52791">
          <w:rPr>
            <w:rStyle w:val="Hyperlink"/>
            <w:rFonts w:ascii="Aptos" w:eastAsia="Arial" w:hAnsi="Aptos"/>
            <w:szCs w:val="20"/>
          </w:rPr>
          <w:t xml:space="preserve">Major </w:t>
        </w:r>
        <w:r>
          <w:rPr>
            <w:rStyle w:val="Hyperlink"/>
            <w:rFonts w:ascii="Aptos" w:eastAsia="Arial" w:hAnsi="Aptos"/>
            <w:szCs w:val="20"/>
          </w:rPr>
          <w:t>p</w:t>
        </w:r>
        <w:r w:rsidRPr="00F52791">
          <w:rPr>
            <w:rStyle w:val="Hyperlink"/>
            <w:rFonts w:ascii="Aptos" w:eastAsia="Arial" w:hAnsi="Aptos"/>
            <w:szCs w:val="20"/>
          </w:rPr>
          <w:t xml:space="preserve">rojects </w:t>
        </w:r>
        <w:r>
          <w:rPr>
            <w:rStyle w:val="Hyperlink"/>
            <w:rFonts w:ascii="Aptos" w:eastAsia="Arial" w:hAnsi="Aptos"/>
            <w:szCs w:val="20"/>
          </w:rPr>
          <w:t>h</w:t>
        </w:r>
        <w:r w:rsidRPr="00F52791">
          <w:rPr>
            <w:rStyle w:val="Hyperlink"/>
            <w:rFonts w:ascii="Aptos" w:eastAsia="Arial" w:hAnsi="Aptos"/>
            <w:szCs w:val="20"/>
          </w:rPr>
          <w:t xml:space="preserve">elp </w:t>
        </w:r>
        <w:r>
          <w:rPr>
            <w:rStyle w:val="Hyperlink"/>
            <w:rFonts w:ascii="Aptos" w:eastAsia="Arial" w:hAnsi="Aptos"/>
            <w:szCs w:val="20"/>
          </w:rPr>
          <w:t>t</w:t>
        </w:r>
        <w:r w:rsidRPr="00F52791">
          <w:rPr>
            <w:rStyle w:val="Hyperlink"/>
            <w:rFonts w:ascii="Aptos" w:eastAsia="Arial" w:hAnsi="Aptos"/>
            <w:szCs w:val="20"/>
          </w:rPr>
          <w:t>ool</w:t>
        </w:r>
      </w:hyperlink>
      <w:r w:rsidRPr="00F52791">
        <w:rPr>
          <w:rFonts w:ascii="Aptos" w:eastAsia="Arial" w:hAnsi="Aptos" w:cs="Arial"/>
          <w:szCs w:val="20"/>
        </w:rPr>
        <w:t xml:space="preserve"> self-assessment</w:t>
      </w:r>
      <w:r>
        <w:rPr>
          <w:rFonts w:ascii="Aptos" w:eastAsia="Arial" w:hAnsi="Aptos" w:cs="Arial"/>
          <w:szCs w:val="20"/>
        </w:rPr>
        <w:t>.</w:t>
      </w:r>
    </w:p>
    <w:p w14:paraId="17E1C2E0" w14:textId="46DEBFBC" w:rsidR="00FD4042" w:rsidRPr="00BC6C16" w:rsidRDefault="00CF5B8A" w:rsidP="00CF5B8A">
      <w:pPr>
        <w:rPr>
          <w:rFonts w:ascii="Aptos" w:eastAsia="Arial" w:hAnsi="Aptos" w:cs="Arial"/>
          <w:szCs w:val="20"/>
        </w:rPr>
      </w:pPr>
      <w:r>
        <w:rPr>
          <w:rFonts w:ascii="Aptos" w:eastAsia="Arial" w:hAnsi="Aptos" w:cs="Arial"/>
          <w:szCs w:val="20"/>
        </w:rPr>
        <w:t xml:space="preserve">The MPFA team can be contacted by </w:t>
      </w:r>
      <w:r w:rsidRPr="00F52791">
        <w:rPr>
          <w:rFonts w:ascii="Aptos" w:eastAsia="Arial" w:hAnsi="Aptos" w:cs="Arial"/>
          <w:szCs w:val="20"/>
        </w:rPr>
        <w:t>email</w:t>
      </w:r>
      <w:r>
        <w:rPr>
          <w:rFonts w:ascii="Aptos" w:eastAsia="Arial" w:hAnsi="Aptos" w:cs="Arial"/>
          <w:szCs w:val="20"/>
        </w:rPr>
        <w:t xml:space="preserve"> at </w:t>
      </w:r>
      <w:hyperlink r:id="rId30" w:history="1">
        <w:r w:rsidRPr="00AA2CDA">
          <w:rPr>
            <w:rStyle w:val="Hyperlink"/>
            <w:rFonts w:ascii="Aptos" w:eastAsia="Arial" w:hAnsi="Aptos"/>
            <w:szCs w:val="20"/>
          </w:rPr>
          <w:t>MPFA@industry.gov.au</w:t>
        </w:r>
      </w:hyperlink>
      <w:r w:rsidRPr="00F52791">
        <w:rPr>
          <w:rFonts w:ascii="Aptos" w:eastAsia="Arial" w:hAnsi="Aptos" w:cs="Arial"/>
          <w:szCs w:val="20"/>
        </w:rPr>
        <w:t>.</w:t>
      </w:r>
    </w:p>
    <w:sectPr w:rsidR="00FD4042" w:rsidRPr="00BC6C16" w:rsidSect="00AD32A5">
      <w:headerReference w:type="default" r:id="rId31"/>
      <w:type w:val="continuous"/>
      <w:pgSz w:w="11906" w:h="16838"/>
      <w:pgMar w:top="720" w:right="566" w:bottom="720" w:left="720" w:header="850" w:footer="567"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8CB4" w14:textId="77777777" w:rsidR="007F5051" w:rsidRDefault="007F5051" w:rsidP="00B251DB">
      <w:pPr>
        <w:spacing w:after="0"/>
      </w:pPr>
      <w:r>
        <w:separator/>
      </w:r>
    </w:p>
  </w:endnote>
  <w:endnote w:type="continuationSeparator" w:id="0">
    <w:p w14:paraId="69E19E8F" w14:textId="77777777" w:rsidR="007F5051" w:rsidRDefault="007F5051" w:rsidP="00B25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BE05" w14:textId="77777777" w:rsidR="00B400E0" w:rsidRPr="00FD4042" w:rsidRDefault="00B400E0" w:rsidP="00AD32A5">
    <w:pPr>
      <w:pStyle w:val="Heading4"/>
    </w:pPr>
    <w:r w:rsidRPr="00FD4042">
      <w:t>This fact sheet provides general information and does not constitute legal advice. You should seek independent legal advice tailored to your individual circumstances. The Major Projects Facilitation Agency (MPFA) assists major project proponents to navigate Australian Government approval processes. The MPFA does not grant approvals, nor administer the legislation listed in this fact sheet.</w:t>
    </w:r>
  </w:p>
  <w:p w14:paraId="2A4EDF34" w14:textId="064F45DE" w:rsidR="00B400E0" w:rsidRPr="00B400E0" w:rsidRDefault="000D56F8" w:rsidP="00AD32A5">
    <w:pPr>
      <w:pStyle w:val="Heading4"/>
    </w:pPr>
    <w:hyperlink r:id="rId1" w:history="1">
      <w:r w:rsidR="00B400E0" w:rsidRPr="007F5051">
        <w:rPr>
          <w:rStyle w:val="Hyperlink"/>
        </w:rPr>
        <w:t>www.business.</w:t>
      </w:r>
      <w:r w:rsidR="00B400E0" w:rsidRPr="007F5051">
        <w:rPr>
          <w:rStyle w:val="Hyperlink"/>
          <w:color w:val="15659B"/>
        </w:rPr>
        <w:t>gov</w:t>
      </w:r>
      <w:r w:rsidR="00B400E0" w:rsidRPr="007F5051">
        <w:rPr>
          <w:rStyle w:val="Hyperlink"/>
        </w:rPr>
        <w:t>.au/MPFA</w:t>
      </w:r>
    </w:hyperlink>
    <w:r w:rsidR="00B400E0" w:rsidRPr="00010BDA">
      <w:rPr>
        <w:rStyle w:val="Hyperlink"/>
        <w:color w:val="auto"/>
        <w:u w:val="none"/>
      </w:rPr>
      <w:ptab w:relativeTo="margin" w:alignment="center" w:leader="none"/>
    </w:r>
    <w:hyperlink r:id="rId2" w:history="1">
      <w:r w:rsidR="00B400E0" w:rsidRPr="007F5051">
        <w:rPr>
          <w:rStyle w:val="Hyperlink"/>
        </w:rPr>
        <w:t>MPFA@industry.gov.au</w:t>
      </w:r>
    </w:hyperlink>
    <w:r w:rsidR="00B400E0" w:rsidRPr="00010BDA">
      <w:rPr>
        <w:rStyle w:val="Hyperlink"/>
        <w:color w:val="auto"/>
        <w:u w:val="none"/>
      </w:rPr>
      <w:ptab w:relativeTo="margin" w:alignment="right" w:leader="none"/>
    </w:r>
    <w:r w:rsidR="001A2DB7">
      <w:rPr>
        <w:rStyle w:val="Hyperlink"/>
        <w:color w:val="auto"/>
        <w:u w:val="none"/>
      </w:rPr>
      <w:t>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7E7B" w14:textId="77777777" w:rsidR="007F5051" w:rsidRPr="007F5051" w:rsidRDefault="007F5051" w:rsidP="007F5051">
    <w:pPr>
      <w:pStyle w:val="Footer"/>
      <w:tabs>
        <w:tab w:val="clear" w:pos="4513"/>
        <w:tab w:val="center" w:pos="5245"/>
      </w:tabs>
      <w:rPr>
        <w:rFonts w:ascii="Aptos" w:hAnsi="Aptos" w:cs="Calibri"/>
        <w:sz w:val="16"/>
        <w:szCs w:val="16"/>
      </w:rPr>
    </w:pPr>
    <w:r w:rsidRPr="007F5051">
      <w:rPr>
        <w:rFonts w:ascii="Aptos" w:hAnsi="Aptos" w:cs="Calibri"/>
        <w:sz w:val="16"/>
        <w:szCs w:val="16"/>
      </w:rPr>
      <w:t>This fact sheet provides general information and does not constitute legal advice. You should seek independent legal advice tailored to your individual circumstances. The Major Projects Facilitation Agency (MPFA) assists major project proponents to navigate Australian Government approval processes. The MPFA does not grant approvals, nor administer the legislation listed in this fact sheet.</w:t>
    </w:r>
  </w:p>
  <w:p w14:paraId="0C4D9418" w14:textId="04C05E24" w:rsidR="007F5051" w:rsidRPr="007F5051" w:rsidRDefault="000D56F8" w:rsidP="007F5051">
    <w:pPr>
      <w:pStyle w:val="Footer"/>
      <w:tabs>
        <w:tab w:val="clear" w:pos="4513"/>
        <w:tab w:val="clear" w:pos="9026"/>
        <w:tab w:val="center" w:pos="5245"/>
        <w:tab w:val="right" w:pos="10466"/>
      </w:tabs>
      <w:rPr>
        <w:rFonts w:ascii="Aptos" w:hAnsi="Aptos"/>
        <w:sz w:val="16"/>
        <w:szCs w:val="16"/>
      </w:rPr>
    </w:pPr>
    <w:hyperlink r:id="rId1" w:history="1">
      <w:r w:rsidR="007F5051" w:rsidRPr="007F5051">
        <w:rPr>
          <w:rStyle w:val="Hyperlink"/>
          <w:rFonts w:ascii="Aptos" w:hAnsi="Aptos"/>
          <w:sz w:val="16"/>
          <w:szCs w:val="16"/>
        </w:rPr>
        <w:t>www.business.</w:t>
      </w:r>
      <w:r w:rsidR="007F5051" w:rsidRPr="007F5051">
        <w:rPr>
          <w:rStyle w:val="Hyperlink"/>
          <w:rFonts w:ascii="Aptos" w:hAnsi="Aptos"/>
          <w:color w:val="15659B"/>
          <w:sz w:val="16"/>
          <w:szCs w:val="16"/>
        </w:rPr>
        <w:t>gov</w:t>
      </w:r>
      <w:r w:rsidR="007F5051" w:rsidRPr="007F5051">
        <w:rPr>
          <w:rStyle w:val="Hyperlink"/>
          <w:rFonts w:ascii="Aptos" w:hAnsi="Aptos"/>
          <w:sz w:val="16"/>
          <w:szCs w:val="16"/>
        </w:rPr>
        <w:t>.au/MPFA</w:t>
      </w:r>
    </w:hyperlink>
    <w:r w:rsidR="007F5051" w:rsidRPr="007F5051">
      <w:rPr>
        <w:rStyle w:val="Hyperlink"/>
        <w:rFonts w:ascii="Aptos" w:hAnsi="Aptos"/>
        <w:color w:val="auto"/>
        <w:sz w:val="16"/>
        <w:szCs w:val="16"/>
        <w:u w:val="none"/>
      </w:rPr>
      <w:ptab w:relativeTo="margin" w:alignment="center" w:leader="none"/>
    </w:r>
    <w:hyperlink r:id="rId2" w:history="1">
      <w:r w:rsidR="007F5051" w:rsidRPr="007F5051">
        <w:rPr>
          <w:rStyle w:val="Hyperlink"/>
          <w:rFonts w:ascii="Aptos" w:hAnsi="Aptos"/>
          <w:sz w:val="16"/>
          <w:szCs w:val="16"/>
        </w:rPr>
        <w:t>MPFA@industry.gov.au</w:t>
      </w:r>
    </w:hyperlink>
    <w:r w:rsidR="007F5051" w:rsidRPr="007F5051">
      <w:rPr>
        <w:rStyle w:val="Hyperlink"/>
        <w:rFonts w:ascii="Aptos" w:hAnsi="Aptos"/>
        <w:color w:val="auto"/>
        <w:sz w:val="16"/>
        <w:szCs w:val="16"/>
        <w:u w:val="none"/>
      </w:rPr>
      <w:ptab w:relativeTo="margin" w:alignment="right" w:leader="none"/>
    </w:r>
    <w:r w:rsidR="007F5051" w:rsidRPr="00B400E0">
      <w:rPr>
        <w:rStyle w:val="Hyperlink"/>
        <w:rFonts w:ascii="Aptos" w:hAnsi="Aptos"/>
        <w:color w:val="auto"/>
        <w:sz w:val="16"/>
        <w:szCs w:val="16"/>
        <w:highlight w:val="yellow"/>
        <w:u w:val="none"/>
      </w:rPr>
      <w:t>February</w:t>
    </w:r>
    <w:r w:rsidR="007F5051" w:rsidRPr="007F5051">
      <w:rPr>
        <w:rStyle w:val="Hyperlink"/>
        <w:rFonts w:ascii="Aptos" w:hAnsi="Aptos"/>
        <w:color w:val="auto"/>
        <w:sz w:val="16"/>
        <w:szCs w:val="16"/>
        <w:u w:val="none"/>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4284" w14:textId="77777777" w:rsidR="007F5051" w:rsidRDefault="007F5051" w:rsidP="00B251DB">
      <w:pPr>
        <w:spacing w:after="0"/>
      </w:pPr>
      <w:r>
        <w:separator/>
      </w:r>
    </w:p>
  </w:footnote>
  <w:footnote w:type="continuationSeparator" w:id="0">
    <w:p w14:paraId="5B4D8204" w14:textId="77777777" w:rsidR="007F5051" w:rsidRDefault="007F5051" w:rsidP="00B251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89F9" w14:textId="552067A6" w:rsidR="00B400E0" w:rsidRDefault="00B400E0">
    <w:pPr>
      <w:pStyle w:val="Header"/>
    </w:pPr>
    <w:r w:rsidRPr="00B400E0">
      <w:rPr>
        <w:rFonts w:ascii="Aptos" w:hAnsi="Aptos"/>
        <w:noProof/>
        <w:lang w:eastAsia="en-AU"/>
      </w:rPr>
      <w:drawing>
        <wp:inline distT="0" distB="0" distL="0" distR="0" wp14:anchorId="57352BF6" wp14:editId="2DE46259">
          <wp:extent cx="6634855" cy="3068652"/>
          <wp:effectExtent l="0" t="0" r="0" b="0"/>
          <wp:docPr id="15" name="Picture 15" descr="Major Projects Facilitation Agency &#10;Fact she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jor Projects Facilitation Agency &#10;Fact shee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050" t="2447" r="2022" b="4436"/>
                  <a:stretch/>
                </pic:blipFill>
                <pic:spPr bwMode="auto">
                  <a:xfrm>
                    <a:off x="0" y="0"/>
                    <a:ext cx="6644986" cy="3073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4077" w14:textId="53535777" w:rsidR="007F5051" w:rsidRPr="00B400E0" w:rsidRDefault="007F5051" w:rsidP="007F5051">
    <w:pPr>
      <w:pStyle w:val="Header"/>
      <w:tabs>
        <w:tab w:val="clear" w:pos="4513"/>
        <w:tab w:val="clear" w:pos="9026"/>
        <w:tab w:val="center" w:pos="5245"/>
        <w:tab w:val="right" w:pos="10466"/>
      </w:tabs>
      <w:rPr>
        <w:rFonts w:ascii="Aptos" w:hAnsi="Aptos"/>
      </w:rPr>
    </w:pPr>
    <w:r w:rsidRPr="00B400E0">
      <w:rPr>
        <w:rFonts w:ascii="Aptos" w:hAnsi="Aptos"/>
        <w:noProof/>
        <w:lang w:eastAsia="en-AU"/>
      </w:rPr>
      <w:drawing>
        <wp:inline distT="0" distB="0" distL="0" distR="0" wp14:anchorId="3F4F5A67" wp14:editId="624C0A04">
          <wp:extent cx="6634855" cy="3068652"/>
          <wp:effectExtent l="0" t="0" r="0" b="0"/>
          <wp:docPr id="16" name="Picture 16" descr="Major Projects Facilitation Agency &#10;Fact she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jor Projects Facilitation Agency &#10;Fact shee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050" t="2447" r="2022" b="4436"/>
                  <a:stretch/>
                </pic:blipFill>
                <pic:spPr bwMode="auto">
                  <a:xfrm>
                    <a:off x="0" y="0"/>
                    <a:ext cx="6644986" cy="3073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8B24" w14:textId="77777777" w:rsidR="00B400E0" w:rsidRDefault="00B40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2A5BE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D74F4"/>
    <w:multiLevelType w:val="hybridMultilevel"/>
    <w:tmpl w:val="D6283F8E"/>
    <w:lvl w:ilvl="0" w:tplc="6A00F20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F078C0"/>
    <w:multiLevelType w:val="hybridMultilevel"/>
    <w:tmpl w:val="6A641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67F4B1A"/>
    <w:multiLevelType w:val="hybridMultilevel"/>
    <w:tmpl w:val="13BEC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52E10FD"/>
    <w:multiLevelType w:val="hybridMultilevel"/>
    <w:tmpl w:val="66D46394"/>
    <w:lvl w:ilvl="0" w:tplc="E2F097D6">
      <w:numFmt w:val="bullet"/>
      <w:pStyle w:val="ListParagraph"/>
      <w:lvlText w:val=""/>
      <w:lvlJc w:val="left"/>
      <w:pPr>
        <w:ind w:left="567" w:hanging="567"/>
      </w:pPr>
      <w:rPr>
        <w:rFonts w:ascii="Symbol" w:eastAsiaTheme="minorHAnsi" w:hAnsi="Symbol" w:cstheme="minorBidi" w:hint="default"/>
      </w:rPr>
    </w:lvl>
    <w:lvl w:ilvl="1" w:tplc="6606920E">
      <w:numFmt w:val="bullet"/>
      <w:lvlText w:val="-"/>
      <w:lvlJc w:val="left"/>
      <w:pPr>
        <w:ind w:left="1134" w:hanging="567"/>
      </w:pPr>
      <w:rPr>
        <w:rFonts w:ascii="Calibri" w:eastAsiaTheme="minorHAnsi" w:hAnsi="Calibri" w:hint="default"/>
      </w:rPr>
    </w:lvl>
    <w:lvl w:ilvl="2" w:tplc="75C69B6E">
      <w:start w:val="1"/>
      <w:numFmt w:val="bullet"/>
      <w:lvlText w:val=""/>
      <w:lvlJc w:val="left"/>
      <w:pPr>
        <w:ind w:left="1701" w:hanging="567"/>
      </w:pPr>
      <w:rPr>
        <w:rFonts w:ascii="Wingdings" w:hAnsi="Wingdings" w:hint="default"/>
      </w:rPr>
    </w:lvl>
    <w:lvl w:ilvl="3" w:tplc="B84A8EA2">
      <w:start w:val="1"/>
      <w:numFmt w:val="bullet"/>
      <w:lvlText w:val=""/>
      <w:lvlJc w:val="left"/>
      <w:pPr>
        <w:ind w:left="2268" w:hanging="567"/>
      </w:pPr>
      <w:rPr>
        <w:rFonts w:ascii="Symbol" w:hAnsi="Symbol" w:hint="default"/>
      </w:rPr>
    </w:lvl>
    <w:lvl w:ilvl="4" w:tplc="9E469228">
      <w:start w:val="1"/>
      <w:numFmt w:val="bullet"/>
      <w:lvlText w:val="o"/>
      <w:lvlJc w:val="left"/>
      <w:pPr>
        <w:ind w:left="2835" w:hanging="567"/>
      </w:pPr>
      <w:rPr>
        <w:rFonts w:ascii="Courier New" w:hAnsi="Courier New" w:hint="default"/>
      </w:rPr>
    </w:lvl>
    <w:lvl w:ilvl="5" w:tplc="406CF0B6">
      <w:start w:val="1"/>
      <w:numFmt w:val="bullet"/>
      <w:lvlText w:val=""/>
      <w:lvlJc w:val="left"/>
      <w:pPr>
        <w:ind w:left="3402" w:hanging="567"/>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5E78A8"/>
    <w:multiLevelType w:val="hybridMultilevel"/>
    <w:tmpl w:val="CF22F768"/>
    <w:lvl w:ilvl="0" w:tplc="0D524BF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55074E5"/>
    <w:multiLevelType w:val="hybridMultilevel"/>
    <w:tmpl w:val="15CA3E48"/>
    <w:lvl w:ilvl="0" w:tplc="93BAD356">
      <w:start w:val="1"/>
      <w:numFmt w:val="decimal"/>
      <w:lvlText w:val="%1."/>
      <w:lvlJc w:val="left"/>
      <w:pPr>
        <w:ind w:left="567" w:hanging="567"/>
      </w:pPr>
      <w:rPr>
        <w:rFonts w:hint="default"/>
      </w:rPr>
    </w:lvl>
    <w:lvl w:ilvl="1" w:tplc="D2E408C2">
      <w:start w:val="1"/>
      <w:numFmt w:val="lowerLetter"/>
      <w:lvlText w:val="%2."/>
      <w:lvlJc w:val="left"/>
      <w:pPr>
        <w:ind w:left="1134" w:hanging="567"/>
      </w:pPr>
      <w:rPr>
        <w:rFonts w:hint="default"/>
      </w:rPr>
    </w:lvl>
    <w:lvl w:ilvl="2" w:tplc="528088D0">
      <w:start w:val="1"/>
      <w:numFmt w:val="lowerRoman"/>
      <w:lvlText w:val="%3."/>
      <w:lvlJc w:val="right"/>
      <w:pPr>
        <w:ind w:left="1701" w:hanging="567"/>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2605387">
    <w:abstractNumId w:val="6"/>
  </w:num>
  <w:num w:numId="2" w16cid:durableId="648444589">
    <w:abstractNumId w:val="8"/>
  </w:num>
  <w:num w:numId="3" w16cid:durableId="1474374502">
    <w:abstractNumId w:val="2"/>
  </w:num>
  <w:num w:numId="4" w16cid:durableId="660547498">
    <w:abstractNumId w:val="1"/>
  </w:num>
  <w:num w:numId="5" w16cid:durableId="1405948882">
    <w:abstractNumId w:val="0"/>
  </w:num>
  <w:num w:numId="6" w16cid:durableId="1770931210">
    <w:abstractNumId w:val="3"/>
  </w:num>
  <w:num w:numId="7" w16cid:durableId="1514956900">
    <w:abstractNumId w:val="4"/>
  </w:num>
  <w:num w:numId="8" w16cid:durableId="1928151220">
    <w:abstractNumId w:val="7"/>
  </w:num>
  <w:num w:numId="9" w16cid:durableId="191944205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51"/>
    <w:rsid w:val="00003766"/>
    <w:rsid w:val="00032995"/>
    <w:rsid w:val="00034867"/>
    <w:rsid w:val="00043F36"/>
    <w:rsid w:val="000552B3"/>
    <w:rsid w:val="0007067B"/>
    <w:rsid w:val="0008167B"/>
    <w:rsid w:val="00081D07"/>
    <w:rsid w:val="00090DDB"/>
    <w:rsid w:val="000A75CB"/>
    <w:rsid w:val="000B6C60"/>
    <w:rsid w:val="000C3494"/>
    <w:rsid w:val="000D56F8"/>
    <w:rsid w:val="000E0F53"/>
    <w:rsid w:val="000E599A"/>
    <w:rsid w:val="000E5C60"/>
    <w:rsid w:val="000F2564"/>
    <w:rsid w:val="00153C15"/>
    <w:rsid w:val="00171757"/>
    <w:rsid w:val="0018753C"/>
    <w:rsid w:val="00194586"/>
    <w:rsid w:val="001A2DB7"/>
    <w:rsid w:val="001A38CC"/>
    <w:rsid w:val="001B314C"/>
    <w:rsid w:val="001D216A"/>
    <w:rsid w:val="001D2E82"/>
    <w:rsid w:val="001D51DA"/>
    <w:rsid w:val="001F5AB1"/>
    <w:rsid w:val="00205DF3"/>
    <w:rsid w:val="0022083E"/>
    <w:rsid w:val="00222D0B"/>
    <w:rsid w:val="00241D3D"/>
    <w:rsid w:val="00254DA8"/>
    <w:rsid w:val="00266F7C"/>
    <w:rsid w:val="00272B04"/>
    <w:rsid w:val="00274C94"/>
    <w:rsid w:val="00282ED3"/>
    <w:rsid w:val="00293BAA"/>
    <w:rsid w:val="002A101F"/>
    <w:rsid w:val="002B3A3A"/>
    <w:rsid w:val="002B5C69"/>
    <w:rsid w:val="002D230B"/>
    <w:rsid w:val="002F60C0"/>
    <w:rsid w:val="0031048E"/>
    <w:rsid w:val="0031654A"/>
    <w:rsid w:val="00330C0B"/>
    <w:rsid w:val="0035140F"/>
    <w:rsid w:val="00393784"/>
    <w:rsid w:val="003A0E7F"/>
    <w:rsid w:val="003A5FBD"/>
    <w:rsid w:val="003D38ED"/>
    <w:rsid w:val="003D747D"/>
    <w:rsid w:val="00406032"/>
    <w:rsid w:val="00423B2E"/>
    <w:rsid w:val="00423D13"/>
    <w:rsid w:val="0043720A"/>
    <w:rsid w:val="004632E9"/>
    <w:rsid w:val="0046678C"/>
    <w:rsid w:val="0048236F"/>
    <w:rsid w:val="004A7856"/>
    <w:rsid w:val="004B4254"/>
    <w:rsid w:val="004D3B0F"/>
    <w:rsid w:val="004E23A9"/>
    <w:rsid w:val="004E5181"/>
    <w:rsid w:val="004E75D2"/>
    <w:rsid w:val="004F5BB1"/>
    <w:rsid w:val="00512647"/>
    <w:rsid w:val="00516B0E"/>
    <w:rsid w:val="00527381"/>
    <w:rsid w:val="005419C2"/>
    <w:rsid w:val="005706FD"/>
    <w:rsid w:val="00572521"/>
    <w:rsid w:val="005777BC"/>
    <w:rsid w:val="00584B74"/>
    <w:rsid w:val="00585C14"/>
    <w:rsid w:val="005A1B5C"/>
    <w:rsid w:val="005D27F7"/>
    <w:rsid w:val="005E5F5F"/>
    <w:rsid w:val="00603DDF"/>
    <w:rsid w:val="00607188"/>
    <w:rsid w:val="006337C7"/>
    <w:rsid w:val="00671D1D"/>
    <w:rsid w:val="00671FC8"/>
    <w:rsid w:val="0068286F"/>
    <w:rsid w:val="00695B12"/>
    <w:rsid w:val="00697567"/>
    <w:rsid w:val="00697C73"/>
    <w:rsid w:val="006C4C9C"/>
    <w:rsid w:val="006D2221"/>
    <w:rsid w:val="006E1636"/>
    <w:rsid w:val="006E1E6A"/>
    <w:rsid w:val="006E4001"/>
    <w:rsid w:val="006F58A5"/>
    <w:rsid w:val="00703734"/>
    <w:rsid w:val="00711349"/>
    <w:rsid w:val="00723C5D"/>
    <w:rsid w:val="0073362E"/>
    <w:rsid w:val="007833EE"/>
    <w:rsid w:val="007B553F"/>
    <w:rsid w:val="007E5E76"/>
    <w:rsid w:val="007F5051"/>
    <w:rsid w:val="00806473"/>
    <w:rsid w:val="00826293"/>
    <w:rsid w:val="00853A7A"/>
    <w:rsid w:val="008653E9"/>
    <w:rsid w:val="00872DFF"/>
    <w:rsid w:val="00892B6E"/>
    <w:rsid w:val="008B7B1E"/>
    <w:rsid w:val="008C2718"/>
    <w:rsid w:val="008C3B21"/>
    <w:rsid w:val="008D244C"/>
    <w:rsid w:val="008D2953"/>
    <w:rsid w:val="008E3C31"/>
    <w:rsid w:val="008E5E4B"/>
    <w:rsid w:val="009059E9"/>
    <w:rsid w:val="0091556D"/>
    <w:rsid w:val="00917329"/>
    <w:rsid w:val="00934A4A"/>
    <w:rsid w:val="00960D98"/>
    <w:rsid w:val="0097435D"/>
    <w:rsid w:val="009830D1"/>
    <w:rsid w:val="009A549D"/>
    <w:rsid w:val="009A64AF"/>
    <w:rsid w:val="009C60B9"/>
    <w:rsid w:val="009E39E6"/>
    <w:rsid w:val="00A52F3D"/>
    <w:rsid w:val="00A61699"/>
    <w:rsid w:val="00A6365B"/>
    <w:rsid w:val="00A731BB"/>
    <w:rsid w:val="00AA740C"/>
    <w:rsid w:val="00AD22BA"/>
    <w:rsid w:val="00AD32A5"/>
    <w:rsid w:val="00B15C01"/>
    <w:rsid w:val="00B17B99"/>
    <w:rsid w:val="00B251DB"/>
    <w:rsid w:val="00B26C25"/>
    <w:rsid w:val="00B35C0C"/>
    <w:rsid w:val="00B400E0"/>
    <w:rsid w:val="00B40A60"/>
    <w:rsid w:val="00B45B98"/>
    <w:rsid w:val="00BB350F"/>
    <w:rsid w:val="00BC6C16"/>
    <w:rsid w:val="00BD0F8A"/>
    <w:rsid w:val="00BE1CB4"/>
    <w:rsid w:val="00BE53C7"/>
    <w:rsid w:val="00BE6EEA"/>
    <w:rsid w:val="00C27CB3"/>
    <w:rsid w:val="00C42F09"/>
    <w:rsid w:val="00C43D48"/>
    <w:rsid w:val="00C50A9A"/>
    <w:rsid w:val="00C65E4E"/>
    <w:rsid w:val="00C859DE"/>
    <w:rsid w:val="00CB2DE1"/>
    <w:rsid w:val="00CB7499"/>
    <w:rsid w:val="00CE4789"/>
    <w:rsid w:val="00CE6BBD"/>
    <w:rsid w:val="00CE7F17"/>
    <w:rsid w:val="00CF5B8A"/>
    <w:rsid w:val="00D220CF"/>
    <w:rsid w:val="00D27B99"/>
    <w:rsid w:val="00D64BFA"/>
    <w:rsid w:val="00D841E9"/>
    <w:rsid w:val="00D9122B"/>
    <w:rsid w:val="00DB270D"/>
    <w:rsid w:val="00DE04A8"/>
    <w:rsid w:val="00DE1060"/>
    <w:rsid w:val="00E01D7D"/>
    <w:rsid w:val="00E04DA0"/>
    <w:rsid w:val="00E11B00"/>
    <w:rsid w:val="00E3027E"/>
    <w:rsid w:val="00E37443"/>
    <w:rsid w:val="00E51EC5"/>
    <w:rsid w:val="00E95372"/>
    <w:rsid w:val="00EA0739"/>
    <w:rsid w:val="00EB2A69"/>
    <w:rsid w:val="00ED173E"/>
    <w:rsid w:val="00EE1F4B"/>
    <w:rsid w:val="00F1441E"/>
    <w:rsid w:val="00F16FE0"/>
    <w:rsid w:val="00F22BB9"/>
    <w:rsid w:val="00F32757"/>
    <w:rsid w:val="00F3409A"/>
    <w:rsid w:val="00F50FA6"/>
    <w:rsid w:val="00F62B4E"/>
    <w:rsid w:val="00F669E4"/>
    <w:rsid w:val="00F66A4B"/>
    <w:rsid w:val="00FD4042"/>
    <w:rsid w:val="00FE4569"/>
    <w:rsid w:val="00FE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10538"/>
  <w15:chartTrackingRefBased/>
  <w15:docId w15:val="{7ED241D3-61EF-459D-BC43-8F4FFE8A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766"/>
    <w:pPr>
      <w:spacing w:before="120" w:after="120" w:line="240" w:lineRule="auto"/>
    </w:pPr>
    <w:rPr>
      <w:sz w:val="20"/>
    </w:rPr>
  </w:style>
  <w:style w:type="paragraph" w:styleId="Heading1">
    <w:name w:val="heading 1"/>
    <w:basedOn w:val="Normal"/>
    <w:next w:val="Normal"/>
    <w:link w:val="Heading1Char"/>
    <w:uiPriority w:val="9"/>
    <w:qFormat/>
    <w:rsid w:val="00BC6C16"/>
    <w:pPr>
      <w:keepNext/>
      <w:keepLines/>
      <w:contextualSpacing/>
      <w:outlineLvl w:val="0"/>
    </w:pPr>
    <w:rPr>
      <w:rFonts w:ascii="Aptos" w:hAnsi="Aptos"/>
      <w:b/>
      <w:bCs/>
      <w:color w:val="001B35"/>
      <w:sz w:val="36"/>
      <w:szCs w:val="36"/>
    </w:rPr>
  </w:style>
  <w:style w:type="paragraph" w:styleId="Heading2">
    <w:name w:val="heading 2"/>
    <w:basedOn w:val="Normal"/>
    <w:next w:val="Normal"/>
    <w:link w:val="Heading2Char"/>
    <w:uiPriority w:val="9"/>
    <w:unhideWhenUsed/>
    <w:qFormat/>
    <w:rsid w:val="00BC6C16"/>
    <w:pPr>
      <w:keepNext/>
      <w:keepLines/>
      <w:outlineLvl w:val="1"/>
    </w:pPr>
    <w:rPr>
      <w:rFonts w:ascii="Aptos" w:eastAsiaTheme="majorEastAsia" w:hAnsi="Aptos" w:cstheme="majorBidi"/>
      <w:b/>
      <w:bCs/>
      <w:color w:val="095258"/>
      <w:sz w:val="24"/>
      <w:szCs w:val="24"/>
    </w:rPr>
  </w:style>
  <w:style w:type="paragraph" w:styleId="Heading3">
    <w:name w:val="heading 3"/>
    <w:basedOn w:val="Normal"/>
    <w:next w:val="Normal"/>
    <w:link w:val="Heading3Char"/>
    <w:uiPriority w:val="9"/>
    <w:unhideWhenUsed/>
    <w:qFormat/>
    <w:rsid w:val="00BC6C16"/>
    <w:pPr>
      <w:keepNext/>
      <w:keepLines/>
      <w:outlineLvl w:val="2"/>
    </w:pPr>
    <w:rPr>
      <w:rFonts w:ascii="Aptos" w:eastAsiaTheme="majorEastAsia" w:hAnsi="Aptos" w:cstheme="majorBidi"/>
      <w:b/>
      <w:bCs/>
      <w:szCs w:val="20"/>
    </w:rPr>
  </w:style>
  <w:style w:type="paragraph" w:styleId="Heading4">
    <w:name w:val="heading 4"/>
    <w:aliases w:val="Footer text"/>
    <w:basedOn w:val="Footer"/>
    <w:next w:val="Normal"/>
    <w:link w:val="Heading4Char"/>
    <w:uiPriority w:val="9"/>
    <w:unhideWhenUsed/>
    <w:qFormat/>
    <w:rsid w:val="00FD4042"/>
    <w:pPr>
      <w:tabs>
        <w:tab w:val="clear" w:pos="4513"/>
        <w:tab w:val="clear" w:pos="9026"/>
        <w:tab w:val="center" w:pos="5245"/>
        <w:tab w:val="right" w:pos="10466"/>
      </w:tabs>
      <w:outlineLvl w:val="3"/>
    </w:pPr>
    <w:rPr>
      <w:rFonts w:ascii="Aptos" w:hAnsi="Aptos" w:cs="Calibri"/>
      <w:sz w:val="16"/>
      <w:szCs w:val="16"/>
    </w:rPr>
  </w:style>
  <w:style w:type="paragraph" w:styleId="Heading5">
    <w:name w:val="heading 5"/>
    <w:basedOn w:val="Normal"/>
    <w:next w:val="Normal"/>
    <w:link w:val="Heading5Char"/>
    <w:uiPriority w:val="9"/>
    <w:unhideWhenUsed/>
    <w:rsid w:val="000E5C60"/>
    <w:pPr>
      <w:keepNext/>
      <w:keepLines/>
      <w:spacing w:before="240"/>
      <w:outlineLvl w:val="4"/>
    </w:pPr>
    <w:rPr>
      <w:rFonts w:asciiTheme="majorHAnsi" w:eastAsiaTheme="majorEastAsia" w:hAnsiTheme="majorHAnsi" w:cstheme="majorBidi"/>
      <w:color w:val="15659B" w:themeColor="accent4"/>
      <w:sz w:val="26"/>
      <w:szCs w:val="26"/>
    </w:rPr>
  </w:style>
  <w:style w:type="paragraph" w:styleId="Heading6">
    <w:name w:val="heading 6"/>
    <w:basedOn w:val="Normal"/>
    <w:next w:val="Normal"/>
    <w:link w:val="Heading6Char"/>
    <w:uiPriority w:val="9"/>
    <w:unhideWhenUsed/>
    <w:rsid w:val="00C50A9A"/>
    <w:pPr>
      <w:keepNext/>
      <w:keepLines/>
      <w:spacing w:before="240"/>
      <w:outlineLvl w:val="5"/>
    </w:pPr>
    <w:rPr>
      <w:rFonts w:asciiTheme="majorHAnsi" w:eastAsiaTheme="majorEastAsia" w:hAnsiTheme="majorHAnsi" w:cstheme="majorBidi"/>
      <w:color w:val="000000" w:themeColor="text1"/>
      <w:sz w:val="24"/>
    </w:rPr>
  </w:style>
  <w:style w:type="paragraph" w:styleId="Heading7">
    <w:name w:val="heading 7"/>
    <w:basedOn w:val="Normal"/>
    <w:next w:val="Normal"/>
    <w:link w:val="Heading7Char"/>
    <w:uiPriority w:val="9"/>
    <w:unhideWhenUsed/>
    <w:rsid w:val="00C50A9A"/>
    <w:pPr>
      <w:keepNext/>
      <w:keepLines/>
      <w:spacing w:before="240"/>
      <w:outlineLvl w:val="6"/>
    </w:pPr>
    <w:rPr>
      <w:rFonts w:asciiTheme="majorHAnsi" w:eastAsiaTheme="majorEastAsia" w:hAnsiTheme="majorHAnsi" w:cstheme="majorBidi"/>
      <w:b/>
      <w:iCs/>
      <w:color w:val="001B35" w:themeColor="accent1"/>
      <w:sz w:val="22"/>
    </w:rPr>
  </w:style>
  <w:style w:type="paragraph" w:styleId="Heading8">
    <w:name w:val="heading 8"/>
    <w:basedOn w:val="Normal"/>
    <w:next w:val="Normal"/>
    <w:link w:val="Heading8Char"/>
    <w:uiPriority w:val="9"/>
    <w:unhideWhenUsed/>
    <w:rsid w:val="00C50A9A"/>
    <w:pPr>
      <w:keepNext/>
      <w:keepLines/>
      <w:spacing w:before="2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rsid w:val="000D56F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BC6C16"/>
    <w:rPr>
      <w:rFonts w:ascii="Aptos" w:hAnsi="Aptos"/>
      <w:b/>
      <w:bCs/>
      <w:color w:val="001B35"/>
      <w:sz w:val="36"/>
      <w:szCs w:val="36"/>
    </w:rPr>
  </w:style>
  <w:style w:type="table" w:customStyle="1" w:styleId="Verticaltable">
    <w:name w:val="Vertical table"/>
    <w:basedOn w:val="TableNormal"/>
    <w:uiPriority w:val="99"/>
    <w:rsid w:val="00AD22BA"/>
    <w:pPr>
      <w:spacing w:after="0" w:line="240" w:lineRule="auto"/>
    </w:pPr>
    <w:tblPr>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lastRow">
      <w:rPr>
        <w:b w:val="0"/>
      </w:rPr>
    </w:tblStylePr>
    <w:tblStylePr w:type="firstCol">
      <w:rPr>
        <w:b/>
        <w:color w:val="FFFFFF" w:themeColor="background1"/>
      </w:rPr>
      <w:tblPr/>
      <w:tcPr>
        <w:shd w:val="clear" w:color="auto" w:fill="15659B" w:themeFill="accent4"/>
      </w:tcPr>
    </w:tblStylePr>
  </w:style>
  <w:style w:type="character" w:styleId="FollowedHyperlink">
    <w:name w:val="FollowedHyperlink"/>
    <w:basedOn w:val="DefaultParagraphFont"/>
    <w:uiPriority w:val="99"/>
    <w:semiHidden/>
    <w:unhideWhenUsed/>
    <w:rsid w:val="00872DFF"/>
    <w:rPr>
      <w:color w:val="954F72" w:themeColor="followedHyperlink"/>
      <w:u w:val="single"/>
    </w:rPr>
  </w:style>
  <w:style w:type="paragraph" w:styleId="Subtitle">
    <w:name w:val="Subtitle"/>
    <w:basedOn w:val="Normal"/>
    <w:next w:val="Normal"/>
    <w:link w:val="SubtitleChar"/>
    <w:uiPriority w:val="11"/>
    <w:qFormat/>
    <w:rsid w:val="00BC6C16"/>
    <w:pPr>
      <w:spacing w:after="240"/>
    </w:pPr>
    <w:rPr>
      <w:rFonts w:ascii="Aptos" w:hAnsi="Aptos"/>
      <w:sz w:val="24"/>
      <w:szCs w:val="24"/>
    </w:rPr>
  </w:style>
  <w:style w:type="character" w:customStyle="1" w:styleId="SubtitleChar">
    <w:name w:val="Subtitle Char"/>
    <w:basedOn w:val="DefaultParagraphFont"/>
    <w:link w:val="Subtitle"/>
    <w:uiPriority w:val="11"/>
    <w:rsid w:val="00BC6C16"/>
    <w:rPr>
      <w:rFonts w:ascii="Aptos" w:hAnsi="Aptos"/>
      <w:sz w:val="24"/>
      <w:szCs w:val="24"/>
    </w:rPr>
  </w:style>
  <w:style w:type="character" w:customStyle="1" w:styleId="Heading2Char">
    <w:name w:val="Heading 2 Char"/>
    <w:basedOn w:val="DefaultParagraphFont"/>
    <w:link w:val="Heading2"/>
    <w:uiPriority w:val="9"/>
    <w:rsid w:val="00BC6C16"/>
    <w:rPr>
      <w:rFonts w:ascii="Aptos" w:eastAsiaTheme="majorEastAsia" w:hAnsi="Aptos" w:cstheme="majorBidi"/>
      <w:b/>
      <w:bCs/>
      <w:color w:val="095258"/>
      <w:sz w:val="24"/>
      <w:szCs w:val="24"/>
    </w:rPr>
  </w:style>
  <w:style w:type="character" w:customStyle="1" w:styleId="Heading3Char">
    <w:name w:val="Heading 3 Char"/>
    <w:basedOn w:val="DefaultParagraphFont"/>
    <w:link w:val="Heading3"/>
    <w:uiPriority w:val="9"/>
    <w:rsid w:val="00BC6C16"/>
    <w:rPr>
      <w:rFonts w:ascii="Aptos" w:eastAsiaTheme="majorEastAsia" w:hAnsi="Aptos" w:cstheme="majorBidi"/>
      <w:b/>
      <w:bCs/>
      <w:sz w:val="20"/>
      <w:szCs w:val="20"/>
    </w:rPr>
  </w:style>
  <w:style w:type="character" w:customStyle="1" w:styleId="Heading4Char">
    <w:name w:val="Heading 4 Char"/>
    <w:aliases w:val="Footer text Char"/>
    <w:basedOn w:val="DefaultParagraphFont"/>
    <w:link w:val="Heading4"/>
    <w:uiPriority w:val="9"/>
    <w:rsid w:val="00FD4042"/>
    <w:rPr>
      <w:rFonts w:ascii="Aptos" w:hAnsi="Aptos" w:cs="Calibri"/>
      <w:sz w:val="16"/>
      <w:szCs w:val="16"/>
    </w:rPr>
  </w:style>
  <w:style w:type="character" w:customStyle="1" w:styleId="Heading5Char">
    <w:name w:val="Heading 5 Char"/>
    <w:basedOn w:val="DefaultParagraphFont"/>
    <w:link w:val="Heading5"/>
    <w:uiPriority w:val="9"/>
    <w:rsid w:val="000E5C60"/>
    <w:rPr>
      <w:rFonts w:asciiTheme="majorHAnsi" w:eastAsiaTheme="majorEastAsia" w:hAnsiTheme="majorHAnsi" w:cstheme="majorBidi"/>
      <w:color w:val="15659B" w:themeColor="accent4"/>
      <w:sz w:val="26"/>
      <w:szCs w:val="26"/>
    </w:rPr>
  </w:style>
  <w:style w:type="paragraph" w:styleId="Quote">
    <w:name w:val="Quote"/>
    <w:basedOn w:val="Normal"/>
    <w:next w:val="Normal"/>
    <w:link w:val="QuoteChar"/>
    <w:uiPriority w:val="29"/>
    <w:rsid w:val="00171757"/>
    <w:pPr>
      <w:pBdr>
        <w:top w:val="single" w:sz="4" w:space="6" w:color="15659B" w:themeColor="accent4"/>
        <w:bottom w:val="single" w:sz="4" w:space="6" w:color="15659B" w:themeColor="accent4"/>
      </w:pBdr>
      <w:spacing w:before="240" w:after="240"/>
      <w:ind w:right="2835"/>
    </w:pPr>
    <w:rPr>
      <w:iCs/>
      <w:color w:val="000000" w:themeColor="text1"/>
      <w:sz w:val="22"/>
      <w:szCs w:val="24"/>
    </w:rPr>
  </w:style>
  <w:style w:type="character" w:customStyle="1" w:styleId="QuoteChar">
    <w:name w:val="Quote Char"/>
    <w:basedOn w:val="DefaultParagraphFont"/>
    <w:link w:val="Quote"/>
    <w:uiPriority w:val="29"/>
    <w:rsid w:val="00171757"/>
    <w:rPr>
      <w:iCs/>
      <w:color w:val="000000" w:themeColor="text1"/>
      <w:szCs w:val="24"/>
    </w:rPr>
  </w:style>
  <w:style w:type="character" w:styleId="Strong">
    <w:name w:val="Strong"/>
    <w:basedOn w:val="DefaultParagraphFont"/>
    <w:uiPriority w:val="22"/>
    <w:rsid w:val="00B251DB"/>
    <w:rPr>
      <w:b/>
      <w:bCs/>
    </w:rPr>
  </w:style>
  <w:style w:type="character" w:styleId="Emphasis">
    <w:name w:val="Emphasis"/>
    <w:basedOn w:val="DefaultParagraphFont"/>
    <w:uiPriority w:val="20"/>
    <w:rsid w:val="00B251DB"/>
    <w:rPr>
      <w:i/>
      <w:iCs/>
    </w:rPr>
  </w:style>
  <w:style w:type="paragraph" w:styleId="ListParagraph">
    <w:name w:val="List Paragraph"/>
    <w:basedOn w:val="Normal"/>
    <w:link w:val="ListParagraphChar"/>
    <w:uiPriority w:val="34"/>
    <w:qFormat/>
    <w:rsid w:val="00090DDB"/>
    <w:pPr>
      <w:numPr>
        <w:numId w:val="1"/>
      </w:numPr>
      <w:spacing w:before="0"/>
    </w:pPr>
  </w:style>
  <w:style w:type="character" w:styleId="Hyperlink">
    <w:name w:val="Hyperlink"/>
    <w:basedOn w:val="DefaultParagraphFont"/>
    <w:uiPriority w:val="99"/>
    <w:unhideWhenUsed/>
    <w:rsid w:val="0031654A"/>
    <w:rPr>
      <w:color w:val="15659B" w:themeColor="accent4"/>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2"/>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43720A"/>
    <w:pPr>
      <w:spacing w:after="100"/>
    </w:pPr>
  </w:style>
  <w:style w:type="paragraph" w:styleId="TOC3">
    <w:name w:val="toc 3"/>
    <w:basedOn w:val="Normal"/>
    <w:next w:val="Normal"/>
    <w:autoRedefine/>
    <w:uiPriority w:val="39"/>
    <w:unhideWhenUsed/>
    <w:rsid w:val="0043720A"/>
    <w:pPr>
      <w:spacing w:after="100"/>
      <w:ind w:left="221"/>
    </w:pPr>
  </w:style>
  <w:style w:type="paragraph" w:customStyle="1" w:styleId="Address">
    <w:name w:val="Address"/>
    <w:basedOn w:val="Subtitle"/>
    <w:rsid w:val="009A549D"/>
    <w:pPr>
      <w:spacing w:after="0"/>
    </w:p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93533" w:themeColor="accent2"/>
        <w:left w:val="single" w:sz="4" w:space="0" w:color="993533" w:themeColor="accent2"/>
        <w:bottom w:val="single" w:sz="4" w:space="0" w:color="993533" w:themeColor="accent2"/>
        <w:right w:val="single" w:sz="4" w:space="0" w:color="993533" w:themeColor="accent2"/>
      </w:tblBorders>
    </w:tblPr>
    <w:tblStylePr w:type="firstRow">
      <w:rPr>
        <w:b/>
        <w:bCs/>
        <w:color w:val="FFFFFF" w:themeColor="background1"/>
      </w:rPr>
      <w:tblPr/>
      <w:tcPr>
        <w:shd w:val="clear" w:color="auto" w:fill="993533" w:themeFill="accent2"/>
      </w:tcPr>
    </w:tblStylePr>
    <w:tblStylePr w:type="lastRow">
      <w:rPr>
        <w:b/>
        <w:bCs/>
      </w:rPr>
      <w:tblPr/>
      <w:tcPr>
        <w:tcBorders>
          <w:top w:val="double" w:sz="4" w:space="0" w:color="9935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3533" w:themeColor="accent2"/>
          <w:right w:val="single" w:sz="4" w:space="0" w:color="993533" w:themeColor="accent2"/>
        </w:tcBorders>
      </w:tcPr>
    </w:tblStylePr>
    <w:tblStylePr w:type="band1Horz">
      <w:tblPr/>
      <w:tcPr>
        <w:tcBorders>
          <w:top w:val="single" w:sz="4" w:space="0" w:color="993533" w:themeColor="accent2"/>
          <w:bottom w:val="single" w:sz="4" w:space="0" w:color="9935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3533" w:themeColor="accent2"/>
          <w:left w:val="nil"/>
        </w:tcBorders>
      </w:tcPr>
    </w:tblStylePr>
    <w:tblStylePr w:type="swCell">
      <w:tblPr/>
      <w:tcPr>
        <w:tcBorders>
          <w:top w:val="double" w:sz="4" w:space="0" w:color="993533"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00D3D1" w:themeColor="accent3"/>
        <w:left w:val="single" w:sz="4" w:space="0" w:color="00D3D1" w:themeColor="accent3"/>
        <w:bottom w:val="single" w:sz="4" w:space="0" w:color="00D3D1" w:themeColor="accent3"/>
        <w:right w:val="single" w:sz="4" w:space="0" w:color="00D3D1" w:themeColor="accent3"/>
      </w:tblBorders>
    </w:tblPr>
    <w:tblStylePr w:type="firstRow">
      <w:rPr>
        <w:b/>
        <w:bCs/>
        <w:color w:val="FFFFFF" w:themeColor="background1"/>
      </w:rPr>
      <w:tblPr/>
      <w:tcPr>
        <w:shd w:val="clear" w:color="auto" w:fill="00D3D1" w:themeFill="accent3"/>
      </w:tcPr>
    </w:tblStylePr>
    <w:tblStylePr w:type="lastRow">
      <w:rPr>
        <w:b/>
        <w:bCs/>
      </w:rPr>
      <w:tblPr/>
      <w:tcPr>
        <w:tcBorders>
          <w:top w:val="double" w:sz="4" w:space="0" w:color="00D3D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3D1" w:themeColor="accent3"/>
          <w:right w:val="single" w:sz="4" w:space="0" w:color="00D3D1" w:themeColor="accent3"/>
        </w:tcBorders>
      </w:tcPr>
    </w:tblStylePr>
    <w:tblStylePr w:type="band1Horz">
      <w:tblPr/>
      <w:tcPr>
        <w:tcBorders>
          <w:top w:val="single" w:sz="4" w:space="0" w:color="00D3D1" w:themeColor="accent3"/>
          <w:bottom w:val="single" w:sz="4" w:space="0" w:color="00D3D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3D1" w:themeColor="accent3"/>
          <w:left w:val="nil"/>
        </w:tcBorders>
      </w:tcPr>
    </w:tblStylePr>
    <w:tblStylePr w:type="swCell">
      <w:tblPr/>
      <w:tcPr>
        <w:tcBorders>
          <w:top w:val="double" w:sz="4" w:space="0" w:color="00D3D1" w:themeColor="accent3"/>
          <w:right w:val="nil"/>
        </w:tcBorders>
      </w:tcPr>
    </w:tblStylePr>
  </w:style>
  <w:style w:type="paragraph" w:styleId="IntenseQuote">
    <w:name w:val="Intense Quote"/>
    <w:basedOn w:val="Normal"/>
    <w:next w:val="Normal"/>
    <w:link w:val="IntenseQuoteChar"/>
    <w:uiPriority w:val="30"/>
    <w:rsid w:val="000A75CB"/>
    <w:pPr>
      <w:pBdr>
        <w:top w:val="single" w:sz="4" w:space="6" w:color="15659B" w:themeColor="accent4"/>
        <w:bottom w:val="single" w:sz="4" w:space="6" w:color="15659B" w:themeColor="accent4"/>
      </w:pBdr>
      <w:spacing w:before="360" w:after="360"/>
      <w:ind w:right="2835"/>
      <w:jc w:val="center"/>
    </w:pPr>
    <w:rPr>
      <w:b/>
      <w:iCs/>
      <w:sz w:val="24"/>
    </w:rPr>
  </w:style>
  <w:style w:type="character" w:customStyle="1" w:styleId="IntenseQuoteChar">
    <w:name w:val="Intense Quote Char"/>
    <w:basedOn w:val="DefaultParagraphFont"/>
    <w:link w:val="IntenseQuote"/>
    <w:uiPriority w:val="30"/>
    <w:rsid w:val="000A75CB"/>
    <w:rPr>
      <w:b/>
      <w:iCs/>
      <w:sz w:val="24"/>
    </w:rPr>
  </w:style>
  <w:style w:type="paragraph" w:customStyle="1" w:styleId="Calloutbox">
    <w:name w:val="Call out box"/>
    <w:basedOn w:val="Normal"/>
    <w:rsid w:val="00266F7C"/>
    <w:pPr>
      <w:pBdr>
        <w:top w:val="single" w:sz="4" w:space="6" w:color="E7E6E6" w:themeColor="background2"/>
        <w:left w:val="single" w:sz="4" w:space="4" w:color="E7E6E6" w:themeColor="background2"/>
        <w:bottom w:val="single" w:sz="4" w:space="6" w:color="E7E6E6" w:themeColor="background2"/>
        <w:right w:val="single" w:sz="4" w:space="4" w:color="E7E6E6" w:themeColor="background2"/>
      </w:pBdr>
      <w:shd w:val="clear" w:color="auto" w:fill="E7E6E6" w:themeFill="background2"/>
    </w:pPr>
  </w:style>
  <w:style w:type="character" w:customStyle="1" w:styleId="Heading6Char">
    <w:name w:val="Heading 6 Char"/>
    <w:basedOn w:val="DefaultParagraphFont"/>
    <w:link w:val="Heading6"/>
    <w:uiPriority w:val="9"/>
    <w:rsid w:val="00C50A9A"/>
    <w:rPr>
      <w:rFonts w:asciiTheme="majorHAnsi" w:eastAsiaTheme="majorEastAsia" w:hAnsiTheme="majorHAnsi" w:cstheme="majorBidi"/>
      <w:color w:val="000000" w:themeColor="text1"/>
      <w:sz w:val="24"/>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D17675" w:themeColor="accent2" w:themeTint="99"/>
        <w:left w:val="single" w:sz="4" w:space="0" w:color="D17675" w:themeColor="accent2" w:themeTint="99"/>
        <w:bottom w:val="single" w:sz="4" w:space="0" w:color="D17675" w:themeColor="accent2" w:themeTint="99"/>
        <w:right w:val="single" w:sz="4" w:space="0" w:color="D17675" w:themeColor="accent2" w:themeTint="99"/>
        <w:insideH w:val="single" w:sz="4" w:space="0" w:color="D17675" w:themeColor="accent2" w:themeTint="99"/>
        <w:insideV w:val="single" w:sz="4" w:space="0" w:color="D17675" w:themeColor="accent2" w:themeTint="99"/>
      </w:tblBorders>
    </w:tblPr>
    <w:tblStylePr w:type="firstRow">
      <w:rPr>
        <w:b/>
        <w:bCs/>
        <w:color w:val="FFFFFF" w:themeColor="background1"/>
      </w:rPr>
      <w:tblPr/>
      <w:tcPr>
        <w:tcBorders>
          <w:top w:val="single" w:sz="4" w:space="0" w:color="993533" w:themeColor="accent2"/>
          <w:left w:val="single" w:sz="4" w:space="0" w:color="993533" w:themeColor="accent2"/>
          <w:bottom w:val="single" w:sz="4" w:space="0" w:color="993533" w:themeColor="accent2"/>
          <w:right w:val="single" w:sz="4" w:space="0" w:color="993533" w:themeColor="accent2"/>
          <w:insideH w:val="nil"/>
          <w:insideV w:val="nil"/>
        </w:tcBorders>
        <w:shd w:val="clear" w:color="auto" w:fill="993533" w:themeFill="accent2"/>
      </w:tcPr>
    </w:tblStylePr>
    <w:tblStylePr w:type="lastRow">
      <w:rPr>
        <w:b/>
        <w:bCs/>
      </w:rPr>
      <w:tblPr/>
      <w:tcPr>
        <w:tcBorders>
          <w:top w:val="double" w:sz="4" w:space="0" w:color="993533" w:themeColor="accent2"/>
        </w:tcBorders>
      </w:tcPr>
    </w:tblStylePr>
    <w:tblStylePr w:type="firstCol">
      <w:rPr>
        <w:b/>
        <w:bCs/>
      </w:rPr>
    </w:tblStylePr>
    <w:tblStylePr w:type="lastCol">
      <w:rPr>
        <w:b/>
        <w:bCs/>
      </w:rPr>
    </w:tblStylePr>
    <w:tblStylePr w:type="band1Vert">
      <w:tblPr/>
      <w:tcPr>
        <w:shd w:val="clear" w:color="auto" w:fill="EFD1D1" w:themeFill="accent2" w:themeFillTint="33"/>
      </w:tcPr>
    </w:tblStylePr>
    <w:tblStylePr w:type="band1Horz">
      <w:tblPr/>
      <w:tcPr>
        <w:shd w:val="clear" w:color="auto" w:fill="EFD1D1"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E0A4A3" w:themeColor="accent2" w:themeTint="66"/>
        <w:left w:val="single" w:sz="4" w:space="0" w:color="E0A4A3" w:themeColor="accent2" w:themeTint="66"/>
        <w:bottom w:val="single" w:sz="4" w:space="0" w:color="E0A4A3" w:themeColor="accent2" w:themeTint="66"/>
        <w:right w:val="single" w:sz="4" w:space="0" w:color="E0A4A3" w:themeColor="accent2" w:themeTint="66"/>
        <w:insideH w:val="single" w:sz="4" w:space="0" w:color="E0A4A3" w:themeColor="accent2" w:themeTint="66"/>
        <w:insideV w:val="single" w:sz="4" w:space="0" w:color="E0A4A3" w:themeColor="accent2" w:themeTint="66"/>
      </w:tblBorders>
    </w:tblPr>
    <w:tblStylePr w:type="firstRow">
      <w:rPr>
        <w:b/>
        <w:bCs/>
      </w:rPr>
      <w:tblPr/>
      <w:tcPr>
        <w:tcBorders>
          <w:bottom w:val="single" w:sz="12" w:space="0" w:color="D17675" w:themeColor="accent2" w:themeTint="99"/>
        </w:tcBorders>
      </w:tcPr>
    </w:tblStylePr>
    <w:tblStylePr w:type="lastRow">
      <w:rPr>
        <w:b/>
        <w:bCs/>
      </w:rPr>
      <w:tblPr/>
      <w:tcPr>
        <w:tcBorders>
          <w:top w:val="double" w:sz="2" w:space="0" w:color="D1767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B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B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B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B35" w:themeFill="accent1"/>
      </w:tcPr>
    </w:tblStylePr>
    <w:tblStylePr w:type="band1Vert">
      <w:tblPr/>
      <w:tcPr>
        <w:shd w:val="clear" w:color="auto" w:fill="48A4FF" w:themeFill="accent1" w:themeFillTint="66"/>
      </w:tcPr>
    </w:tblStylePr>
    <w:tblStylePr w:type="band1Horz">
      <w:tblPr/>
      <w:tcPr>
        <w:shd w:val="clear" w:color="auto" w:fill="48A4FF"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0077EB" w:themeColor="accent1" w:themeTint="99"/>
        <w:left w:val="single" w:sz="4" w:space="0" w:color="0077EB" w:themeColor="accent1" w:themeTint="99"/>
        <w:bottom w:val="single" w:sz="4" w:space="0" w:color="0077EB" w:themeColor="accent1" w:themeTint="99"/>
        <w:right w:val="single" w:sz="4" w:space="0" w:color="0077EB" w:themeColor="accent1" w:themeTint="99"/>
        <w:insideH w:val="single" w:sz="4" w:space="0" w:color="0077EB" w:themeColor="accent1" w:themeTint="99"/>
        <w:insideV w:val="single" w:sz="4" w:space="0" w:color="0077EB" w:themeColor="accent1" w:themeTint="99"/>
      </w:tblBorders>
    </w:tblPr>
    <w:tblStylePr w:type="firstRow">
      <w:rPr>
        <w:b/>
        <w:bCs/>
        <w:color w:val="FFFFFF" w:themeColor="background1"/>
      </w:rPr>
      <w:tblPr/>
      <w:tcPr>
        <w:shd w:val="clear" w:color="auto" w:fill="001427" w:themeFill="accent1" w:themeFillShade="BF"/>
      </w:tcPr>
    </w:tblStylePr>
    <w:tblStylePr w:type="lastRow">
      <w:rPr>
        <w:b/>
        <w:bCs/>
      </w:rPr>
      <w:tblPr/>
      <w:tcPr>
        <w:tcBorders>
          <w:top w:val="double" w:sz="4" w:space="0" w:color="001B35" w:themeColor="accent1"/>
        </w:tcBorders>
      </w:tcPr>
    </w:tblStylePr>
    <w:tblStylePr w:type="firstCol">
      <w:rPr>
        <w:b/>
        <w:bCs/>
      </w:rPr>
    </w:tblStylePr>
    <w:tblStylePr w:type="lastCol">
      <w:rPr>
        <w:b/>
        <w:bCs/>
      </w:rPr>
    </w:tblStylePr>
    <w:tblStylePr w:type="band1Vert">
      <w:tblPr/>
      <w:tcPr>
        <w:shd w:val="clear" w:color="auto" w:fill="A3D1FF" w:themeFill="accent1" w:themeFillTint="33"/>
      </w:tcPr>
    </w:tblStylePr>
    <w:tblStylePr w:type="band1Horz">
      <w:tblPr/>
      <w:tcPr>
        <w:shd w:val="clear" w:color="auto" w:fill="A3D1FF"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EFFDB9" w:themeColor="accent5" w:themeTint="99"/>
        <w:left w:val="single" w:sz="4" w:space="0" w:color="EFFDB9" w:themeColor="accent5" w:themeTint="99"/>
        <w:bottom w:val="single" w:sz="4" w:space="0" w:color="EFFDB9" w:themeColor="accent5" w:themeTint="99"/>
        <w:right w:val="single" w:sz="4" w:space="0" w:color="EFFDB9" w:themeColor="accent5" w:themeTint="99"/>
        <w:insideH w:val="single" w:sz="4" w:space="0" w:color="EFFDB9" w:themeColor="accent5" w:themeTint="99"/>
        <w:insideV w:val="single" w:sz="4" w:space="0" w:color="EFFDB9" w:themeColor="accent5" w:themeTint="99"/>
      </w:tblBorders>
    </w:tblPr>
    <w:tblStylePr w:type="firstRow">
      <w:rPr>
        <w:b/>
        <w:bCs/>
        <w:color w:val="FFFFFF" w:themeColor="background1"/>
      </w:rPr>
      <w:tblPr/>
      <w:tcPr>
        <w:tcBorders>
          <w:top w:val="single" w:sz="4" w:space="0" w:color="E5FD8C" w:themeColor="accent5"/>
          <w:left w:val="single" w:sz="4" w:space="0" w:color="E5FD8C" w:themeColor="accent5"/>
          <w:bottom w:val="single" w:sz="4" w:space="0" w:color="E5FD8C" w:themeColor="accent5"/>
          <w:right w:val="single" w:sz="4" w:space="0" w:color="E5FD8C" w:themeColor="accent5"/>
          <w:insideH w:val="nil"/>
          <w:insideV w:val="nil"/>
        </w:tcBorders>
        <w:shd w:val="clear" w:color="auto" w:fill="E5FD8C" w:themeFill="accent5"/>
      </w:tcPr>
    </w:tblStylePr>
    <w:tblStylePr w:type="lastRow">
      <w:rPr>
        <w:b/>
        <w:bCs/>
      </w:rPr>
      <w:tblPr/>
      <w:tcPr>
        <w:tcBorders>
          <w:top w:val="double" w:sz="4" w:space="0" w:color="E5FD8C" w:themeColor="accent5"/>
        </w:tcBorders>
      </w:tcPr>
    </w:tblStylePr>
    <w:tblStylePr w:type="firstCol">
      <w:rPr>
        <w:b/>
        <w:bCs/>
      </w:rPr>
    </w:tblStylePr>
    <w:tblStylePr w:type="lastCol">
      <w:rPr>
        <w:b/>
        <w:bCs/>
      </w:rPr>
    </w:tblStylePr>
    <w:tblStylePr w:type="band1Vert">
      <w:tblPr/>
      <w:tcPr>
        <w:shd w:val="clear" w:color="auto" w:fill="F9FEE7" w:themeFill="accent5" w:themeFillTint="33"/>
      </w:tcPr>
    </w:tblStylePr>
    <w:tblStylePr w:type="band1Horz">
      <w:tblPr/>
      <w:tcPr>
        <w:shd w:val="clear" w:color="auto" w:fill="F9FEE7" w:themeFill="accent5" w:themeFillTint="33"/>
      </w:tcPr>
    </w:tblStylePr>
  </w:style>
  <w:style w:type="table" w:styleId="GridTable4-Accent4">
    <w:name w:val="Grid Table 4 Accent 4"/>
    <w:aliases w:val="DISR banded - Table 2"/>
    <w:basedOn w:val="TableNormal"/>
    <w:uiPriority w:val="49"/>
    <w:rsid w:val="005777BC"/>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firstRow">
      <w:rPr>
        <w:b/>
        <w:bCs/>
        <w:color w:val="FFFFFF" w:themeColor="background1"/>
      </w:rPr>
      <w:tblPr/>
      <w:tcPr>
        <w:tcBorders>
          <w:top w:val="single" w:sz="4" w:space="0" w:color="15659B" w:themeColor="accent4"/>
          <w:left w:val="single" w:sz="4" w:space="0" w:color="15659B" w:themeColor="accent4"/>
          <w:bottom w:val="single" w:sz="4" w:space="0" w:color="15659B" w:themeColor="accent4"/>
          <w:right w:val="single" w:sz="4" w:space="0" w:color="15659B" w:themeColor="accent4"/>
          <w:insideH w:val="nil"/>
          <w:insideV w:val="nil"/>
        </w:tcBorders>
        <w:shd w:val="clear" w:color="auto" w:fill="15659B" w:themeFill="accent4"/>
      </w:tcPr>
    </w:tblStylePr>
    <w:tblStylePr w:type="lastRow">
      <w:rPr>
        <w:b/>
        <w:bCs/>
      </w:rPr>
      <w:tblPr/>
      <w:tcPr>
        <w:tcBorders>
          <w:top w:val="single" w:sz="18" w:space="0" w:color="15659B" w:themeColor="accent4"/>
        </w:tcBorders>
      </w:tcPr>
    </w:tblStylePr>
    <w:tblStylePr w:type="firstCol">
      <w:rPr>
        <w:b/>
        <w:bCs/>
      </w:rPr>
    </w:tblStylePr>
    <w:tblStylePr w:type="lastCol">
      <w:rPr>
        <w:b/>
        <w:bCs/>
      </w:rPr>
    </w:tblStylePr>
    <w:tblStylePr w:type="band1Vert">
      <w:tblPr/>
      <w:tcPr>
        <w:shd w:val="clear" w:color="auto" w:fill="C4E2F7" w:themeFill="accent4" w:themeFillTint="33"/>
      </w:tcPr>
    </w:tblStylePr>
    <w:tblStylePr w:type="band1Horz">
      <w:tblPr/>
      <w:tcPr>
        <w:shd w:val="clear" w:color="auto" w:fill="E7E6E6" w:themeFill="background2"/>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4BFFFC" w:themeColor="accent3" w:themeTint="99"/>
        <w:left w:val="single" w:sz="4" w:space="0" w:color="4BFFFC" w:themeColor="accent3" w:themeTint="99"/>
        <w:bottom w:val="single" w:sz="4" w:space="0" w:color="4BFFFC" w:themeColor="accent3" w:themeTint="99"/>
        <w:right w:val="single" w:sz="4" w:space="0" w:color="4BFFFC" w:themeColor="accent3" w:themeTint="99"/>
        <w:insideH w:val="single" w:sz="4" w:space="0" w:color="4BFFFC" w:themeColor="accent3" w:themeTint="99"/>
        <w:insideV w:val="single" w:sz="4" w:space="0" w:color="4BFFFC" w:themeColor="accent3" w:themeTint="99"/>
      </w:tblBorders>
    </w:tblPr>
    <w:tblStylePr w:type="firstRow">
      <w:rPr>
        <w:b/>
        <w:bCs/>
        <w:color w:val="FFFFFF" w:themeColor="background1"/>
      </w:rPr>
      <w:tblPr/>
      <w:tcPr>
        <w:tcBorders>
          <w:top w:val="single" w:sz="4" w:space="0" w:color="00D3D1" w:themeColor="accent3"/>
          <w:left w:val="single" w:sz="4" w:space="0" w:color="00D3D1" w:themeColor="accent3"/>
          <w:bottom w:val="single" w:sz="4" w:space="0" w:color="00D3D1" w:themeColor="accent3"/>
          <w:right w:val="single" w:sz="4" w:space="0" w:color="00D3D1" w:themeColor="accent3"/>
          <w:insideH w:val="nil"/>
          <w:insideV w:val="nil"/>
        </w:tcBorders>
        <w:shd w:val="clear" w:color="auto" w:fill="00D3D1" w:themeFill="accent3"/>
      </w:tcPr>
    </w:tblStylePr>
    <w:tblStylePr w:type="lastRow">
      <w:rPr>
        <w:b/>
        <w:bCs/>
      </w:rPr>
      <w:tblPr/>
      <w:tcPr>
        <w:tcBorders>
          <w:top w:val="double" w:sz="4" w:space="0" w:color="00D3D1" w:themeColor="accent3"/>
        </w:tcBorders>
      </w:tcPr>
    </w:tblStylePr>
    <w:tblStylePr w:type="firstCol">
      <w:rPr>
        <w:b/>
        <w:bCs/>
      </w:rPr>
    </w:tblStylePr>
    <w:tblStylePr w:type="lastCol">
      <w:rPr>
        <w:b/>
        <w:bCs/>
      </w:rPr>
    </w:tblStylePr>
    <w:tblStylePr w:type="band1Vert">
      <w:tblPr/>
      <w:tcPr>
        <w:shd w:val="clear" w:color="auto" w:fill="C3FFFE" w:themeFill="accent3" w:themeFillTint="33"/>
      </w:tcPr>
    </w:tblStylePr>
    <w:tblStylePr w:type="band1Horz">
      <w:tblPr/>
      <w:tcPr>
        <w:shd w:val="clear" w:color="auto" w:fill="C3FFFE" w:themeFill="accent3" w:themeFillTint="33"/>
      </w:tcPr>
    </w:tblStylePr>
  </w:style>
  <w:style w:type="paragraph" w:customStyle="1" w:styleId="Authoranddate">
    <w:name w:val="Author and date"/>
    <w:basedOn w:val="Subtitle"/>
    <w:link w:val="AuthoranddateChar"/>
    <w:rsid w:val="001D51DA"/>
    <w:rPr>
      <w:szCs w:val="40"/>
    </w:rPr>
  </w:style>
  <w:style w:type="character" w:customStyle="1" w:styleId="AuthoranddateChar">
    <w:name w:val="Author and date Char"/>
    <w:basedOn w:val="SubtitleChar"/>
    <w:link w:val="Authoranddate"/>
    <w:rsid w:val="001D51DA"/>
    <w:rPr>
      <w:rFonts w:ascii="Aptos" w:eastAsiaTheme="minorEastAsia" w:hAnsi="Aptos"/>
      <w:color w:val="E7E6E6" w:themeColor="background2"/>
      <w:sz w:val="40"/>
      <w:szCs w:val="40"/>
    </w:rPr>
  </w:style>
  <w:style w:type="character" w:customStyle="1" w:styleId="Heading7Char">
    <w:name w:val="Heading 7 Char"/>
    <w:basedOn w:val="DefaultParagraphFont"/>
    <w:link w:val="Heading7"/>
    <w:uiPriority w:val="9"/>
    <w:rsid w:val="00C50A9A"/>
    <w:rPr>
      <w:rFonts w:asciiTheme="majorHAnsi" w:eastAsiaTheme="majorEastAsia" w:hAnsiTheme="majorHAnsi" w:cstheme="majorBidi"/>
      <w:b/>
      <w:iCs/>
      <w:color w:val="001B35" w:themeColor="accent1"/>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tblBorders>
    </w:tblPr>
    <w:tblStylePr w:type="firstRow">
      <w:rPr>
        <w:b/>
        <w:bCs/>
        <w:color w:val="FFFFFF" w:themeColor="background1"/>
      </w:rPr>
      <w:tblPr/>
      <w:tcPr>
        <w:shd w:val="clear" w:color="auto" w:fill="15659B" w:themeFill="accent4"/>
      </w:tcPr>
    </w:tblStylePr>
    <w:tblStylePr w:type="lastRow">
      <w:rPr>
        <w:b/>
        <w:bCs/>
      </w:rPr>
      <w:tblPr/>
      <w:tcPr>
        <w:tcBorders>
          <w:top w:val="double" w:sz="4" w:space="0" w:color="1565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59B" w:themeColor="accent4"/>
          <w:right w:val="single" w:sz="4" w:space="0" w:color="15659B" w:themeColor="accent4"/>
        </w:tcBorders>
      </w:tcPr>
    </w:tblStylePr>
    <w:tblStylePr w:type="band1Horz">
      <w:tblPr/>
      <w:tcPr>
        <w:tcBorders>
          <w:top w:val="single" w:sz="4" w:space="0" w:color="15659B" w:themeColor="accent4"/>
          <w:bottom w:val="single" w:sz="4" w:space="0" w:color="1565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59B" w:themeColor="accent4"/>
          <w:left w:val="nil"/>
        </w:tcBorders>
      </w:tcPr>
    </w:tblStylePr>
    <w:tblStylePr w:type="swCell">
      <w:tblPr/>
      <w:tcPr>
        <w:tcBorders>
          <w:top w:val="double" w:sz="4" w:space="0" w:color="15659B" w:themeColor="accent4"/>
          <w:right w:val="nil"/>
        </w:tcBorders>
      </w:tcPr>
    </w:tblStylePr>
  </w:style>
  <w:style w:type="paragraph" w:styleId="TOC4">
    <w:name w:val="toc 4"/>
    <w:basedOn w:val="Normal"/>
    <w:next w:val="Normal"/>
    <w:autoRedefine/>
    <w:uiPriority w:val="39"/>
    <w:unhideWhenUsed/>
    <w:rsid w:val="0043720A"/>
    <w:pPr>
      <w:spacing w:after="100"/>
      <w:ind w:left="442"/>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basedOn w:val="Normal"/>
    <w:uiPriority w:val="99"/>
    <w:unhideWhenUsed/>
    <w:rsid w:val="00703734"/>
    <w:pPr>
      <w:numPr>
        <w:numId w:val="4"/>
      </w:numPr>
      <w:ind w:left="567" w:hanging="567"/>
      <w:contextualSpacing/>
    </w:pPr>
  </w:style>
  <w:style w:type="paragraph" w:styleId="ListBullet2">
    <w:name w:val="List Bullet 2"/>
    <w:basedOn w:val="Normal"/>
    <w:uiPriority w:val="99"/>
    <w:semiHidden/>
    <w:unhideWhenUsed/>
    <w:rsid w:val="00703734"/>
    <w:pPr>
      <w:numPr>
        <w:numId w:val="5"/>
      </w:numPr>
      <w:ind w:left="567" w:hanging="567"/>
      <w:contextualSpacing/>
    </w:pPr>
  </w:style>
  <w:style w:type="character" w:customStyle="1" w:styleId="Heading8Char">
    <w:name w:val="Heading 8 Char"/>
    <w:basedOn w:val="DefaultParagraphFont"/>
    <w:link w:val="Heading8"/>
    <w:uiPriority w:val="9"/>
    <w:rsid w:val="00C50A9A"/>
    <w:rPr>
      <w:rFonts w:asciiTheme="majorHAnsi" w:eastAsiaTheme="majorEastAsia" w:hAnsiTheme="majorHAnsi" w:cstheme="majorBidi"/>
      <w:color w:val="272727" w:themeColor="text1" w:themeTint="D8"/>
      <w:sz w:val="20"/>
      <w:szCs w:val="21"/>
    </w:rPr>
  </w:style>
  <w:style w:type="character" w:styleId="CommentReference">
    <w:name w:val="annotation reference"/>
    <w:basedOn w:val="DefaultParagraphFont"/>
    <w:uiPriority w:val="99"/>
    <w:semiHidden/>
    <w:unhideWhenUsed/>
    <w:rsid w:val="00FE4569"/>
    <w:rPr>
      <w:sz w:val="16"/>
      <w:szCs w:val="16"/>
    </w:rPr>
  </w:style>
  <w:style w:type="paragraph" w:styleId="CommentText">
    <w:name w:val="annotation text"/>
    <w:basedOn w:val="Normal"/>
    <w:link w:val="CommentTextChar"/>
    <w:uiPriority w:val="99"/>
    <w:unhideWhenUsed/>
    <w:rsid w:val="00FE4569"/>
    <w:rPr>
      <w:szCs w:val="20"/>
    </w:rPr>
  </w:style>
  <w:style w:type="character" w:customStyle="1" w:styleId="CommentTextChar">
    <w:name w:val="Comment Text Char"/>
    <w:basedOn w:val="DefaultParagraphFont"/>
    <w:link w:val="CommentText"/>
    <w:uiPriority w:val="99"/>
    <w:rsid w:val="00FE456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character" w:customStyle="1" w:styleId="ListParagraphChar">
    <w:name w:val="List Paragraph Char"/>
    <w:basedOn w:val="DefaultParagraphFont"/>
    <w:link w:val="ListParagraph"/>
    <w:uiPriority w:val="34"/>
    <w:rsid w:val="00AD32A5"/>
    <w:rPr>
      <w:sz w:val="20"/>
    </w:rPr>
  </w:style>
  <w:style w:type="character" w:customStyle="1" w:styleId="Heading9Char">
    <w:name w:val="Heading 9 Char"/>
    <w:basedOn w:val="DefaultParagraphFont"/>
    <w:link w:val="Heading9"/>
    <w:uiPriority w:val="9"/>
    <w:semiHidden/>
    <w:rsid w:val="000D56F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foreigninvestment.gov.au/guidance/general/monetary-thresholds" TargetMode="External"/><Relationship Id="rId26" Type="http://schemas.openxmlformats.org/officeDocument/2006/relationships/hyperlink" Target="https://foreigninvestment.gov.au/getting-started/where-to-submit" TargetMode="External"/><Relationship Id="rId3" Type="http://schemas.openxmlformats.org/officeDocument/2006/relationships/customXml" Target="../customXml/item3.xml"/><Relationship Id="rId21" Type="http://schemas.openxmlformats.org/officeDocument/2006/relationships/hyperlink" Target="https://www.ato.gov.au/individuals-and-families/investments-and-assets/foreign-investment-in-australia/residential-property-application-for-foreign-investors"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foreigninvestment.gov.au/guidance/types-of-investments" TargetMode="External"/><Relationship Id="rId25" Type="http://schemas.openxmlformats.org/officeDocument/2006/relationships/hyperlink" Target="https://foreigninvestment.gov.au/getting-started/what-include-submission"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legislation.gov.au/C2004A01402/latest/text" TargetMode="External"/><Relationship Id="rId20" Type="http://schemas.openxmlformats.org/officeDocument/2006/relationships/hyperlink" Target="https://onlineservices.ato.gov.au/foreigninvestor/" TargetMode="External"/><Relationship Id="rId29" Type="http://schemas.openxmlformats.org/officeDocument/2006/relationships/hyperlink" Target="https://business.gov.au/expertise-and-advice/major-projects-facilitation-agency/help-too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foreigninvestment.gov.au/getting-started/proposal-checklis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foreigninvestment.gov.au/" TargetMode="External"/><Relationship Id="rId28" Type="http://schemas.openxmlformats.org/officeDocument/2006/relationships/hyperlink" Target="mailto:foreigninvestmentenquiries@treasury.gov.au" TargetMode="External"/><Relationship Id="rId10" Type="http://schemas.openxmlformats.org/officeDocument/2006/relationships/footnotes" Target="footnotes.xml"/><Relationship Id="rId19" Type="http://schemas.openxmlformats.org/officeDocument/2006/relationships/hyperlink" Target="https://www.ato.gov.au/individuals-and-families/investments-and-assets/foreign-investment-in-australia/register-of-foreign-ownership-of-australian-asset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ato.gov.au/individuals-and-families/investments-and-assets/foreign-investment-in-australia/registering-australian-assets-as-a-foreign-investor" TargetMode="External"/><Relationship Id="rId27" Type="http://schemas.openxmlformats.org/officeDocument/2006/relationships/hyperlink" Target="https://foreigninvestment.gov.au/compliance/obligations" TargetMode="External"/><Relationship Id="rId30" Type="http://schemas.openxmlformats.org/officeDocument/2006/relationships/hyperlink" Target="mailto:MPFA@industry.gov.au" TargetMode="Externa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hyperlink" Target="mailto:MPFA@industry.gov.au" TargetMode="External"/><Relationship Id="rId1" Type="http://schemas.openxmlformats.org/officeDocument/2006/relationships/hyperlink" Target="http://www.business.gov.au/MPF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PFA@industry.gov.au" TargetMode="External"/><Relationship Id="rId1" Type="http://schemas.openxmlformats.org/officeDocument/2006/relationships/hyperlink" Target="http://www.business.gov.au/MPF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protected.ind\Apps\APPS01\M365\Workgroup%20Templates\Departmental\DISR-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986B45844B4990BC6B7097CC6940AD"/>
        <w:category>
          <w:name w:val="General"/>
          <w:gallery w:val="placeholder"/>
        </w:category>
        <w:types>
          <w:type w:val="bbPlcHdr"/>
        </w:types>
        <w:behaviors>
          <w:behavior w:val="content"/>
        </w:behaviors>
        <w:guid w:val="{E5626C1E-BB8D-48A3-B98B-65F8F5A9C192}"/>
      </w:docPartPr>
      <w:docPartBody>
        <w:p w:rsidR="003A16B7" w:rsidRDefault="003A16B7">
          <w:pPr>
            <w:pStyle w:val="71986B45844B4990BC6B7097CC6940AD"/>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B7"/>
    <w:rsid w:val="00293BAA"/>
    <w:rsid w:val="003A1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1986B45844B4990BC6B7097CC6940AD">
    <w:name w:val="71986B45844B4990BC6B7097CC694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ISR 2023">
      <a:dk1>
        <a:srgbClr val="000000"/>
      </a:dk1>
      <a:lt1>
        <a:sysClr val="window" lastClr="FFFFFF"/>
      </a:lt1>
      <a:dk2>
        <a:srgbClr val="095258"/>
      </a:dk2>
      <a:lt2>
        <a:srgbClr val="E7E6E6"/>
      </a:lt2>
      <a:accent1>
        <a:srgbClr val="001B35"/>
      </a:accent1>
      <a:accent2>
        <a:srgbClr val="993533"/>
      </a:accent2>
      <a:accent3>
        <a:srgbClr val="00D3D1"/>
      </a:accent3>
      <a:accent4>
        <a:srgbClr val="15659B"/>
      </a:accent4>
      <a:accent5>
        <a:srgbClr val="E5FD8C"/>
      </a:accent5>
      <a:accent6>
        <a:srgbClr val="B7E4F7"/>
      </a:accent6>
      <a:hlink>
        <a:srgbClr val="15659B"/>
      </a:hlink>
      <a:folHlink>
        <a:srgbClr val="954F72"/>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6bd50b-1532-4c22-b385-5c082c960938">
      <Value>52</Value>
      <Value>4417</Value>
      <Value>4442</Value>
      <Value>3</Value>
      <Value>7</Value>
    </TaxCatchAll>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MPFA Fact sheet</TermName>
          <TermId xmlns="http://schemas.microsoft.com/office/infopath/2007/PartnerControls">ef30a2d5-478e-4e19-a26d-0cfa456562ed</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38af007d-6d80-4dd0-9833-ef17489d7c7e</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cd41d649-1e1a-44f5-b99b-946d42ce56d6</TermId>
        </TermInfo>
      </Terms>
    </g7bcb40ba23249a78edca7d43a67c1c9>
    <Comments xmlns="http://schemas.microsoft.com/sharepoint/v3">2024 updates</Comments>
    <_dlc_DocId xmlns="a36bd50b-1532-4c22-b385-5c082c960938" xsi:nil="true"/>
    <_dlc_DocIdUrl xmlns="a36bd50b-1532-4c22-b385-5c082c960938">
      <Url xsi:nil="true"/>
      <Description xsi:nil="true"/>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780164a7762156836e5a3c9042e9904e">
  <xsd:schema xmlns:xsd="http://www.w3.org/2001/XMLSchema" xmlns:xs="http://www.w3.org/2001/XMLSchema" xmlns:p="http://schemas.microsoft.com/office/2006/metadata/properties" xmlns:ns1="http://schemas.microsoft.com/sharepoint/v3" xmlns:ns2="a36bd50b-1532-4c22-b385-5c082c960938" xmlns:ns3="e950eb60-a35e-4b14-88a9-41f408f74491" xmlns:ns4="http://schemas.microsoft.com/sharepoint/v4" targetNamespace="http://schemas.microsoft.com/office/2006/metadata/properties" ma:root="true" ma:fieldsID="f47454887633ca44c0b54924b796084f" ns1:_="" ns2:_="" ns3:_="" ns4:_="">
    <xsd:import namespace="http://schemas.microsoft.com/sharepoint/v3"/>
    <xsd:import namespace="a36bd50b-1532-4c22-b385-5c082c960938"/>
    <xsd:import namespace="e950eb60-a35e-4b14-88a9-41f408f74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BCF5D-ECED-40B9-848C-61973DAC72C5}">
  <ds:schemaRefs>
    <ds:schemaRef ds:uri="http://purl.org/dc/dcmitype/"/>
    <ds:schemaRef ds:uri="http://schemas.openxmlformats.org/package/2006/metadata/core-properties"/>
    <ds:schemaRef ds:uri="a36bd50b-1532-4c22-b385-5c082c960938"/>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microsoft.com/sharepoint/v4"/>
    <ds:schemaRef ds:uri="e950eb60-a35e-4b14-88a9-41f408f74491"/>
    <ds:schemaRef ds:uri="http://schemas.microsoft.com/sharepoint/v3"/>
  </ds:schemaRefs>
</ds:datastoreItem>
</file>

<file path=customXml/itemProps2.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customXml/itemProps3.xml><?xml version="1.0" encoding="utf-8"?>
<ds:datastoreItem xmlns:ds="http://schemas.openxmlformats.org/officeDocument/2006/customXml" ds:itemID="{D699A0F7-6319-4AD1-B49D-427DDF0B2EE6}">
  <ds:schemaRefs>
    <ds:schemaRef ds:uri="http://schemas.microsoft.com/sharepoint/events"/>
  </ds:schemaRefs>
</ds:datastoreItem>
</file>

<file path=customXml/itemProps4.xml><?xml version="1.0" encoding="utf-8"?>
<ds:datastoreItem xmlns:ds="http://schemas.openxmlformats.org/officeDocument/2006/customXml" ds:itemID="{5C850FF9-3516-4BD8-90F6-D4C279C18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5AE6EB-A8D4-4D9D-8D6C-A552C96C0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DISR-document</Template>
  <TotalTime>0</TotalTime>
  <Pages>1</Pages>
  <Words>407</Words>
  <Characters>2437</Characters>
  <DocSecurity>0</DocSecurity>
  <Lines>62</Lines>
  <Paragraphs>26</Paragraphs>
  <ScaleCrop>false</ScaleCrop>
  <HeadingPairs>
    <vt:vector size="2" baseType="variant">
      <vt:variant>
        <vt:lpstr>Title</vt:lpstr>
      </vt:variant>
      <vt:variant>
        <vt:i4>1</vt:i4>
      </vt:variant>
    </vt:vector>
  </HeadingPairs>
  <TitlesOfParts>
    <vt:vector size="1" baseType="lpstr">
      <vt:lpstr>Legislation Title</vt:lpstr>
    </vt:vector>
  </TitlesOfParts>
  <Manager/>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Acquisitions and Takeovers Act 1975</dc:title>
  <dc:subject/>
  <dc:creator>MPFA@industry.gov.au</dc:creator>
  <cp:keywords/>
  <dc:description/>
  <cp:lastPrinted>2025-02-19T06:47:00Z</cp:lastPrinted>
  <dcterms:created xsi:type="dcterms:W3CDTF">2025-02-19T06:47:00Z</dcterms:created>
  <dcterms:modified xsi:type="dcterms:W3CDTF">2025-02-19T06:47:00Z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MediaServiceImageTags">
    <vt:lpwstr/>
  </property>
  <property fmtid="{D5CDD505-2E9C-101B-9397-08002B2CF9AE}" pid="4" name="DocHub_Year">
    <vt:lpwstr>4417;#2024|a9509632-5de2-45f9-9fc7-c24df7848880</vt:lpwstr>
  </property>
  <property fmtid="{D5CDD505-2E9C-101B-9397-08002B2CF9AE}" pid="5" name="DocHub_DocumentType">
    <vt:lpwstr>52;#Fact Sheet|38af007d-6d80-4dd0-9833-ef17489d7c7e</vt:lpwstr>
  </property>
  <property fmtid="{D5CDD505-2E9C-101B-9397-08002B2CF9AE}" pid="6" name="DocHub_SecurityClassification">
    <vt:lpwstr>3;#OFFICIAL|6106d03b-a1a0-4e30-9d91-d5e9fb4314f9</vt:lpwstr>
  </property>
  <property fmtid="{D5CDD505-2E9C-101B-9397-08002B2CF9AE}" pid="7" name="DocHub_Keywords">
    <vt:lpwstr>4442;#MPFA Fact sheet|ef30a2d5-478e-4e19-a26d-0cfa456562ed</vt:lpwstr>
  </property>
  <property fmtid="{D5CDD505-2E9C-101B-9397-08002B2CF9AE}" pid="8" name="DocHub_WorkActivity">
    <vt:lpwstr>7;#Communication|cd41d649-1e1a-44f5-b99b-946d42ce56d6</vt:lpwstr>
  </property>
</Properties>
</file>