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19289801" w:displacedByCustomXml="next"/>
    <w:bookmarkStart w:id="1" w:name="_Toc144911604" w:displacedByCustomXml="next"/>
    <w:bookmarkStart w:id="2" w:name="_Toc155176735" w:displacedByCustomXml="next"/>
    <w:sdt>
      <w:sdtPr>
        <w:id w:val="-2088995269"/>
        <w:docPartObj>
          <w:docPartGallery w:val="Cover Pages"/>
          <w:docPartUnique/>
        </w:docPartObj>
      </w:sdtPr>
      <w:sdtEndPr/>
      <w:sdtContent>
        <w:bookmarkEnd w:id="0" w:displacedByCustomXml="next"/>
        <w:bookmarkEnd w:id="1" w:displacedByCustomXml="next"/>
        <w:bookmarkEnd w:id="2" w:displacedByCustomXml="next"/>
        <w:sdt>
          <w:sdtPr>
            <w:alias w:val="Title"/>
            <w:tag w:val=""/>
            <w:id w:val="-856345196"/>
            <w:placeholder>
              <w:docPart w:val="71986B45844B4990BC6B7097CC6940AD"/>
            </w:placeholder>
            <w:dataBinding w:prefixMappings="xmlns:ns0='http://purl.org/dc/elements/1.1/' xmlns:ns1='http://schemas.openxmlformats.org/package/2006/metadata/core-properties' " w:xpath="/ns1:coreProperties[1]/ns0:title[1]" w:storeItemID="{6C3C8BC8-F283-45AE-878A-BAB7291924A1}"/>
            <w:text/>
          </w:sdtPr>
          <w:sdtEndPr/>
          <w:sdtContent>
            <w:p w14:paraId="0B7559B1" w14:textId="44D097CA" w:rsidR="0068286F" w:rsidRPr="00BC6C16" w:rsidRDefault="006154AB" w:rsidP="00BC6C16">
              <w:pPr>
                <w:pStyle w:val="Heading1"/>
              </w:pPr>
              <w:r w:rsidRPr="006154AB">
                <w:t>Hazardous Waste (Regulation of Exports and Imports) Act 1989</w:t>
              </w:r>
            </w:p>
          </w:sdtContent>
        </w:sdt>
      </w:sdtContent>
    </w:sdt>
    <w:p w14:paraId="5B9A198D" w14:textId="1F5EED0C" w:rsidR="00B400E0" w:rsidRPr="00BC6C16" w:rsidRDefault="006154AB" w:rsidP="00BC6C16">
      <w:pPr>
        <w:pStyle w:val="Subtitle"/>
        <w:sectPr w:rsidR="00B400E0" w:rsidRPr="00BC6C16" w:rsidSect="00B400E0">
          <w:headerReference w:type="default" r:id="rId12"/>
          <w:footerReference w:type="default" r:id="rId13"/>
          <w:headerReference w:type="first" r:id="rId14"/>
          <w:footerReference w:type="first" r:id="rId15"/>
          <w:pgSz w:w="11906" w:h="16838"/>
          <w:pgMar w:top="720" w:right="720" w:bottom="720" w:left="720" w:header="567" w:footer="567" w:gutter="0"/>
          <w:cols w:space="708"/>
          <w:docGrid w:linePitch="360"/>
        </w:sectPr>
      </w:pPr>
      <w:r w:rsidRPr="006154AB">
        <w:t>If your project involves the import, export, transit or sale of materials considered to be hazardous waste, you must obtain a permit and meet other applicable requirements under this Act</w:t>
      </w:r>
      <w:r w:rsidR="007F5051" w:rsidRPr="00BC6C16">
        <w:t xml:space="preserve">. </w:t>
      </w:r>
    </w:p>
    <w:p w14:paraId="1E1085AC" w14:textId="0B407E83" w:rsidR="007F5051" w:rsidRPr="00BC6C16" w:rsidRDefault="007F5051" w:rsidP="00BC6C16">
      <w:pPr>
        <w:pStyle w:val="Heading2"/>
      </w:pPr>
      <w:r w:rsidRPr="00BC6C16">
        <w:t>1. What approvals do I need?</w:t>
      </w:r>
    </w:p>
    <w:p w14:paraId="66F736C8" w14:textId="21B6BB75" w:rsidR="006154AB" w:rsidRPr="00F52791" w:rsidRDefault="006154AB" w:rsidP="006154AB">
      <w:pPr>
        <w:rPr>
          <w:rFonts w:ascii="Aptos" w:hAnsi="Aptos" w:cs="Arial"/>
          <w:szCs w:val="20"/>
        </w:rPr>
      </w:pPr>
      <w:r>
        <w:rPr>
          <w:rFonts w:ascii="Aptos" w:hAnsi="Aptos" w:cs="Arial"/>
          <w:szCs w:val="20"/>
        </w:rPr>
        <w:t>An</w:t>
      </w:r>
      <w:r w:rsidRPr="00F52791">
        <w:rPr>
          <w:rFonts w:ascii="Aptos" w:hAnsi="Aptos" w:cs="Arial"/>
          <w:szCs w:val="20"/>
        </w:rPr>
        <w:t xml:space="preserve"> appropriate permit must be obtained before any material considered to be hazardous can be exported, imported or transited</w:t>
      </w:r>
      <w:r>
        <w:rPr>
          <w:rFonts w:ascii="Aptos" w:hAnsi="Aptos" w:cs="Arial"/>
          <w:szCs w:val="20"/>
        </w:rPr>
        <w:t xml:space="preserve"> under the </w:t>
      </w:r>
      <w:hyperlink r:id="rId16" w:history="1">
        <w:r w:rsidRPr="00F52791">
          <w:rPr>
            <w:rStyle w:val="Hyperlink"/>
            <w:rFonts w:ascii="Aptos" w:hAnsi="Aptos" w:cs="Arial"/>
            <w:i/>
            <w:szCs w:val="20"/>
          </w:rPr>
          <w:t>Hazardous Waste (Regulation of Exports and Imports) Act 1989</w:t>
        </w:r>
      </w:hyperlink>
      <w:r w:rsidRPr="00F52791">
        <w:rPr>
          <w:rFonts w:ascii="Aptos" w:hAnsi="Aptos" w:cs="Arial"/>
          <w:szCs w:val="20"/>
        </w:rPr>
        <w:t xml:space="preserve"> (the</w:t>
      </w:r>
      <w:r w:rsidRPr="00F52791">
        <w:rPr>
          <w:rFonts w:ascii="Aptos" w:hAnsi="Aptos" w:cs="Arial"/>
          <w:iCs/>
          <w:szCs w:val="20"/>
        </w:rPr>
        <w:t xml:space="preserve"> Act</w:t>
      </w:r>
      <w:r w:rsidRPr="00F52791">
        <w:rPr>
          <w:rFonts w:ascii="Aptos" w:hAnsi="Aptos" w:cs="Arial"/>
          <w:szCs w:val="20"/>
        </w:rPr>
        <w:t>)</w:t>
      </w:r>
      <w:r>
        <w:rPr>
          <w:rFonts w:ascii="Aptos" w:hAnsi="Aptos" w:cs="Arial"/>
          <w:szCs w:val="20"/>
        </w:rPr>
        <w:t>.</w:t>
      </w:r>
    </w:p>
    <w:p w14:paraId="34FD8194" w14:textId="13665AEC" w:rsidR="006154AB" w:rsidRPr="00F52791" w:rsidRDefault="006154AB" w:rsidP="006154AB">
      <w:pPr>
        <w:rPr>
          <w:rFonts w:ascii="Aptos" w:hAnsi="Aptos" w:cs="Arial"/>
          <w:szCs w:val="20"/>
        </w:rPr>
      </w:pPr>
      <w:r w:rsidRPr="00F52791">
        <w:rPr>
          <w:rFonts w:ascii="Aptos" w:hAnsi="Aptos" w:cs="Arial"/>
          <w:szCs w:val="20"/>
        </w:rPr>
        <w:t>The Act implements the</w:t>
      </w:r>
      <w:r w:rsidRPr="00F52791">
        <w:rPr>
          <w:rFonts w:ascii="Aptos" w:hAnsi="Aptos" w:cs="Arial"/>
          <w:i/>
          <w:szCs w:val="20"/>
        </w:rPr>
        <w:t xml:space="preserve"> </w:t>
      </w:r>
      <w:r w:rsidRPr="00F52791">
        <w:rPr>
          <w:rFonts w:ascii="Aptos" w:hAnsi="Aptos" w:cs="Arial"/>
          <w:szCs w:val="20"/>
        </w:rPr>
        <w:t xml:space="preserve">Basel Convention on the Control of Transboundary Movements of Hazardous Wastes and </w:t>
      </w:r>
      <w:r>
        <w:rPr>
          <w:rFonts w:ascii="Aptos" w:hAnsi="Aptos" w:cs="Arial"/>
          <w:szCs w:val="20"/>
        </w:rPr>
        <w:t>t</w:t>
      </w:r>
      <w:r w:rsidRPr="00F52791">
        <w:rPr>
          <w:rFonts w:ascii="Aptos" w:hAnsi="Aptos" w:cs="Arial"/>
          <w:szCs w:val="20"/>
        </w:rPr>
        <w:t xml:space="preserve">heir Disposal (the </w:t>
      </w:r>
      <w:hyperlink r:id="rId17" w:history="1">
        <w:r w:rsidRPr="00F52791">
          <w:rPr>
            <w:rStyle w:val="Hyperlink"/>
            <w:rFonts w:ascii="Aptos" w:hAnsi="Aptos" w:cs="Arial"/>
            <w:szCs w:val="20"/>
          </w:rPr>
          <w:t>Basel Convention</w:t>
        </w:r>
      </w:hyperlink>
      <w:r w:rsidRPr="00F52791">
        <w:rPr>
          <w:rFonts w:ascii="Aptos" w:hAnsi="Aptos" w:cs="Arial"/>
          <w:szCs w:val="20"/>
        </w:rPr>
        <w:t>) into Australian law at a federal level.</w:t>
      </w:r>
    </w:p>
    <w:p w14:paraId="7C60EC52" w14:textId="58BABF8A" w:rsidR="006154AB" w:rsidRPr="00F52791" w:rsidRDefault="006154AB" w:rsidP="006154AB">
      <w:pPr>
        <w:rPr>
          <w:rFonts w:ascii="Aptos" w:hAnsi="Aptos" w:cs="Arial"/>
          <w:szCs w:val="20"/>
        </w:rPr>
      </w:pPr>
      <w:r>
        <w:rPr>
          <w:rFonts w:ascii="Aptos" w:hAnsi="Aptos" w:cs="Arial"/>
          <w:szCs w:val="20"/>
        </w:rPr>
        <w:t>W</w:t>
      </w:r>
      <w:r w:rsidRPr="00F52791">
        <w:rPr>
          <w:rFonts w:ascii="Aptos" w:hAnsi="Aptos" w:cs="Arial"/>
          <w:szCs w:val="20"/>
        </w:rPr>
        <w:t xml:space="preserve">aste is defined as hazardous if it meets any of the characteristics listed in Annex III of the </w:t>
      </w:r>
      <w:r w:rsidRPr="00F52791">
        <w:rPr>
          <w:rFonts w:ascii="Aptos" w:hAnsi="Aptos" w:cs="Arial"/>
          <w:iCs/>
          <w:szCs w:val="20"/>
        </w:rPr>
        <w:t>Basel Convention</w:t>
      </w:r>
      <w:r w:rsidRPr="00F52791">
        <w:rPr>
          <w:rFonts w:ascii="Aptos" w:hAnsi="Aptos" w:cs="Arial"/>
          <w:szCs w:val="20"/>
        </w:rPr>
        <w:t xml:space="preserve">. </w:t>
      </w:r>
      <w:r>
        <w:rPr>
          <w:rFonts w:ascii="Aptos" w:hAnsi="Aptos" w:cs="Arial"/>
          <w:szCs w:val="20"/>
        </w:rPr>
        <w:t>This includes,</w:t>
      </w:r>
      <w:r w:rsidRPr="00F52791">
        <w:rPr>
          <w:rFonts w:ascii="Aptos" w:hAnsi="Aptos" w:cs="Arial"/>
          <w:szCs w:val="20"/>
        </w:rPr>
        <w:t xml:space="preserve"> but </w:t>
      </w:r>
      <w:r>
        <w:rPr>
          <w:rFonts w:ascii="Aptos" w:hAnsi="Aptos" w:cs="Arial"/>
          <w:szCs w:val="20"/>
        </w:rPr>
        <w:t>is</w:t>
      </w:r>
      <w:r w:rsidRPr="00F52791">
        <w:rPr>
          <w:rFonts w:ascii="Aptos" w:hAnsi="Aptos" w:cs="Arial"/>
          <w:szCs w:val="20"/>
        </w:rPr>
        <w:t xml:space="preserve"> not limited to:</w:t>
      </w:r>
    </w:p>
    <w:p w14:paraId="2D56F2A9" w14:textId="4A9EF2B7"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e</w:t>
      </w:r>
      <w:r w:rsidRPr="00F52791">
        <w:rPr>
          <w:rFonts w:ascii="Aptos" w:hAnsi="Aptos" w:cs="Arial"/>
          <w:szCs w:val="20"/>
        </w:rPr>
        <w:t>xplosive</w:t>
      </w:r>
    </w:p>
    <w:p w14:paraId="7BA81462" w14:textId="024F2EC8"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f</w:t>
      </w:r>
      <w:r w:rsidRPr="00F52791">
        <w:rPr>
          <w:rFonts w:ascii="Aptos" w:hAnsi="Aptos" w:cs="Arial"/>
          <w:szCs w:val="20"/>
        </w:rPr>
        <w:t>lammable</w:t>
      </w:r>
    </w:p>
    <w:p w14:paraId="7A22EF61" w14:textId="651A3EEF"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p</w:t>
      </w:r>
      <w:r w:rsidRPr="00F52791">
        <w:rPr>
          <w:rFonts w:ascii="Aptos" w:hAnsi="Aptos" w:cs="Arial"/>
          <w:szCs w:val="20"/>
        </w:rPr>
        <w:t>oisonous</w:t>
      </w:r>
    </w:p>
    <w:p w14:paraId="29465F24" w14:textId="3BC0B547"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t</w:t>
      </w:r>
      <w:r w:rsidRPr="00F52791">
        <w:rPr>
          <w:rFonts w:ascii="Aptos" w:hAnsi="Aptos" w:cs="Arial"/>
          <w:szCs w:val="20"/>
        </w:rPr>
        <w:t>oxic</w:t>
      </w:r>
    </w:p>
    <w:p w14:paraId="0BBCA825" w14:textId="2BE26ABD"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e</w:t>
      </w:r>
      <w:r w:rsidRPr="00F52791">
        <w:rPr>
          <w:rFonts w:ascii="Aptos" w:hAnsi="Aptos" w:cs="Arial"/>
          <w:szCs w:val="20"/>
        </w:rPr>
        <w:t>cotoxic</w:t>
      </w:r>
    </w:p>
    <w:p w14:paraId="5F8B5288" w14:textId="72C635DE" w:rsidR="006154AB" w:rsidRPr="00F52791" w:rsidRDefault="006154AB" w:rsidP="006154AB">
      <w:pPr>
        <w:pStyle w:val="ListParagraph"/>
        <w:numPr>
          <w:ilvl w:val="0"/>
          <w:numId w:val="10"/>
        </w:numPr>
        <w:spacing w:before="120"/>
        <w:ind w:left="567" w:hanging="567"/>
        <w:contextualSpacing/>
        <w:rPr>
          <w:rFonts w:ascii="Aptos" w:hAnsi="Aptos" w:cs="Arial"/>
          <w:szCs w:val="20"/>
        </w:rPr>
      </w:pPr>
      <w:r>
        <w:rPr>
          <w:rFonts w:ascii="Aptos" w:hAnsi="Aptos" w:cs="Arial"/>
          <w:szCs w:val="20"/>
        </w:rPr>
        <w:t>i</w:t>
      </w:r>
      <w:r w:rsidRPr="00F52791">
        <w:rPr>
          <w:rFonts w:ascii="Aptos" w:hAnsi="Aptos" w:cs="Arial"/>
          <w:szCs w:val="20"/>
        </w:rPr>
        <w:t>nfectious</w:t>
      </w:r>
      <w:r>
        <w:rPr>
          <w:rFonts w:ascii="Aptos" w:hAnsi="Aptos" w:cs="Arial"/>
          <w:szCs w:val="20"/>
        </w:rPr>
        <w:t>.</w:t>
      </w:r>
    </w:p>
    <w:p w14:paraId="7EEA02FE" w14:textId="77777777" w:rsidR="006154AB" w:rsidRPr="00A457B7" w:rsidRDefault="006154AB" w:rsidP="006154AB">
      <w:pPr>
        <w:rPr>
          <w:rFonts w:ascii="Aptos" w:hAnsi="Aptos" w:cs="Arial"/>
          <w:szCs w:val="20"/>
        </w:rPr>
      </w:pPr>
      <w:r w:rsidRPr="00F52791">
        <w:rPr>
          <w:rFonts w:ascii="Aptos" w:hAnsi="Aptos" w:cs="Arial"/>
          <w:szCs w:val="20"/>
        </w:rPr>
        <w:t xml:space="preserve">Depending on the circumstances, waste may still be considered hazardous even if it does not meet these characteristics. This may include </w:t>
      </w:r>
      <w:r>
        <w:rPr>
          <w:rFonts w:ascii="Aptos" w:hAnsi="Aptos" w:cs="Arial"/>
          <w:szCs w:val="20"/>
        </w:rPr>
        <w:t>mi</w:t>
      </w:r>
      <w:r w:rsidRPr="00A457B7">
        <w:rPr>
          <w:rFonts w:ascii="Aptos" w:hAnsi="Aptos" w:cs="Arial"/>
          <w:szCs w:val="20"/>
        </w:rPr>
        <w:t>xed plastics</w:t>
      </w:r>
      <w:r>
        <w:rPr>
          <w:rFonts w:ascii="Aptos" w:hAnsi="Aptos" w:cs="Arial"/>
          <w:szCs w:val="20"/>
        </w:rPr>
        <w:t xml:space="preserve">; </w:t>
      </w:r>
      <w:r w:rsidRPr="00A457B7">
        <w:rPr>
          <w:rFonts w:ascii="Aptos" w:hAnsi="Aptos" w:cs="Arial"/>
          <w:szCs w:val="20"/>
        </w:rPr>
        <w:t>plastics contaminated with other wastes</w:t>
      </w:r>
      <w:r>
        <w:rPr>
          <w:rFonts w:ascii="Aptos" w:hAnsi="Aptos" w:cs="Arial"/>
          <w:szCs w:val="20"/>
        </w:rPr>
        <w:t>; p</w:t>
      </w:r>
      <w:r w:rsidRPr="00A457B7">
        <w:rPr>
          <w:rFonts w:ascii="Aptos" w:hAnsi="Aptos" w:cs="Arial"/>
          <w:szCs w:val="20"/>
        </w:rPr>
        <w:t xml:space="preserve">olyvinyl </w:t>
      </w:r>
      <w:r>
        <w:rPr>
          <w:rFonts w:ascii="Aptos" w:hAnsi="Aptos" w:cs="Arial"/>
          <w:szCs w:val="20"/>
        </w:rPr>
        <w:t>c</w:t>
      </w:r>
      <w:r w:rsidRPr="00A457B7">
        <w:rPr>
          <w:rFonts w:ascii="Aptos" w:hAnsi="Aptos" w:cs="Arial"/>
          <w:szCs w:val="20"/>
        </w:rPr>
        <w:t>hloride</w:t>
      </w:r>
      <w:r>
        <w:rPr>
          <w:rFonts w:ascii="Aptos" w:hAnsi="Aptos" w:cs="Arial"/>
          <w:szCs w:val="20"/>
        </w:rPr>
        <w:t>;</w:t>
      </w:r>
      <w:r w:rsidRPr="00A457B7">
        <w:rPr>
          <w:rFonts w:ascii="Aptos" w:hAnsi="Aptos" w:cs="Arial"/>
          <w:szCs w:val="20"/>
        </w:rPr>
        <w:t xml:space="preserve"> </w:t>
      </w:r>
      <w:r>
        <w:rPr>
          <w:rFonts w:ascii="Aptos" w:hAnsi="Aptos" w:cs="Arial"/>
          <w:szCs w:val="20"/>
        </w:rPr>
        <w:t>or w</w:t>
      </w:r>
      <w:r w:rsidRPr="00A457B7">
        <w:rPr>
          <w:rFonts w:ascii="Aptos" w:hAnsi="Aptos" w:cs="Arial"/>
          <w:szCs w:val="20"/>
        </w:rPr>
        <w:t>astes collected from households</w:t>
      </w:r>
      <w:r>
        <w:rPr>
          <w:rFonts w:ascii="Aptos" w:hAnsi="Aptos" w:cs="Arial"/>
          <w:szCs w:val="20"/>
        </w:rPr>
        <w:t>.</w:t>
      </w:r>
    </w:p>
    <w:p w14:paraId="5CF31B41" w14:textId="287AC7F5" w:rsidR="00B400E0" w:rsidRPr="006154AB" w:rsidRDefault="006154AB" w:rsidP="007F5051">
      <w:pPr>
        <w:rPr>
          <w:rFonts w:ascii="Aptos" w:hAnsi="Aptos" w:cs="Arial"/>
          <w:szCs w:val="20"/>
        </w:rPr>
      </w:pPr>
      <w:r w:rsidRPr="00F52791">
        <w:rPr>
          <w:rFonts w:ascii="Aptos" w:hAnsi="Aptos" w:cs="Arial"/>
          <w:szCs w:val="20"/>
        </w:rPr>
        <w:t xml:space="preserve">Additional approvals may be required in accordance with permit conditions. Specific requirements for maintenance, record-keeping and reporting may also apply. Consent </w:t>
      </w:r>
      <w:r>
        <w:rPr>
          <w:rFonts w:ascii="Aptos" w:hAnsi="Aptos" w:cs="Arial"/>
          <w:szCs w:val="20"/>
        </w:rPr>
        <w:t>must</w:t>
      </w:r>
      <w:r w:rsidRPr="00F52791">
        <w:rPr>
          <w:rFonts w:ascii="Aptos" w:hAnsi="Aptos" w:cs="Arial"/>
          <w:szCs w:val="20"/>
        </w:rPr>
        <w:t xml:space="preserve"> also </w:t>
      </w:r>
      <w:r>
        <w:rPr>
          <w:rFonts w:ascii="Aptos" w:hAnsi="Aptos" w:cs="Arial"/>
          <w:szCs w:val="20"/>
        </w:rPr>
        <w:t>be obtained</w:t>
      </w:r>
      <w:r w:rsidRPr="00F52791">
        <w:rPr>
          <w:rFonts w:ascii="Aptos" w:hAnsi="Aptos" w:cs="Arial"/>
          <w:szCs w:val="20"/>
        </w:rPr>
        <w:t xml:space="preserve"> from all other countries involved in the collection or transport of waste</w:t>
      </w:r>
      <w:r w:rsidR="00934A4A">
        <w:rPr>
          <w:rFonts w:ascii="Aptos" w:hAnsi="Aptos"/>
          <w:szCs w:val="20"/>
        </w:rPr>
        <w:t>.</w:t>
      </w:r>
    </w:p>
    <w:p w14:paraId="65E07AF2" w14:textId="5CD67D61" w:rsidR="007F5051" w:rsidRPr="00B400E0" w:rsidRDefault="007F5051" w:rsidP="00BC6C16">
      <w:pPr>
        <w:pStyle w:val="Heading2"/>
      </w:pPr>
      <w:r w:rsidRPr="00B400E0">
        <w:t>2. Who provides the approvals?</w:t>
      </w:r>
    </w:p>
    <w:p w14:paraId="68FC3142" w14:textId="74092938" w:rsidR="00B400E0" w:rsidRPr="006154AB" w:rsidRDefault="006154AB" w:rsidP="007F5051">
      <w:pPr>
        <w:rPr>
          <w:rFonts w:ascii="Aptos" w:hAnsi="Aptos" w:cs="Arial"/>
          <w:szCs w:val="20"/>
        </w:rPr>
      </w:pPr>
      <w:r>
        <w:rPr>
          <w:rFonts w:ascii="Aptos" w:hAnsi="Aptos" w:cs="Arial"/>
          <w:szCs w:val="20"/>
        </w:rPr>
        <w:t>T</w:t>
      </w:r>
      <w:r w:rsidRPr="00F52791">
        <w:rPr>
          <w:rFonts w:ascii="Aptos" w:hAnsi="Aptos" w:cs="Arial"/>
          <w:szCs w:val="20"/>
        </w:rPr>
        <w:t xml:space="preserve">he Department of Climate Change, Energy, the Environment and Water </w:t>
      </w:r>
      <w:r>
        <w:rPr>
          <w:rFonts w:ascii="Aptos" w:hAnsi="Aptos" w:cs="Arial"/>
          <w:szCs w:val="20"/>
        </w:rPr>
        <w:t>(</w:t>
      </w:r>
      <w:r w:rsidRPr="00F52791">
        <w:rPr>
          <w:rFonts w:ascii="Aptos" w:hAnsi="Aptos" w:cs="Arial"/>
          <w:szCs w:val="20"/>
        </w:rPr>
        <w:t>DCCEEW</w:t>
      </w:r>
      <w:r>
        <w:rPr>
          <w:rFonts w:ascii="Aptos" w:hAnsi="Aptos" w:cs="Arial"/>
          <w:szCs w:val="20"/>
        </w:rPr>
        <w:t>)</w:t>
      </w:r>
      <w:r w:rsidRPr="00F52791">
        <w:rPr>
          <w:rFonts w:ascii="Aptos" w:hAnsi="Aptos" w:cs="Arial"/>
          <w:szCs w:val="20"/>
        </w:rPr>
        <w:t xml:space="preserve"> regulates the export, import and transit of hazardous waste under the Act and is responsible for granting permits on behalf of the Minister for the Environment and Water</w:t>
      </w:r>
      <w:r w:rsidR="007F5051" w:rsidRPr="00B400E0">
        <w:rPr>
          <w:rFonts w:ascii="Aptos" w:hAnsi="Aptos"/>
          <w:szCs w:val="20"/>
        </w:rPr>
        <w:t>.</w:t>
      </w:r>
    </w:p>
    <w:p w14:paraId="1883C6AF" w14:textId="6CAB8C82" w:rsidR="007F5051" w:rsidRPr="00B400E0" w:rsidRDefault="007F5051" w:rsidP="00BC6C16">
      <w:pPr>
        <w:pStyle w:val="Heading2"/>
      </w:pPr>
      <w:r w:rsidRPr="00B400E0">
        <w:t>3. How do I apply for the approvals?</w:t>
      </w:r>
    </w:p>
    <w:p w14:paraId="0110B591" w14:textId="1A316555" w:rsidR="00B400E0" w:rsidRPr="006154AB" w:rsidRDefault="006154AB" w:rsidP="007F5051">
      <w:pPr>
        <w:rPr>
          <w:rFonts w:ascii="Aptos" w:hAnsi="Aptos" w:cs="Arial"/>
          <w:szCs w:val="20"/>
        </w:rPr>
      </w:pPr>
      <w:r w:rsidRPr="00F52791">
        <w:rPr>
          <w:rFonts w:ascii="Aptos" w:hAnsi="Aptos" w:cs="Arial"/>
          <w:szCs w:val="20"/>
        </w:rPr>
        <w:t xml:space="preserve">Applications for a permit to export, import or transit hazardous waste </w:t>
      </w:r>
      <w:r>
        <w:rPr>
          <w:rFonts w:ascii="Aptos" w:hAnsi="Aptos" w:cs="Arial"/>
          <w:szCs w:val="20"/>
        </w:rPr>
        <w:t>are</w:t>
      </w:r>
      <w:r w:rsidRPr="00F52791">
        <w:rPr>
          <w:rFonts w:ascii="Aptos" w:hAnsi="Aptos" w:cs="Arial"/>
          <w:szCs w:val="20"/>
        </w:rPr>
        <w:t xml:space="preserve"> made online using DC</w:t>
      </w:r>
      <w:r>
        <w:rPr>
          <w:rFonts w:ascii="Aptos" w:hAnsi="Aptos" w:cs="Arial"/>
          <w:szCs w:val="20"/>
        </w:rPr>
        <w:t>C</w:t>
      </w:r>
      <w:r w:rsidRPr="00F52791">
        <w:rPr>
          <w:rFonts w:ascii="Aptos" w:hAnsi="Aptos" w:cs="Arial"/>
          <w:szCs w:val="20"/>
        </w:rPr>
        <w:t xml:space="preserve">EEW’s </w:t>
      </w:r>
      <w:hyperlink r:id="rId18" w:history="1">
        <w:r w:rsidRPr="00F52791">
          <w:rPr>
            <w:rStyle w:val="Hyperlink"/>
            <w:rFonts w:ascii="Aptos" w:hAnsi="Aptos" w:cs="Arial"/>
            <w:szCs w:val="20"/>
          </w:rPr>
          <w:t>Online Services</w:t>
        </w:r>
      </w:hyperlink>
      <w:r w:rsidRPr="00F52791">
        <w:rPr>
          <w:rFonts w:ascii="Aptos" w:hAnsi="Aptos" w:cs="Arial"/>
          <w:szCs w:val="20"/>
        </w:rPr>
        <w:t xml:space="preserve"> portal. Additional requirements must be met as part of the application. Guidance on this process is available on both the DCCEEW </w:t>
      </w:r>
      <w:hyperlink r:id="rId19" w:history="1">
        <w:r w:rsidRPr="00F52791">
          <w:rPr>
            <w:rStyle w:val="Hyperlink"/>
            <w:rFonts w:ascii="Aptos" w:hAnsi="Aptos" w:cs="Arial"/>
            <w:szCs w:val="20"/>
          </w:rPr>
          <w:t>website</w:t>
        </w:r>
      </w:hyperlink>
      <w:r w:rsidRPr="00F52791">
        <w:rPr>
          <w:rFonts w:ascii="Aptos" w:hAnsi="Aptos" w:cs="Arial"/>
          <w:szCs w:val="20"/>
        </w:rPr>
        <w:t xml:space="preserve"> and the </w:t>
      </w:r>
      <w:hyperlink r:id="rId20" w:history="1">
        <w:r w:rsidRPr="00F52791">
          <w:rPr>
            <w:rStyle w:val="Hyperlink"/>
            <w:rFonts w:ascii="Aptos" w:hAnsi="Aptos" w:cs="Arial"/>
            <w:szCs w:val="20"/>
          </w:rPr>
          <w:t>portal</w:t>
        </w:r>
      </w:hyperlink>
      <w:r w:rsidR="007F5051" w:rsidRPr="00B400E0">
        <w:rPr>
          <w:rFonts w:ascii="Aptos" w:hAnsi="Aptos"/>
          <w:szCs w:val="20"/>
        </w:rPr>
        <w:t>.</w:t>
      </w:r>
    </w:p>
    <w:p w14:paraId="1CDA641B" w14:textId="46C16D90" w:rsidR="007F5051" w:rsidRPr="00B400E0" w:rsidRDefault="007F5051" w:rsidP="00BC6C16">
      <w:pPr>
        <w:pStyle w:val="Heading2"/>
      </w:pPr>
      <w:r w:rsidRPr="00B400E0">
        <w:t>4. More information</w:t>
      </w:r>
    </w:p>
    <w:p w14:paraId="48CE903B" w14:textId="77616AB9" w:rsidR="007F5051" w:rsidRPr="00B400E0" w:rsidRDefault="006154AB" w:rsidP="00BC6C16">
      <w:pPr>
        <w:pStyle w:val="Heading3"/>
      </w:pPr>
      <w:r w:rsidRPr="006154AB">
        <w:t>Department of Climate Change, Energy, the Environment and Water</w:t>
      </w:r>
    </w:p>
    <w:p w14:paraId="01CB6B1A" w14:textId="3F50CF66" w:rsidR="006154AB" w:rsidRPr="00F52791" w:rsidRDefault="006154AB" w:rsidP="006154AB">
      <w:pPr>
        <w:rPr>
          <w:rFonts w:ascii="Aptos" w:hAnsi="Aptos" w:cs="Arial"/>
          <w:szCs w:val="20"/>
        </w:rPr>
      </w:pPr>
      <w:r w:rsidRPr="00F52791">
        <w:rPr>
          <w:rFonts w:ascii="Aptos" w:hAnsi="Aptos" w:cs="Arial"/>
          <w:szCs w:val="20"/>
        </w:rPr>
        <w:t xml:space="preserve">Further information </w:t>
      </w:r>
      <w:r>
        <w:rPr>
          <w:rFonts w:ascii="Aptos" w:hAnsi="Aptos" w:cs="Arial"/>
          <w:szCs w:val="20"/>
        </w:rPr>
        <w:t xml:space="preserve">on exporting, importing or transiting hazardous waste </w:t>
      </w:r>
      <w:r w:rsidRPr="00F52791">
        <w:rPr>
          <w:rFonts w:ascii="Aptos" w:hAnsi="Aptos" w:cs="Arial"/>
          <w:szCs w:val="20"/>
        </w:rPr>
        <w:t xml:space="preserve">is available on the DCCEEW </w:t>
      </w:r>
      <w:hyperlink r:id="rId21" w:history="1">
        <w:r w:rsidRPr="00F52791">
          <w:rPr>
            <w:rStyle w:val="Hyperlink"/>
            <w:rFonts w:ascii="Aptos" w:hAnsi="Aptos" w:cs="Arial"/>
            <w:szCs w:val="20"/>
          </w:rPr>
          <w:t>website</w:t>
        </w:r>
      </w:hyperlink>
      <w:r w:rsidRPr="00F52791">
        <w:rPr>
          <w:rFonts w:ascii="Aptos" w:hAnsi="Aptos" w:cs="Arial"/>
          <w:szCs w:val="20"/>
        </w:rPr>
        <w:t>.</w:t>
      </w:r>
    </w:p>
    <w:p w14:paraId="569D2828" w14:textId="5736B7E0" w:rsidR="007F5051" w:rsidRPr="006154AB" w:rsidRDefault="006154AB" w:rsidP="007F5051">
      <w:pPr>
        <w:rPr>
          <w:rFonts w:ascii="Aptos" w:eastAsiaTheme="majorEastAsia" w:hAnsi="Aptos" w:cs="Arial"/>
          <w:bCs/>
          <w:szCs w:val="20"/>
        </w:rPr>
      </w:pPr>
      <w:r>
        <w:rPr>
          <w:rFonts w:ascii="Aptos" w:eastAsiaTheme="majorEastAsia" w:hAnsi="Aptos" w:cs="Arial"/>
          <w:bCs/>
          <w:szCs w:val="20"/>
        </w:rPr>
        <w:t>DCCEEW’s Hazardous Waste Team can be contacted by email at</w:t>
      </w:r>
      <w:r w:rsidRPr="00F52791">
        <w:rPr>
          <w:rFonts w:ascii="Aptos" w:eastAsiaTheme="majorEastAsia" w:hAnsi="Aptos" w:cs="Arial"/>
          <w:bCs/>
          <w:szCs w:val="20"/>
        </w:rPr>
        <w:t xml:space="preserve"> </w:t>
      </w:r>
      <w:hyperlink r:id="rId22" w:history="1">
        <w:r w:rsidRPr="00F52791">
          <w:rPr>
            <w:rStyle w:val="Hyperlink"/>
            <w:rFonts w:ascii="Aptos" w:hAnsi="Aptos" w:cs="Arial"/>
            <w:szCs w:val="20"/>
          </w:rPr>
          <w:t>hazardous.waste@dcceew.gov.au</w:t>
        </w:r>
      </w:hyperlink>
      <w:r w:rsidR="00585C14">
        <w:rPr>
          <w:rFonts w:ascii="Aptos" w:hAnsi="Aptos"/>
          <w:bCs/>
          <w:szCs w:val="20"/>
        </w:rPr>
        <w:t>.</w:t>
      </w:r>
    </w:p>
    <w:p w14:paraId="661A6371" w14:textId="77777777" w:rsidR="007F5051" w:rsidRPr="00BC6C16" w:rsidRDefault="007F5051" w:rsidP="00BC6C16">
      <w:pPr>
        <w:pStyle w:val="Heading3"/>
      </w:pPr>
      <w:bookmarkStart w:id="3" w:name="_Hlk152160540"/>
      <w:r w:rsidRPr="00BC6C16">
        <w:t>Major Projects Facilitation Agency</w:t>
      </w:r>
    </w:p>
    <w:bookmarkEnd w:id="3"/>
    <w:p w14:paraId="6463E3CE" w14:textId="27E644FC" w:rsidR="00CF5B8A" w:rsidRDefault="00CF5B8A" w:rsidP="00CF5B8A">
      <w:pPr>
        <w:rPr>
          <w:rFonts w:ascii="Aptos" w:eastAsia="Arial" w:hAnsi="Aptos" w:cs="Arial"/>
          <w:szCs w:val="20"/>
        </w:rPr>
      </w:pPr>
      <w:r w:rsidRPr="00F52791">
        <w:rPr>
          <w:rFonts w:ascii="Aptos" w:eastAsia="Arial" w:hAnsi="Aptos" w:cs="Arial"/>
          <w:szCs w:val="20"/>
        </w:rPr>
        <w:t xml:space="preserve">If you would like assistance to identify potential Australian Government </w:t>
      </w:r>
      <w:r>
        <w:rPr>
          <w:rFonts w:ascii="Aptos" w:eastAsia="Arial" w:hAnsi="Aptos" w:cs="Arial"/>
          <w:szCs w:val="20"/>
        </w:rPr>
        <w:t>regulatory</w:t>
      </w:r>
      <w:r w:rsidRPr="00F52791">
        <w:rPr>
          <w:rFonts w:ascii="Aptos" w:eastAsia="Arial" w:hAnsi="Aptos" w:cs="Arial"/>
          <w:szCs w:val="20"/>
        </w:rPr>
        <w:t xml:space="preserve"> approvals required for your project, please refer to the </w:t>
      </w:r>
      <w:hyperlink r:id="rId23" w:history="1">
        <w:r w:rsidRPr="00F52791">
          <w:rPr>
            <w:rStyle w:val="Hyperlink"/>
            <w:rFonts w:ascii="Aptos" w:eastAsia="Arial" w:hAnsi="Aptos"/>
            <w:szCs w:val="20"/>
          </w:rPr>
          <w:t xml:space="preserve">Major </w:t>
        </w:r>
        <w:r>
          <w:rPr>
            <w:rStyle w:val="Hyperlink"/>
            <w:rFonts w:ascii="Aptos" w:eastAsia="Arial" w:hAnsi="Aptos"/>
            <w:szCs w:val="20"/>
          </w:rPr>
          <w:t>p</w:t>
        </w:r>
        <w:r w:rsidRPr="00F52791">
          <w:rPr>
            <w:rStyle w:val="Hyperlink"/>
            <w:rFonts w:ascii="Aptos" w:eastAsia="Arial" w:hAnsi="Aptos"/>
            <w:szCs w:val="20"/>
          </w:rPr>
          <w:t xml:space="preserve">rojects </w:t>
        </w:r>
        <w:r>
          <w:rPr>
            <w:rStyle w:val="Hyperlink"/>
            <w:rFonts w:ascii="Aptos" w:eastAsia="Arial" w:hAnsi="Aptos"/>
            <w:szCs w:val="20"/>
          </w:rPr>
          <w:t>h</w:t>
        </w:r>
        <w:r w:rsidRPr="00F52791">
          <w:rPr>
            <w:rStyle w:val="Hyperlink"/>
            <w:rFonts w:ascii="Aptos" w:eastAsia="Arial" w:hAnsi="Aptos"/>
            <w:szCs w:val="20"/>
          </w:rPr>
          <w:t xml:space="preserve">elp </w:t>
        </w:r>
        <w:r>
          <w:rPr>
            <w:rStyle w:val="Hyperlink"/>
            <w:rFonts w:ascii="Aptos" w:eastAsia="Arial" w:hAnsi="Aptos"/>
            <w:szCs w:val="20"/>
          </w:rPr>
          <w:t>t</w:t>
        </w:r>
        <w:r w:rsidRPr="00F52791">
          <w:rPr>
            <w:rStyle w:val="Hyperlink"/>
            <w:rFonts w:ascii="Aptos" w:eastAsia="Arial" w:hAnsi="Aptos"/>
            <w:szCs w:val="20"/>
          </w:rPr>
          <w:t>ool</w:t>
        </w:r>
      </w:hyperlink>
      <w:r w:rsidRPr="00F52791">
        <w:rPr>
          <w:rFonts w:ascii="Aptos" w:eastAsia="Arial" w:hAnsi="Aptos" w:cs="Arial"/>
          <w:szCs w:val="20"/>
        </w:rPr>
        <w:t xml:space="preserve"> self-assessment</w:t>
      </w:r>
      <w:r>
        <w:rPr>
          <w:rFonts w:ascii="Aptos" w:eastAsia="Arial" w:hAnsi="Aptos" w:cs="Arial"/>
          <w:szCs w:val="20"/>
        </w:rPr>
        <w:t>.</w:t>
      </w:r>
    </w:p>
    <w:p w14:paraId="17E1C2E0" w14:textId="46DEBFBC" w:rsidR="00FD4042" w:rsidRPr="00BC6C16" w:rsidRDefault="00CF5B8A" w:rsidP="00CF5B8A">
      <w:pPr>
        <w:rPr>
          <w:rFonts w:ascii="Aptos" w:eastAsia="Arial" w:hAnsi="Aptos" w:cs="Arial"/>
          <w:szCs w:val="20"/>
        </w:rPr>
      </w:pPr>
      <w:r>
        <w:rPr>
          <w:rFonts w:ascii="Aptos" w:eastAsia="Arial" w:hAnsi="Aptos" w:cs="Arial"/>
          <w:szCs w:val="20"/>
        </w:rPr>
        <w:t xml:space="preserve">The MPFA team can be contacted by </w:t>
      </w:r>
      <w:r w:rsidRPr="00F52791">
        <w:rPr>
          <w:rFonts w:ascii="Aptos" w:eastAsia="Arial" w:hAnsi="Aptos" w:cs="Arial"/>
          <w:szCs w:val="20"/>
        </w:rPr>
        <w:t>email</w:t>
      </w:r>
      <w:r>
        <w:rPr>
          <w:rFonts w:ascii="Aptos" w:eastAsia="Arial" w:hAnsi="Aptos" w:cs="Arial"/>
          <w:szCs w:val="20"/>
        </w:rPr>
        <w:t xml:space="preserve"> at </w:t>
      </w:r>
      <w:hyperlink r:id="rId24" w:history="1">
        <w:r w:rsidRPr="00AA2CDA">
          <w:rPr>
            <w:rStyle w:val="Hyperlink"/>
            <w:rFonts w:ascii="Aptos" w:eastAsia="Arial" w:hAnsi="Aptos"/>
            <w:szCs w:val="20"/>
          </w:rPr>
          <w:t>MPFA@industry.gov.au</w:t>
        </w:r>
      </w:hyperlink>
      <w:r w:rsidRPr="00F52791">
        <w:rPr>
          <w:rFonts w:ascii="Aptos" w:eastAsia="Arial" w:hAnsi="Aptos" w:cs="Arial"/>
          <w:szCs w:val="20"/>
        </w:rPr>
        <w:t>.</w:t>
      </w:r>
    </w:p>
    <w:sectPr w:rsidR="00FD4042" w:rsidRPr="00BC6C16" w:rsidSect="00B400E0">
      <w:headerReference w:type="default" r:id="rId25"/>
      <w:type w:val="continuous"/>
      <w:pgSz w:w="11906" w:h="16838"/>
      <w:pgMar w:top="720" w:right="720" w:bottom="720" w:left="720" w:header="850" w:footer="567" w:gutter="0"/>
      <w:cols w:num="2"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78CB4" w14:textId="77777777" w:rsidR="007F5051" w:rsidRDefault="007F5051" w:rsidP="00B251DB">
      <w:pPr>
        <w:spacing w:after="0"/>
      </w:pPr>
      <w:r>
        <w:separator/>
      </w:r>
    </w:p>
  </w:endnote>
  <w:endnote w:type="continuationSeparator" w:id="0">
    <w:p w14:paraId="69E19E8F" w14:textId="77777777" w:rsidR="007F5051" w:rsidRDefault="007F5051" w:rsidP="00B251D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SemiBold">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EBE05" w14:textId="77777777" w:rsidR="00B400E0" w:rsidRPr="00FD4042" w:rsidRDefault="00B400E0" w:rsidP="00FD4042">
    <w:pPr>
      <w:pStyle w:val="Heading4"/>
    </w:pPr>
    <w:r w:rsidRPr="00FD4042">
      <w:t>This fact sheet provides general information and does not constitute legal advice. You should seek independent legal advice tailored to your individual circumstances. The Major Projects Facilitation Agency (MPFA) assists major project proponents to navigate Australian Government approval processes. The MPFA does not grant approvals, nor administer the legislation listed in this fact sheet.</w:t>
    </w:r>
  </w:p>
  <w:p w14:paraId="2A4EDF34" w14:textId="7A6E030B" w:rsidR="00B400E0" w:rsidRPr="00B400E0" w:rsidRDefault="0078041B" w:rsidP="00FD4042">
    <w:pPr>
      <w:pStyle w:val="Heading4"/>
    </w:pPr>
    <w:hyperlink r:id="rId1" w:history="1">
      <w:r w:rsidR="00B400E0" w:rsidRPr="007F5051">
        <w:rPr>
          <w:rStyle w:val="Hyperlink"/>
        </w:rPr>
        <w:t>www.business.</w:t>
      </w:r>
      <w:r w:rsidR="00B400E0" w:rsidRPr="007F5051">
        <w:rPr>
          <w:rStyle w:val="Hyperlink"/>
          <w:color w:val="15659B"/>
        </w:rPr>
        <w:t>gov</w:t>
      </w:r>
      <w:r w:rsidR="00B400E0" w:rsidRPr="007F5051">
        <w:rPr>
          <w:rStyle w:val="Hyperlink"/>
        </w:rPr>
        <w:t>.au/MPFA</w:t>
      </w:r>
    </w:hyperlink>
    <w:r w:rsidR="00B400E0" w:rsidRPr="00010BDA">
      <w:rPr>
        <w:rStyle w:val="Hyperlink"/>
        <w:color w:val="auto"/>
        <w:u w:val="none"/>
      </w:rPr>
      <w:ptab w:relativeTo="margin" w:alignment="center" w:leader="none"/>
    </w:r>
    <w:hyperlink r:id="rId2" w:history="1">
      <w:r w:rsidR="00B400E0" w:rsidRPr="007F5051">
        <w:rPr>
          <w:rStyle w:val="Hyperlink"/>
        </w:rPr>
        <w:t>MPFA@industry.gov.au</w:t>
      </w:r>
    </w:hyperlink>
    <w:r w:rsidR="00B400E0" w:rsidRPr="00010BDA">
      <w:rPr>
        <w:rStyle w:val="Hyperlink"/>
        <w:color w:val="auto"/>
        <w:u w:val="none"/>
      </w:rPr>
      <w:ptab w:relativeTo="margin" w:alignment="right" w:leader="none"/>
    </w:r>
    <w:r w:rsidR="00153F60">
      <w:rPr>
        <w:rStyle w:val="Hyperlink"/>
        <w:color w:val="auto"/>
        <w:u w:val="none"/>
      </w:rPr>
      <w:t>February 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27E7B" w14:textId="77777777" w:rsidR="007F5051" w:rsidRPr="007F5051" w:rsidRDefault="007F5051" w:rsidP="007F5051">
    <w:pPr>
      <w:pStyle w:val="Footer"/>
      <w:tabs>
        <w:tab w:val="clear" w:pos="4513"/>
        <w:tab w:val="center" w:pos="5245"/>
      </w:tabs>
      <w:rPr>
        <w:rFonts w:ascii="Aptos" w:hAnsi="Aptos" w:cs="Calibri"/>
        <w:sz w:val="16"/>
        <w:szCs w:val="16"/>
      </w:rPr>
    </w:pPr>
    <w:r w:rsidRPr="007F5051">
      <w:rPr>
        <w:rFonts w:ascii="Aptos" w:hAnsi="Aptos" w:cs="Calibri"/>
        <w:sz w:val="16"/>
        <w:szCs w:val="16"/>
      </w:rPr>
      <w:t>This fact sheet provides general information and does not constitute legal advice. You should seek independent legal advice tailored to your individual circumstances. The Major Projects Facilitation Agency (MPFA) assists major project proponents to navigate Australian Government approval processes. The MPFA does not grant approvals, nor administer the legislation listed in this fact sheet.</w:t>
    </w:r>
  </w:p>
  <w:p w14:paraId="0C4D9418" w14:textId="04C05E24" w:rsidR="007F5051" w:rsidRPr="007F5051" w:rsidRDefault="0078041B" w:rsidP="007F5051">
    <w:pPr>
      <w:pStyle w:val="Footer"/>
      <w:tabs>
        <w:tab w:val="clear" w:pos="4513"/>
        <w:tab w:val="clear" w:pos="9026"/>
        <w:tab w:val="center" w:pos="5245"/>
        <w:tab w:val="right" w:pos="10466"/>
      </w:tabs>
      <w:rPr>
        <w:rFonts w:ascii="Aptos" w:hAnsi="Aptos"/>
        <w:sz w:val="16"/>
        <w:szCs w:val="16"/>
      </w:rPr>
    </w:pPr>
    <w:hyperlink r:id="rId1" w:history="1">
      <w:r w:rsidR="007F5051" w:rsidRPr="007F5051">
        <w:rPr>
          <w:rStyle w:val="Hyperlink"/>
          <w:rFonts w:ascii="Aptos" w:hAnsi="Aptos"/>
          <w:sz w:val="16"/>
          <w:szCs w:val="16"/>
        </w:rPr>
        <w:t>www.business.</w:t>
      </w:r>
      <w:r w:rsidR="007F5051" w:rsidRPr="007F5051">
        <w:rPr>
          <w:rStyle w:val="Hyperlink"/>
          <w:rFonts w:ascii="Aptos" w:hAnsi="Aptos"/>
          <w:color w:val="15659B"/>
          <w:sz w:val="16"/>
          <w:szCs w:val="16"/>
        </w:rPr>
        <w:t>gov</w:t>
      </w:r>
      <w:r w:rsidR="007F5051" w:rsidRPr="007F5051">
        <w:rPr>
          <w:rStyle w:val="Hyperlink"/>
          <w:rFonts w:ascii="Aptos" w:hAnsi="Aptos"/>
          <w:sz w:val="16"/>
          <w:szCs w:val="16"/>
        </w:rPr>
        <w:t>.au/MPFA</w:t>
      </w:r>
    </w:hyperlink>
    <w:r w:rsidR="007F5051" w:rsidRPr="007F5051">
      <w:rPr>
        <w:rStyle w:val="Hyperlink"/>
        <w:rFonts w:ascii="Aptos" w:hAnsi="Aptos"/>
        <w:color w:val="auto"/>
        <w:sz w:val="16"/>
        <w:szCs w:val="16"/>
        <w:u w:val="none"/>
      </w:rPr>
      <w:ptab w:relativeTo="margin" w:alignment="center" w:leader="none"/>
    </w:r>
    <w:hyperlink r:id="rId2" w:history="1">
      <w:r w:rsidR="007F5051" w:rsidRPr="007F5051">
        <w:rPr>
          <w:rStyle w:val="Hyperlink"/>
          <w:rFonts w:ascii="Aptos" w:hAnsi="Aptos"/>
          <w:sz w:val="16"/>
          <w:szCs w:val="16"/>
        </w:rPr>
        <w:t>MPFA@industry.gov.au</w:t>
      </w:r>
    </w:hyperlink>
    <w:r w:rsidR="007F5051" w:rsidRPr="007F5051">
      <w:rPr>
        <w:rStyle w:val="Hyperlink"/>
        <w:rFonts w:ascii="Aptos" w:hAnsi="Aptos"/>
        <w:color w:val="auto"/>
        <w:sz w:val="16"/>
        <w:szCs w:val="16"/>
        <w:u w:val="none"/>
      </w:rPr>
      <w:ptab w:relativeTo="margin" w:alignment="right" w:leader="none"/>
    </w:r>
    <w:r w:rsidR="007F5051" w:rsidRPr="00B400E0">
      <w:rPr>
        <w:rStyle w:val="Hyperlink"/>
        <w:rFonts w:ascii="Aptos" w:hAnsi="Aptos"/>
        <w:color w:val="auto"/>
        <w:sz w:val="16"/>
        <w:szCs w:val="16"/>
        <w:highlight w:val="yellow"/>
        <w:u w:val="none"/>
      </w:rPr>
      <w:t>February</w:t>
    </w:r>
    <w:r w:rsidR="007F5051" w:rsidRPr="007F5051">
      <w:rPr>
        <w:rStyle w:val="Hyperlink"/>
        <w:rFonts w:ascii="Aptos" w:hAnsi="Aptos"/>
        <w:color w:val="auto"/>
        <w:sz w:val="16"/>
        <w:szCs w:val="16"/>
        <w:u w:val="none"/>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44284" w14:textId="77777777" w:rsidR="007F5051" w:rsidRDefault="007F5051" w:rsidP="00B251DB">
      <w:pPr>
        <w:spacing w:after="0"/>
      </w:pPr>
      <w:r>
        <w:separator/>
      </w:r>
    </w:p>
  </w:footnote>
  <w:footnote w:type="continuationSeparator" w:id="0">
    <w:p w14:paraId="5B4D8204" w14:textId="77777777" w:rsidR="007F5051" w:rsidRDefault="007F5051" w:rsidP="00B251D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789F9" w14:textId="552067A6" w:rsidR="00B400E0" w:rsidRDefault="00B400E0">
    <w:pPr>
      <w:pStyle w:val="Header"/>
    </w:pPr>
    <w:r w:rsidRPr="00B400E0">
      <w:rPr>
        <w:rFonts w:ascii="Aptos" w:hAnsi="Aptos"/>
        <w:noProof/>
        <w:lang w:eastAsia="en-AU"/>
      </w:rPr>
      <w:drawing>
        <wp:inline distT="0" distB="0" distL="0" distR="0" wp14:anchorId="57352BF6" wp14:editId="2DE46259">
          <wp:extent cx="6634855" cy="3068652"/>
          <wp:effectExtent l="0" t="0" r="0" b="0"/>
          <wp:docPr id="1" name="Picture 1" descr="Major Projects Facilitation Agency &#10;Fact shee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Major Projects Facilitation Agency &#10;Fact shee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l="2050" t="2447" r="2022" b="4436"/>
                  <a:stretch/>
                </pic:blipFill>
                <pic:spPr bwMode="auto">
                  <a:xfrm>
                    <a:off x="0" y="0"/>
                    <a:ext cx="6644986" cy="307333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B4077" w14:textId="53535777" w:rsidR="007F5051" w:rsidRPr="00B400E0" w:rsidRDefault="007F5051" w:rsidP="007F5051">
    <w:pPr>
      <w:pStyle w:val="Header"/>
      <w:tabs>
        <w:tab w:val="clear" w:pos="4513"/>
        <w:tab w:val="clear" w:pos="9026"/>
        <w:tab w:val="center" w:pos="5245"/>
        <w:tab w:val="right" w:pos="10466"/>
      </w:tabs>
      <w:rPr>
        <w:rFonts w:ascii="Aptos" w:hAnsi="Aptos"/>
      </w:rPr>
    </w:pPr>
    <w:r w:rsidRPr="00B400E0">
      <w:rPr>
        <w:rFonts w:ascii="Aptos" w:hAnsi="Aptos"/>
        <w:noProof/>
        <w:lang w:eastAsia="en-AU"/>
      </w:rPr>
      <w:drawing>
        <wp:inline distT="0" distB="0" distL="0" distR="0" wp14:anchorId="3F4F5A67" wp14:editId="624C0A04">
          <wp:extent cx="6634855" cy="3068652"/>
          <wp:effectExtent l="0" t="0" r="0" b="0"/>
          <wp:docPr id="2" name="Picture 2" descr="Major Projects Facilitation Agency &#10;Fact shee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Major Projects Facilitation Agency &#10;Fact shee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l="2050" t="2447" r="2022" b="4436"/>
                  <a:stretch/>
                </pic:blipFill>
                <pic:spPr bwMode="auto">
                  <a:xfrm>
                    <a:off x="0" y="0"/>
                    <a:ext cx="6644986" cy="307333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88B24" w14:textId="77777777" w:rsidR="00B400E0" w:rsidRDefault="00B400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F83E0FB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00CCF41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52A5BE3"/>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94D74F4"/>
    <w:multiLevelType w:val="hybridMultilevel"/>
    <w:tmpl w:val="D6283F8E"/>
    <w:lvl w:ilvl="0" w:tplc="6A00F20A">
      <w:start w:val="1"/>
      <w:numFmt w:val="bullet"/>
      <w:lvlText w:val=""/>
      <w:lvlJc w:val="left"/>
      <w:pPr>
        <w:ind w:left="567"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5630B1"/>
    <w:multiLevelType w:val="hybridMultilevel"/>
    <w:tmpl w:val="40D0D0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F078C0"/>
    <w:multiLevelType w:val="hybridMultilevel"/>
    <w:tmpl w:val="6A641E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467F4B1A"/>
    <w:multiLevelType w:val="hybridMultilevel"/>
    <w:tmpl w:val="13BEC9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552E10FD"/>
    <w:multiLevelType w:val="hybridMultilevel"/>
    <w:tmpl w:val="66D46394"/>
    <w:lvl w:ilvl="0" w:tplc="E2F097D6">
      <w:numFmt w:val="bullet"/>
      <w:pStyle w:val="ListParagraph"/>
      <w:lvlText w:val=""/>
      <w:lvlJc w:val="left"/>
      <w:pPr>
        <w:ind w:left="567" w:hanging="567"/>
      </w:pPr>
      <w:rPr>
        <w:rFonts w:ascii="Symbol" w:eastAsiaTheme="minorHAnsi" w:hAnsi="Symbol" w:cstheme="minorBidi" w:hint="default"/>
      </w:rPr>
    </w:lvl>
    <w:lvl w:ilvl="1" w:tplc="6606920E">
      <w:numFmt w:val="bullet"/>
      <w:lvlText w:val="-"/>
      <w:lvlJc w:val="left"/>
      <w:pPr>
        <w:ind w:left="1134" w:hanging="567"/>
      </w:pPr>
      <w:rPr>
        <w:rFonts w:ascii="Calibri" w:eastAsiaTheme="minorHAnsi" w:hAnsi="Calibri" w:hint="default"/>
      </w:rPr>
    </w:lvl>
    <w:lvl w:ilvl="2" w:tplc="75C69B6E">
      <w:start w:val="1"/>
      <w:numFmt w:val="bullet"/>
      <w:lvlText w:val=""/>
      <w:lvlJc w:val="left"/>
      <w:pPr>
        <w:ind w:left="1701" w:hanging="567"/>
      </w:pPr>
      <w:rPr>
        <w:rFonts w:ascii="Wingdings" w:hAnsi="Wingdings" w:hint="default"/>
      </w:rPr>
    </w:lvl>
    <w:lvl w:ilvl="3" w:tplc="B84A8EA2">
      <w:start w:val="1"/>
      <w:numFmt w:val="bullet"/>
      <w:lvlText w:val=""/>
      <w:lvlJc w:val="left"/>
      <w:pPr>
        <w:ind w:left="2268" w:hanging="567"/>
      </w:pPr>
      <w:rPr>
        <w:rFonts w:ascii="Symbol" w:hAnsi="Symbol" w:hint="default"/>
      </w:rPr>
    </w:lvl>
    <w:lvl w:ilvl="4" w:tplc="9E469228">
      <w:start w:val="1"/>
      <w:numFmt w:val="bullet"/>
      <w:lvlText w:val="o"/>
      <w:lvlJc w:val="left"/>
      <w:pPr>
        <w:ind w:left="2835" w:hanging="567"/>
      </w:pPr>
      <w:rPr>
        <w:rFonts w:ascii="Courier New" w:hAnsi="Courier New" w:hint="default"/>
      </w:rPr>
    </w:lvl>
    <w:lvl w:ilvl="5" w:tplc="406CF0B6">
      <w:start w:val="1"/>
      <w:numFmt w:val="bullet"/>
      <w:lvlText w:val=""/>
      <w:lvlJc w:val="left"/>
      <w:pPr>
        <w:ind w:left="3402" w:hanging="567"/>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75E78A8"/>
    <w:multiLevelType w:val="hybridMultilevel"/>
    <w:tmpl w:val="CF22F768"/>
    <w:lvl w:ilvl="0" w:tplc="0D524BF0">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655074E5"/>
    <w:multiLevelType w:val="hybridMultilevel"/>
    <w:tmpl w:val="15CA3E48"/>
    <w:lvl w:ilvl="0" w:tplc="93BAD356">
      <w:start w:val="1"/>
      <w:numFmt w:val="decimal"/>
      <w:lvlText w:val="%1."/>
      <w:lvlJc w:val="left"/>
      <w:pPr>
        <w:ind w:left="567" w:hanging="567"/>
      </w:pPr>
      <w:rPr>
        <w:rFonts w:hint="default"/>
      </w:rPr>
    </w:lvl>
    <w:lvl w:ilvl="1" w:tplc="D2E408C2">
      <w:start w:val="1"/>
      <w:numFmt w:val="lowerLetter"/>
      <w:lvlText w:val="%2."/>
      <w:lvlJc w:val="left"/>
      <w:pPr>
        <w:ind w:left="1134" w:hanging="567"/>
      </w:pPr>
      <w:rPr>
        <w:rFonts w:hint="default"/>
      </w:rPr>
    </w:lvl>
    <w:lvl w:ilvl="2" w:tplc="528088D0">
      <w:start w:val="1"/>
      <w:numFmt w:val="lowerRoman"/>
      <w:lvlText w:val="%3."/>
      <w:lvlJc w:val="right"/>
      <w:pPr>
        <w:ind w:left="1701" w:hanging="567"/>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22605387">
    <w:abstractNumId w:val="7"/>
  </w:num>
  <w:num w:numId="2" w16cid:durableId="648444589">
    <w:abstractNumId w:val="9"/>
  </w:num>
  <w:num w:numId="3" w16cid:durableId="1474374502">
    <w:abstractNumId w:val="2"/>
  </w:num>
  <w:num w:numId="4" w16cid:durableId="660547498">
    <w:abstractNumId w:val="1"/>
  </w:num>
  <w:num w:numId="5" w16cid:durableId="1405948882">
    <w:abstractNumId w:val="0"/>
  </w:num>
  <w:num w:numId="6" w16cid:durableId="1770931210">
    <w:abstractNumId w:val="3"/>
  </w:num>
  <w:num w:numId="7" w16cid:durableId="1514956900">
    <w:abstractNumId w:val="5"/>
  </w:num>
  <w:num w:numId="8" w16cid:durableId="1928151220">
    <w:abstractNumId w:val="8"/>
  </w:num>
  <w:num w:numId="9" w16cid:durableId="1919442051">
    <w:abstractNumId w:val="6"/>
  </w:num>
  <w:num w:numId="10" w16cid:durableId="1018392546">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hideSpellingErrors/>
  <w:hideGrammaticalErrors/>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051"/>
    <w:rsid w:val="00003766"/>
    <w:rsid w:val="00032995"/>
    <w:rsid w:val="00034867"/>
    <w:rsid w:val="00043F36"/>
    <w:rsid w:val="000552B3"/>
    <w:rsid w:val="0007067B"/>
    <w:rsid w:val="0008167B"/>
    <w:rsid w:val="00081D07"/>
    <w:rsid w:val="00090DDB"/>
    <w:rsid w:val="000A75CB"/>
    <w:rsid w:val="000B6C60"/>
    <w:rsid w:val="000C3494"/>
    <w:rsid w:val="000E0F53"/>
    <w:rsid w:val="000E599A"/>
    <w:rsid w:val="000E5C60"/>
    <w:rsid w:val="000F2564"/>
    <w:rsid w:val="00153C15"/>
    <w:rsid w:val="00153F60"/>
    <w:rsid w:val="00171757"/>
    <w:rsid w:val="0018753C"/>
    <w:rsid w:val="00194586"/>
    <w:rsid w:val="001A38CC"/>
    <w:rsid w:val="001B314C"/>
    <w:rsid w:val="001D216A"/>
    <w:rsid w:val="001D2E82"/>
    <w:rsid w:val="001D51DA"/>
    <w:rsid w:val="001F5AB1"/>
    <w:rsid w:val="00205DF3"/>
    <w:rsid w:val="0022083E"/>
    <w:rsid w:val="00222D0B"/>
    <w:rsid w:val="00241D3D"/>
    <w:rsid w:val="00254DA8"/>
    <w:rsid w:val="00266F7C"/>
    <w:rsid w:val="00272B04"/>
    <w:rsid w:val="00274C94"/>
    <w:rsid w:val="00282ED3"/>
    <w:rsid w:val="00293BAA"/>
    <w:rsid w:val="002A101F"/>
    <w:rsid w:val="002B3A3A"/>
    <w:rsid w:val="002B5C69"/>
    <w:rsid w:val="002D230B"/>
    <w:rsid w:val="002F60C0"/>
    <w:rsid w:val="0031048E"/>
    <w:rsid w:val="0031654A"/>
    <w:rsid w:val="00330C0B"/>
    <w:rsid w:val="0035140F"/>
    <w:rsid w:val="00393784"/>
    <w:rsid w:val="003A0E7F"/>
    <w:rsid w:val="003A5FBD"/>
    <w:rsid w:val="003D38ED"/>
    <w:rsid w:val="003D747D"/>
    <w:rsid w:val="00406032"/>
    <w:rsid w:val="00423B2E"/>
    <w:rsid w:val="00423D13"/>
    <w:rsid w:val="0043720A"/>
    <w:rsid w:val="004632E9"/>
    <w:rsid w:val="0046678C"/>
    <w:rsid w:val="0048236F"/>
    <w:rsid w:val="004A7856"/>
    <w:rsid w:val="004B4254"/>
    <w:rsid w:val="004D3B0F"/>
    <w:rsid w:val="004E23A9"/>
    <w:rsid w:val="004E5181"/>
    <w:rsid w:val="004E75D2"/>
    <w:rsid w:val="004F5BB1"/>
    <w:rsid w:val="00512647"/>
    <w:rsid w:val="00516B0E"/>
    <w:rsid w:val="00527381"/>
    <w:rsid w:val="005419C2"/>
    <w:rsid w:val="005706FD"/>
    <w:rsid w:val="00572521"/>
    <w:rsid w:val="005777BC"/>
    <w:rsid w:val="00584B74"/>
    <w:rsid w:val="00585C14"/>
    <w:rsid w:val="005A1B5C"/>
    <w:rsid w:val="005D27F7"/>
    <w:rsid w:val="005E5F5F"/>
    <w:rsid w:val="00603DDF"/>
    <w:rsid w:val="00607188"/>
    <w:rsid w:val="006154AB"/>
    <w:rsid w:val="006337C7"/>
    <w:rsid w:val="00671D1D"/>
    <w:rsid w:val="00671FC8"/>
    <w:rsid w:val="0068286F"/>
    <w:rsid w:val="00695B12"/>
    <w:rsid w:val="00697567"/>
    <w:rsid w:val="00697C73"/>
    <w:rsid w:val="006C4C9C"/>
    <w:rsid w:val="006D2221"/>
    <w:rsid w:val="006E1636"/>
    <w:rsid w:val="006E1E6A"/>
    <w:rsid w:val="006E4001"/>
    <w:rsid w:val="006F58A5"/>
    <w:rsid w:val="00703734"/>
    <w:rsid w:val="00711349"/>
    <w:rsid w:val="00723C5D"/>
    <w:rsid w:val="0073362E"/>
    <w:rsid w:val="0078041B"/>
    <w:rsid w:val="007833EE"/>
    <w:rsid w:val="007B553F"/>
    <w:rsid w:val="007F5051"/>
    <w:rsid w:val="00806473"/>
    <w:rsid w:val="00826293"/>
    <w:rsid w:val="00853A7A"/>
    <w:rsid w:val="008653E9"/>
    <w:rsid w:val="00872DFF"/>
    <w:rsid w:val="00892B6E"/>
    <w:rsid w:val="008B7B1E"/>
    <w:rsid w:val="008C2718"/>
    <w:rsid w:val="008C3B21"/>
    <w:rsid w:val="008D244C"/>
    <w:rsid w:val="008E3C31"/>
    <w:rsid w:val="008E5E4B"/>
    <w:rsid w:val="009059E9"/>
    <w:rsid w:val="0091556D"/>
    <w:rsid w:val="00917329"/>
    <w:rsid w:val="00917D7F"/>
    <w:rsid w:val="00934A4A"/>
    <w:rsid w:val="00960D98"/>
    <w:rsid w:val="009830D1"/>
    <w:rsid w:val="009A549D"/>
    <w:rsid w:val="009A64AF"/>
    <w:rsid w:val="009C60B9"/>
    <w:rsid w:val="009E39E6"/>
    <w:rsid w:val="00A52F3D"/>
    <w:rsid w:val="00A61699"/>
    <w:rsid w:val="00A6365B"/>
    <w:rsid w:val="00A731BB"/>
    <w:rsid w:val="00AA740C"/>
    <w:rsid w:val="00AD22BA"/>
    <w:rsid w:val="00B15C01"/>
    <w:rsid w:val="00B17B99"/>
    <w:rsid w:val="00B251DB"/>
    <w:rsid w:val="00B26C25"/>
    <w:rsid w:val="00B35C0C"/>
    <w:rsid w:val="00B400E0"/>
    <w:rsid w:val="00B40A60"/>
    <w:rsid w:val="00B45B98"/>
    <w:rsid w:val="00BB350F"/>
    <w:rsid w:val="00BC6C16"/>
    <w:rsid w:val="00BD0F8A"/>
    <w:rsid w:val="00BE1CB4"/>
    <w:rsid w:val="00BE53C7"/>
    <w:rsid w:val="00BE6EEA"/>
    <w:rsid w:val="00BF221F"/>
    <w:rsid w:val="00C27CB3"/>
    <w:rsid w:val="00C42F09"/>
    <w:rsid w:val="00C43D48"/>
    <w:rsid w:val="00C50A9A"/>
    <w:rsid w:val="00C65E4E"/>
    <w:rsid w:val="00C859DE"/>
    <w:rsid w:val="00CB2DE1"/>
    <w:rsid w:val="00CB7499"/>
    <w:rsid w:val="00CE4789"/>
    <w:rsid w:val="00CE6BBD"/>
    <w:rsid w:val="00CE7F17"/>
    <w:rsid w:val="00CF5B8A"/>
    <w:rsid w:val="00D220CF"/>
    <w:rsid w:val="00D27B99"/>
    <w:rsid w:val="00D64BFA"/>
    <w:rsid w:val="00D841E9"/>
    <w:rsid w:val="00D9122B"/>
    <w:rsid w:val="00DB270D"/>
    <w:rsid w:val="00DE04A8"/>
    <w:rsid w:val="00DE1060"/>
    <w:rsid w:val="00E01D7D"/>
    <w:rsid w:val="00E04DA0"/>
    <w:rsid w:val="00E11B00"/>
    <w:rsid w:val="00E3027E"/>
    <w:rsid w:val="00E37443"/>
    <w:rsid w:val="00E51EC5"/>
    <w:rsid w:val="00E733FE"/>
    <w:rsid w:val="00E95372"/>
    <w:rsid w:val="00EA0739"/>
    <w:rsid w:val="00EB2A69"/>
    <w:rsid w:val="00ED173E"/>
    <w:rsid w:val="00EE1F4B"/>
    <w:rsid w:val="00F1441E"/>
    <w:rsid w:val="00F16FE0"/>
    <w:rsid w:val="00F22BB9"/>
    <w:rsid w:val="00F32757"/>
    <w:rsid w:val="00F3409A"/>
    <w:rsid w:val="00F50FA6"/>
    <w:rsid w:val="00F62B4E"/>
    <w:rsid w:val="00F669E4"/>
    <w:rsid w:val="00F66A4B"/>
    <w:rsid w:val="00FD4042"/>
    <w:rsid w:val="00FE4569"/>
    <w:rsid w:val="00FE7D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510538"/>
  <w15:chartTrackingRefBased/>
  <w15:docId w15:val="{7ED241D3-61EF-459D-BC43-8F4FFE8A1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3766"/>
    <w:pPr>
      <w:spacing w:before="120" w:after="120" w:line="240" w:lineRule="auto"/>
    </w:pPr>
    <w:rPr>
      <w:sz w:val="20"/>
    </w:rPr>
  </w:style>
  <w:style w:type="paragraph" w:styleId="Heading1">
    <w:name w:val="heading 1"/>
    <w:basedOn w:val="Normal"/>
    <w:next w:val="Normal"/>
    <w:link w:val="Heading1Char"/>
    <w:uiPriority w:val="9"/>
    <w:qFormat/>
    <w:rsid w:val="00BC6C16"/>
    <w:pPr>
      <w:keepNext/>
      <w:keepLines/>
      <w:contextualSpacing/>
      <w:outlineLvl w:val="0"/>
    </w:pPr>
    <w:rPr>
      <w:rFonts w:ascii="Aptos" w:hAnsi="Aptos"/>
      <w:b/>
      <w:bCs/>
      <w:color w:val="001B35"/>
      <w:sz w:val="36"/>
      <w:szCs w:val="36"/>
    </w:rPr>
  </w:style>
  <w:style w:type="paragraph" w:styleId="Heading2">
    <w:name w:val="heading 2"/>
    <w:basedOn w:val="Normal"/>
    <w:next w:val="Normal"/>
    <w:link w:val="Heading2Char"/>
    <w:uiPriority w:val="9"/>
    <w:unhideWhenUsed/>
    <w:qFormat/>
    <w:rsid w:val="00BC6C16"/>
    <w:pPr>
      <w:keepNext/>
      <w:keepLines/>
      <w:outlineLvl w:val="1"/>
    </w:pPr>
    <w:rPr>
      <w:rFonts w:ascii="Aptos" w:eastAsiaTheme="majorEastAsia" w:hAnsi="Aptos" w:cstheme="majorBidi"/>
      <w:b/>
      <w:bCs/>
      <w:color w:val="095258"/>
      <w:sz w:val="24"/>
      <w:szCs w:val="24"/>
    </w:rPr>
  </w:style>
  <w:style w:type="paragraph" w:styleId="Heading3">
    <w:name w:val="heading 3"/>
    <w:basedOn w:val="Normal"/>
    <w:next w:val="Normal"/>
    <w:link w:val="Heading3Char"/>
    <w:uiPriority w:val="9"/>
    <w:unhideWhenUsed/>
    <w:qFormat/>
    <w:rsid w:val="00BC6C16"/>
    <w:pPr>
      <w:keepNext/>
      <w:keepLines/>
      <w:outlineLvl w:val="2"/>
    </w:pPr>
    <w:rPr>
      <w:rFonts w:ascii="Aptos" w:eastAsiaTheme="majorEastAsia" w:hAnsi="Aptos" w:cstheme="majorBidi"/>
      <w:b/>
      <w:bCs/>
      <w:szCs w:val="20"/>
    </w:rPr>
  </w:style>
  <w:style w:type="paragraph" w:styleId="Heading4">
    <w:name w:val="heading 4"/>
    <w:aliases w:val="Footer text"/>
    <w:basedOn w:val="Footer"/>
    <w:next w:val="Normal"/>
    <w:link w:val="Heading4Char"/>
    <w:uiPriority w:val="9"/>
    <w:unhideWhenUsed/>
    <w:qFormat/>
    <w:rsid w:val="00FD4042"/>
    <w:pPr>
      <w:tabs>
        <w:tab w:val="clear" w:pos="4513"/>
        <w:tab w:val="clear" w:pos="9026"/>
        <w:tab w:val="center" w:pos="5245"/>
        <w:tab w:val="right" w:pos="10466"/>
      </w:tabs>
      <w:outlineLvl w:val="3"/>
    </w:pPr>
    <w:rPr>
      <w:rFonts w:ascii="Aptos" w:hAnsi="Aptos" w:cs="Calibri"/>
      <w:sz w:val="16"/>
      <w:szCs w:val="16"/>
    </w:rPr>
  </w:style>
  <w:style w:type="paragraph" w:styleId="Heading5">
    <w:name w:val="heading 5"/>
    <w:basedOn w:val="Normal"/>
    <w:next w:val="Normal"/>
    <w:link w:val="Heading5Char"/>
    <w:uiPriority w:val="9"/>
    <w:unhideWhenUsed/>
    <w:rsid w:val="000E5C60"/>
    <w:pPr>
      <w:keepNext/>
      <w:keepLines/>
      <w:spacing w:before="240"/>
      <w:outlineLvl w:val="4"/>
    </w:pPr>
    <w:rPr>
      <w:rFonts w:asciiTheme="majorHAnsi" w:eastAsiaTheme="majorEastAsia" w:hAnsiTheme="majorHAnsi" w:cstheme="majorBidi"/>
      <w:color w:val="15659B" w:themeColor="accent4"/>
      <w:sz w:val="26"/>
      <w:szCs w:val="26"/>
    </w:rPr>
  </w:style>
  <w:style w:type="paragraph" w:styleId="Heading6">
    <w:name w:val="heading 6"/>
    <w:basedOn w:val="Normal"/>
    <w:next w:val="Normal"/>
    <w:link w:val="Heading6Char"/>
    <w:uiPriority w:val="9"/>
    <w:unhideWhenUsed/>
    <w:rsid w:val="00C50A9A"/>
    <w:pPr>
      <w:keepNext/>
      <w:keepLines/>
      <w:spacing w:before="240"/>
      <w:outlineLvl w:val="5"/>
    </w:pPr>
    <w:rPr>
      <w:rFonts w:asciiTheme="majorHAnsi" w:eastAsiaTheme="majorEastAsia" w:hAnsiTheme="majorHAnsi" w:cstheme="majorBidi"/>
      <w:color w:val="000000" w:themeColor="text1"/>
      <w:sz w:val="24"/>
    </w:rPr>
  </w:style>
  <w:style w:type="paragraph" w:styleId="Heading7">
    <w:name w:val="heading 7"/>
    <w:basedOn w:val="Normal"/>
    <w:next w:val="Normal"/>
    <w:link w:val="Heading7Char"/>
    <w:uiPriority w:val="9"/>
    <w:unhideWhenUsed/>
    <w:rsid w:val="00C50A9A"/>
    <w:pPr>
      <w:keepNext/>
      <w:keepLines/>
      <w:spacing w:before="240"/>
      <w:outlineLvl w:val="6"/>
    </w:pPr>
    <w:rPr>
      <w:rFonts w:asciiTheme="majorHAnsi" w:eastAsiaTheme="majorEastAsia" w:hAnsiTheme="majorHAnsi" w:cstheme="majorBidi"/>
      <w:b/>
      <w:iCs/>
      <w:color w:val="001B35" w:themeColor="accent1"/>
      <w:sz w:val="22"/>
    </w:rPr>
  </w:style>
  <w:style w:type="paragraph" w:styleId="Heading8">
    <w:name w:val="heading 8"/>
    <w:basedOn w:val="Normal"/>
    <w:next w:val="Normal"/>
    <w:link w:val="Heading8Char"/>
    <w:uiPriority w:val="9"/>
    <w:unhideWhenUsed/>
    <w:rsid w:val="00C50A9A"/>
    <w:pPr>
      <w:keepNext/>
      <w:keepLines/>
      <w:spacing w:before="2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rsid w:val="0078041B"/>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51DB"/>
    <w:pPr>
      <w:tabs>
        <w:tab w:val="center" w:pos="4513"/>
        <w:tab w:val="right" w:pos="9026"/>
      </w:tabs>
      <w:spacing w:after="0"/>
    </w:pPr>
  </w:style>
  <w:style w:type="character" w:customStyle="1" w:styleId="HeaderChar">
    <w:name w:val="Header Char"/>
    <w:basedOn w:val="DefaultParagraphFont"/>
    <w:link w:val="Header"/>
    <w:uiPriority w:val="99"/>
    <w:rsid w:val="00B251DB"/>
  </w:style>
  <w:style w:type="paragraph" w:styleId="Footer">
    <w:name w:val="footer"/>
    <w:basedOn w:val="Normal"/>
    <w:link w:val="FooterChar"/>
    <w:uiPriority w:val="99"/>
    <w:unhideWhenUsed/>
    <w:rsid w:val="00B251DB"/>
    <w:pPr>
      <w:tabs>
        <w:tab w:val="center" w:pos="4513"/>
        <w:tab w:val="right" w:pos="9026"/>
      </w:tabs>
      <w:spacing w:after="0"/>
    </w:pPr>
  </w:style>
  <w:style w:type="character" w:customStyle="1" w:styleId="FooterChar">
    <w:name w:val="Footer Char"/>
    <w:basedOn w:val="DefaultParagraphFont"/>
    <w:link w:val="Footer"/>
    <w:uiPriority w:val="99"/>
    <w:rsid w:val="00B251DB"/>
  </w:style>
  <w:style w:type="character" w:customStyle="1" w:styleId="Heading1Char">
    <w:name w:val="Heading 1 Char"/>
    <w:basedOn w:val="DefaultParagraphFont"/>
    <w:link w:val="Heading1"/>
    <w:uiPriority w:val="9"/>
    <w:rsid w:val="00BC6C16"/>
    <w:rPr>
      <w:rFonts w:ascii="Aptos" w:hAnsi="Aptos"/>
      <w:b/>
      <w:bCs/>
      <w:color w:val="001B35"/>
      <w:sz w:val="36"/>
      <w:szCs w:val="36"/>
    </w:rPr>
  </w:style>
  <w:style w:type="table" w:customStyle="1" w:styleId="Verticaltable">
    <w:name w:val="Vertical table"/>
    <w:basedOn w:val="TableNormal"/>
    <w:uiPriority w:val="99"/>
    <w:rsid w:val="00AD22BA"/>
    <w:pPr>
      <w:spacing w:after="0" w:line="240" w:lineRule="auto"/>
    </w:pPr>
    <w:tblPr>
      <w:tblBorders>
        <w:top w:val="single" w:sz="4" w:space="0" w:color="15659B" w:themeColor="accent4"/>
        <w:left w:val="single" w:sz="4" w:space="0" w:color="15659B" w:themeColor="accent4"/>
        <w:bottom w:val="single" w:sz="4" w:space="0" w:color="15659B" w:themeColor="accent4"/>
        <w:right w:val="single" w:sz="4" w:space="0" w:color="15659B" w:themeColor="accent4"/>
        <w:insideH w:val="single" w:sz="4" w:space="0" w:color="15659B" w:themeColor="accent4"/>
        <w:insideV w:val="single" w:sz="4" w:space="0" w:color="15659B" w:themeColor="accent4"/>
      </w:tblBorders>
    </w:tblPr>
    <w:tblStylePr w:type="lastRow">
      <w:rPr>
        <w:b w:val="0"/>
      </w:rPr>
    </w:tblStylePr>
    <w:tblStylePr w:type="firstCol">
      <w:rPr>
        <w:b/>
        <w:color w:val="FFFFFF" w:themeColor="background1"/>
      </w:rPr>
      <w:tblPr/>
      <w:tcPr>
        <w:shd w:val="clear" w:color="auto" w:fill="15659B" w:themeFill="accent4"/>
      </w:tcPr>
    </w:tblStylePr>
  </w:style>
  <w:style w:type="character" w:styleId="FollowedHyperlink">
    <w:name w:val="FollowedHyperlink"/>
    <w:basedOn w:val="DefaultParagraphFont"/>
    <w:uiPriority w:val="99"/>
    <w:semiHidden/>
    <w:unhideWhenUsed/>
    <w:rsid w:val="00872DFF"/>
    <w:rPr>
      <w:color w:val="954F72" w:themeColor="followedHyperlink"/>
      <w:u w:val="single"/>
    </w:rPr>
  </w:style>
  <w:style w:type="paragraph" w:styleId="Subtitle">
    <w:name w:val="Subtitle"/>
    <w:basedOn w:val="Normal"/>
    <w:next w:val="Normal"/>
    <w:link w:val="SubtitleChar"/>
    <w:uiPriority w:val="11"/>
    <w:qFormat/>
    <w:rsid w:val="00BC6C16"/>
    <w:pPr>
      <w:spacing w:after="240"/>
    </w:pPr>
    <w:rPr>
      <w:rFonts w:ascii="Aptos" w:hAnsi="Aptos"/>
      <w:sz w:val="24"/>
      <w:szCs w:val="24"/>
    </w:rPr>
  </w:style>
  <w:style w:type="character" w:customStyle="1" w:styleId="SubtitleChar">
    <w:name w:val="Subtitle Char"/>
    <w:basedOn w:val="DefaultParagraphFont"/>
    <w:link w:val="Subtitle"/>
    <w:uiPriority w:val="11"/>
    <w:rsid w:val="00BC6C16"/>
    <w:rPr>
      <w:rFonts w:ascii="Aptos" w:hAnsi="Aptos"/>
      <w:sz w:val="24"/>
      <w:szCs w:val="24"/>
    </w:rPr>
  </w:style>
  <w:style w:type="character" w:customStyle="1" w:styleId="Heading2Char">
    <w:name w:val="Heading 2 Char"/>
    <w:basedOn w:val="DefaultParagraphFont"/>
    <w:link w:val="Heading2"/>
    <w:uiPriority w:val="9"/>
    <w:rsid w:val="00BC6C16"/>
    <w:rPr>
      <w:rFonts w:ascii="Aptos" w:eastAsiaTheme="majorEastAsia" w:hAnsi="Aptos" w:cstheme="majorBidi"/>
      <w:b/>
      <w:bCs/>
      <w:color w:val="095258"/>
      <w:sz w:val="24"/>
      <w:szCs w:val="24"/>
    </w:rPr>
  </w:style>
  <w:style w:type="character" w:customStyle="1" w:styleId="Heading3Char">
    <w:name w:val="Heading 3 Char"/>
    <w:basedOn w:val="DefaultParagraphFont"/>
    <w:link w:val="Heading3"/>
    <w:uiPriority w:val="9"/>
    <w:rsid w:val="00BC6C16"/>
    <w:rPr>
      <w:rFonts w:ascii="Aptos" w:eastAsiaTheme="majorEastAsia" w:hAnsi="Aptos" w:cstheme="majorBidi"/>
      <w:b/>
      <w:bCs/>
      <w:sz w:val="20"/>
      <w:szCs w:val="20"/>
    </w:rPr>
  </w:style>
  <w:style w:type="character" w:customStyle="1" w:styleId="Heading4Char">
    <w:name w:val="Heading 4 Char"/>
    <w:aliases w:val="Footer text Char"/>
    <w:basedOn w:val="DefaultParagraphFont"/>
    <w:link w:val="Heading4"/>
    <w:uiPriority w:val="9"/>
    <w:rsid w:val="00FD4042"/>
    <w:rPr>
      <w:rFonts w:ascii="Aptos" w:hAnsi="Aptos" w:cs="Calibri"/>
      <w:sz w:val="16"/>
      <w:szCs w:val="16"/>
    </w:rPr>
  </w:style>
  <w:style w:type="character" w:customStyle="1" w:styleId="Heading5Char">
    <w:name w:val="Heading 5 Char"/>
    <w:basedOn w:val="DefaultParagraphFont"/>
    <w:link w:val="Heading5"/>
    <w:uiPriority w:val="9"/>
    <w:rsid w:val="000E5C60"/>
    <w:rPr>
      <w:rFonts w:asciiTheme="majorHAnsi" w:eastAsiaTheme="majorEastAsia" w:hAnsiTheme="majorHAnsi" w:cstheme="majorBidi"/>
      <w:color w:val="15659B" w:themeColor="accent4"/>
      <w:sz w:val="26"/>
      <w:szCs w:val="26"/>
    </w:rPr>
  </w:style>
  <w:style w:type="paragraph" w:styleId="Quote">
    <w:name w:val="Quote"/>
    <w:basedOn w:val="Normal"/>
    <w:next w:val="Normal"/>
    <w:link w:val="QuoteChar"/>
    <w:uiPriority w:val="29"/>
    <w:rsid w:val="00171757"/>
    <w:pPr>
      <w:pBdr>
        <w:top w:val="single" w:sz="4" w:space="6" w:color="15659B" w:themeColor="accent4"/>
        <w:bottom w:val="single" w:sz="4" w:space="6" w:color="15659B" w:themeColor="accent4"/>
      </w:pBdr>
      <w:spacing w:before="240" w:after="240"/>
      <w:ind w:right="2835"/>
    </w:pPr>
    <w:rPr>
      <w:iCs/>
      <w:color w:val="000000" w:themeColor="text1"/>
      <w:sz w:val="22"/>
      <w:szCs w:val="24"/>
    </w:rPr>
  </w:style>
  <w:style w:type="character" w:customStyle="1" w:styleId="QuoteChar">
    <w:name w:val="Quote Char"/>
    <w:basedOn w:val="DefaultParagraphFont"/>
    <w:link w:val="Quote"/>
    <w:uiPriority w:val="29"/>
    <w:rsid w:val="00171757"/>
    <w:rPr>
      <w:iCs/>
      <w:color w:val="000000" w:themeColor="text1"/>
      <w:szCs w:val="24"/>
    </w:rPr>
  </w:style>
  <w:style w:type="character" w:styleId="Strong">
    <w:name w:val="Strong"/>
    <w:basedOn w:val="DefaultParagraphFont"/>
    <w:uiPriority w:val="22"/>
    <w:rsid w:val="00B251DB"/>
    <w:rPr>
      <w:b/>
      <w:bCs/>
    </w:rPr>
  </w:style>
  <w:style w:type="character" w:styleId="Emphasis">
    <w:name w:val="Emphasis"/>
    <w:basedOn w:val="DefaultParagraphFont"/>
    <w:uiPriority w:val="20"/>
    <w:rsid w:val="00B251DB"/>
    <w:rPr>
      <w:i/>
      <w:iCs/>
    </w:rPr>
  </w:style>
  <w:style w:type="paragraph" w:styleId="ListParagraph">
    <w:name w:val="List Paragraph"/>
    <w:basedOn w:val="Normal"/>
    <w:uiPriority w:val="34"/>
    <w:qFormat/>
    <w:rsid w:val="00090DDB"/>
    <w:pPr>
      <w:numPr>
        <w:numId w:val="1"/>
      </w:numPr>
      <w:spacing w:before="0"/>
    </w:pPr>
  </w:style>
  <w:style w:type="character" w:styleId="Hyperlink">
    <w:name w:val="Hyperlink"/>
    <w:basedOn w:val="DefaultParagraphFont"/>
    <w:uiPriority w:val="99"/>
    <w:unhideWhenUsed/>
    <w:rsid w:val="0031654A"/>
    <w:rPr>
      <w:color w:val="15659B" w:themeColor="accent4"/>
      <w:u w:val="single"/>
    </w:rPr>
  </w:style>
  <w:style w:type="table" w:styleId="TableGrid">
    <w:name w:val="Table Grid"/>
    <w:aliases w:val="DISR plain Table 1"/>
    <w:basedOn w:val="TableNormal"/>
    <w:uiPriority w:val="39"/>
    <w:rsid w:val="005777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StylePr>
  </w:style>
  <w:style w:type="table" w:styleId="PlainTable2">
    <w:name w:val="Plain Table 2"/>
    <w:basedOn w:val="TableNormal"/>
    <w:uiPriority w:val="42"/>
    <w:rsid w:val="0071134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71134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5777BC"/>
    <w:rPr>
      <w:b/>
      <w:iCs/>
      <w:szCs w:val="18"/>
    </w:rPr>
  </w:style>
  <w:style w:type="character" w:styleId="PlaceholderText">
    <w:name w:val="Placeholder Text"/>
    <w:basedOn w:val="DefaultParagraphFont"/>
    <w:uiPriority w:val="99"/>
    <w:semiHidden/>
    <w:rsid w:val="00BD0F8A"/>
    <w:rPr>
      <w:color w:val="808080"/>
    </w:rPr>
  </w:style>
  <w:style w:type="paragraph" w:styleId="NoSpacing">
    <w:name w:val="No Spacing"/>
    <w:link w:val="NoSpacingChar"/>
    <w:uiPriority w:val="1"/>
    <w:rsid w:val="00671D1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671D1D"/>
    <w:rPr>
      <w:rFonts w:eastAsiaTheme="minorEastAsia"/>
      <w:lang w:val="en-US"/>
    </w:rPr>
  </w:style>
  <w:style w:type="paragraph" w:styleId="TOCHeading">
    <w:name w:val="TOC Heading"/>
    <w:basedOn w:val="Heading2"/>
    <w:next w:val="Normal"/>
    <w:uiPriority w:val="39"/>
    <w:unhideWhenUsed/>
    <w:qFormat/>
    <w:rsid w:val="000F2564"/>
    <w:pPr>
      <w:spacing w:after="480"/>
      <w:outlineLvl w:val="9"/>
    </w:pPr>
    <w:rPr>
      <w:lang w:val="en-US"/>
    </w:rPr>
  </w:style>
  <w:style w:type="paragraph" w:styleId="TOC1">
    <w:name w:val="toc 1"/>
    <w:basedOn w:val="Normal"/>
    <w:next w:val="Normal"/>
    <w:autoRedefine/>
    <w:uiPriority w:val="39"/>
    <w:unhideWhenUsed/>
    <w:rsid w:val="000F2564"/>
    <w:pPr>
      <w:tabs>
        <w:tab w:val="right" w:leader="dot" w:pos="9016"/>
      </w:tabs>
      <w:spacing w:after="100"/>
    </w:pPr>
  </w:style>
  <w:style w:type="paragraph" w:styleId="TOC2">
    <w:name w:val="toc 2"/>
    <w:basedOn w:val="Normal"/>
    <w:next w:val="Normal"/>
    <w:autoRedefine/>
    <w:uiPriority w:val="39"/>
    <w:unhideWhenUsed/>
    <w:rsid w:val="0043720A"/>
    <w:pPr>
      <w:spacing w:after="100"/>
    </w:pPr>
  </w:style>
  <w:style w:type="paragraph" w:styleId="TOC3">
    <w:name w:val="toc 3"/>
    <w:basedOn w:val="Normal"/>
    <w:next w:val="Normal"/>
    <w:autoRedefine/>
    <w:uiPriority w:val="39"/>
    <w:unhideWhenUsed/>
    <w:rsid w:val="0043720A"/>
    <w:pPr>
      <w:spacing w:after="100"/>
      <w:ind w:left="221"/>
    </w:pPr>
  </w:style>
  <w:style w:type="paragraph" w:customStyle="1" w:styleId="Address">
    <w:name w:val="Address"/>
    <w:basedOn w:val="Subtitle"/>
    <w:rsid w:val="009A549D"/>
    <w:pPr>
      <w:spacing w:after="0"/>
    </w:pPr>
  </w:style>
  <w:style w:type="paragraph" w:styleId="BalloonText">
    <w:name w:val="Balloon Text"/>
    <w:basedOn w:val="Normal"/>
    <w:link w:val="BalloonTextChar"/>
    <w:uiPriority w:val="99"/>
    <w:semiHidden/>
    <w:unhideWhenUsed/>
    <w:rsid w:val="00E3027E"/>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027E"/>
    <w:rPr>
      <w:rFonts w:ascii="Segoe UI" w:hAnsi="Segoe UI" w:cs="Segoe UI"/>
      <w:sz w:val="18"/>
      <w:szCs w:val="18"/>
    </w:rPr>
  </w:style>
  <w:style w:type="table" w:styleId="ListTable3-Accent2">
    <w:name w:val="List Table 3 Accent 2"/>
    <w:basedOn w:val="TableNormal"/>
    <w:uiPriority w:val="48"/>
    <w:rsid w:val="00153C15"/>
    <w:pPr>
      <w:spacing w:after="0" w:line="240" w:lineRule="auto"/>
    </w:pPr>
    <w:tblPr>
      <w:tblStyleRowBandSize w:val="1"/>
      <w:tblStyleColBandSize w:val="1"/>
      <w:tblBorders>
        <w:top w:val="single" w:sz="4" w:space="0" w:color="993533" w:themeColor="accent2"/>
        <w:left w:val="single" w:sz="4" w:space="0" w:color="993533" w:themeColor="accent2"/>
        <w:bottom w:val="single" w:sz="4" w:space="0" w:color="993533" w:themeColor="accent2"/>
        <w:right w:val="single" w:sz="4" w:space="0" w:color="993533" w:themeColor="accent2"/>
      </w:tblBorders>
    </w:tblPr>
    <w:tblStylePr w:type="firstRow">
      <w:rPr>
        <w:b/>
        <w:bCs/>
        <w:color w:val="FFFFFF" w:themeColor="background1"/>
      </w:rPr>
      <w:tblPr/>
      <w:tcPr>
        <w:shd w:val="clear" w:color="auto" w:fill="993533" w:themeFill="accent2"/>
      </w:tcPr>
    </w:tblStylePr>
    <w:tblStylePr w:type="lastRow">
      <w:rPr>
        <w:b/>
        <w:bCs/>
      </w:rPr>
      <w:tblPr/>
      <w:tcPr>
        <w:tcBorders>
          <w:top w:val="double" w:sz="4" w:space="0" w:color="99353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93533" w:themeColor="accent2"/>
          <w:right w:val="single" w:sz="4" w:space="0" w:color="993533" w:themeColor="accent2"/>
        </w:tcBorders>
      </w:tcPr>
    </w:tblStylePr>
    <w:tblStylePr w:type="band1Horz">
      <w:tblPr/>
      <w:tcPr>
        <w:tcBorders>
          <w:top w:val="single" w:sz="4" w:space="0" w:color="993533" w:themeColor="accent2"/>
          <w:bottom w:val="single" w:sz="4" w:space="0" w:color="99353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93533" w:themeColor="accent2"/>
          <w:left w:val="nil"/>
        </w:tcBorders>
      </w:tcPr>
    </w:tblStylePr>
    <w:tblStylePr w:type="swCell">
      <w:tblPr/>
      <w:tcPr>
        <w:tcBorders>
          <w:top w:val="double" w:sz="4" w:space="0" w:color="993533" w:themeColor="accent2"/>
          <w:right w:val="nil"/>
        </w:tcBorders>
      </w:tcPr>
    </w:tblStylePr>
  </w:style>
  <w:style w:type="table" w:styleId="ListTable3-Accent3">
    <w:name w:val="List Table 3 Accent 3"/>
    <w:basedOn w:val="TableNormal"/>
    <w:uiPriority w:val="48"/>
    <w:rsid w:val="00153C15"/>
    <w:pPr>
      <w:spacing w:after="0" w:line="240" w:lineRule="auto"/>
    </w:pPr>
    <w:tblPr>
      <w:tblStyleRowBandSize w:val="1"/>
      <w:tblStyleColBandSize w:val="1"/>
      <w:tblBorders>
        <w:top w:val="single" w:sz="4" w:space="0" w:color="00D3D1" w:themeColor="accent3"/>
        <w:left w:val="single" w:sz="4" w:space="0" w:color="00D3D1" w:themeColor="accent3"/>
        <w:bottom w:val="single" w:sz="4" w:space="0" w:color="00D3D1" w:themeColor="accent3"/>
        <w:right w:val="single" w:sz="4" w:space="0" w:color="00D3D1" w:themeColor="accent3"/>
      </w:tblBorders>
    </w:tblPr>
    <w:tblStylePr w:type="firstRow">
      <w:rPr>
        <w:b/>
        <w:bCs/>
        <w:color w:val="FFFFFF" w:themeColor="background1"/>
      </w:rPr>
      <w:tblPr/>
      <w:tcPr>
        <w:shd w:val="clear" w:color="auto" w:fill="00D3D1" w:themeFill="accent3"/>
      </w:tcPr>
    </w:tblStylePr>
    <w:tblStylePr w:type="lastRow">
      <w:rPr>
        <w:b/>
        <w:bCs/>
      </w:rPr>
      <w:tblPr/>
      <w:tcPr>
        <w:tcBorders>
          <w:top w:val="double" w:sz="4" w:space="0" w:color="00D3D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D3D1" w:themeColor="accent3"/>
          <w:right w:val="single" w:sz="4" w:space="0" w:color="00D3D1" w:themeColor="accent3"/>
        </w:tcBorders>
      </w:tcPr>
    </w:tblStylePr>
    <w:tblStylePr w:type="band1Horz">
      <w:tblPr/>
      <w:tcPr>
        <w:tcBorders>
          <w:top w:val="single" w:sz="4" w:space="0" w:color="00D3D1" w:themeColor="accent3"/>
          <w:bottom w:val="single" w:sz="4" w:space="0" w:color="00D3D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D3D1" w:themeColor="accent3"/>
          <w:left w:val="nil"/>
        </w:tcBorders>
      </w:tcPr>
    </w:tblStylePr>
    <w:tblStylePr w:type="swCell">
      <w:tblPr/>
      <w:tcPr>
        <w:tcBorders>
          <w:top w:val="double" w:sz="4" w:space="0" w:color="00D3D1" w:themeColor="accent3"/>
          <w:right w:val="nil"/>
        </w:tcBorders>
      </w:tcPr>
    </w:tblStylePr>
  </w:style>
  <w:style w:type="paragraph" w:styleId="IntenseQuote">
    <w:name w:val="Intense Quote"/>
    <w:basedOn w:val="Normal"/>
    <w:next w:val="Normal"/>
    <w:link w:val="IntenseQuoteChar"/>
    <w:uiPriority w:val="30"/>
    <w:rsid w:val="000A75CB"/>
    <w:pPr>
      <w:pBdr>
        <w:top w:val="single" w:sz="4" w:space="6" w:color="15659B" w:themeColor="accent4"/>
        <w:bottom w:val="single" w:sz="4" w:space="6" w:color="15659B" w:themeColor="accent4"/>
      </w:pBdr>
      <w:spacing w:before="360" w:after="360"/>
      <w:ind w:right="2835"/>
      <w:jc w:val="center"/>
    </w:pPr>
    <w:rPr>
      <w:b/>
      <w:iCs/>
      <w:sz w:val="24"/>
    </w:rPr>
  </w:style>
  <w:style w:type="character" w:customStyle="1" w:styleId="IntenseQuoteChar">
    <w:name w:val="Intense Quote Char"/>
    <w:basedOn w:val="DefaultParagraphFont"/>
    <w:link w:val="IntenseQuote"/>
    <w:uiPriority w:val="30"/>
    <w:rsid w:val="000A75CB"/>
    <w:rPr>
      <w:b/>
      <w:iCs/>
      <w:sz w:val="24"/>
    </w:rPr>
  </w:style>
  <w:style w:type="paragraph" w:customStyle="1" w:styleId="Calloutbox">
    <w:name w:val="Call out box"/>
    <w:basedOn w:val="Normal"/>
    <w:rsid w:val="00266F7C"/>
    <w:pPr>
      <w:pBdr>
        <w:top w:val="single" w:sz="4" w:space="6" w:color="E7E6E6" w:themeColor="background2"/>
        <w:left w:val="single" w:sz="4" w:space="4" w:color="E7E6E6" w:themeColor="background2"/>
        <w:bottom w:val="single" w:sz="4" w:space="6" w:color="E7E6E6" w:themeColor="background2"/>
        <w:right w:val="single" w:sz="4" w:space="4" w:color="E7E6E6" w:themeColor="background2"/>
      </w:pBdr>
      <w:shd w:val="clear" w:color="auto" w:fill="E7E6E6" w:themeFill="background2"/>
    </w:pPr>
  </w:style>
  <w:style w:type="character" w:customStyle="1" w:styleId="Heading6Char">
    <w:name w:val="Heading 6 Char"/>
    <w:basedOn w:val="DefaultParagraphFont"/>
    <w:link w:val="Heading6"/>
    <w:uiPriority w:val="9"/>
    <w:rsid w:val="00C50A9A"/>
    <w:rPr>
      <w:rFonts w:asciiTheme="majorHAnsi" w:eastAsiaTheme="majorEastAsia" w:hAnsiTheme="majorHAnsi" w:cstheme="majorBidi"/>
      <w:color w:val="000000" w:themeColor="text1"/>
      <w:sz w:val="24"/>
    </w:rPr>
  </w:style>
  <w:style w:type="table" w:styleId="GridTable4-Accent2">
    <w:name w:val="Grid Table 4 Accent 2"/>
    <w:basedOn w:val="TableNormal"/>
    <w:uiPriority w:val="49"/>
    <w:rsid w:val="004D3B0F"/>
    <w:pPr>
      <w:spacing w:after="0" w:line="240" w:lineRule="auto"/>
    </w:pPr>
    <w:tblPr>
      <w:tblStyleRowBandSize w:val="1"/>
      <w:tblStyleColBandSize w:val="1"/>
      <w:tblBorders>
        <w:top w:val="single" w:sz="4" w:space="0" w:color="D17675" w:themeColor="accent2" w:themeTint="99"/>
        <w:left w:val="single" w:sz="4" w:space="0" w:color="D17675" w:themeColor="accent2" w:themeTint="99"/>
        <w:bottom w:val="single" w:sz="4" w:space="0" w:color="D17675" w:themeColor="accent2" w:themeTint="99"/>
        <w:right w:val="single" w:sz="4" w:space="0" w:color="D17675" w:themeColor="accent2" w:themeTint="99"/>
        <w:insideH w:val="single" w:sz="4" w:space="0" w:color="D17675" w:themeColor="accent2" w:themeTint="99"/>
        <w:insideV w:val="single" w:sz="4" w:space="0" w:color="D17675" w:themeColor="accent2" w:themeTint="99"/>
      </w:tblBorders>
    </w:tblPr>
    <w:tblStylePr w:type="firstRow">
      <w:rPr>
        <w:b/>
        <w:bCs/>
        <w:color w:val="FFFFFF" w:themeColor="background1"/>
      </w:rPr>
      <w:tblPr/>
      <w:tcPr>
        <w:tcBorders>
          <w:top w:val="single" w:sz="4" w:space="0" w:color="993533" w:themeColor="accent2"/>
          <w:left w:val="single" w:sz="4" w:space="0" w:color="993533" w:themeColor="accent2"/>
          <w:bottom w:val="single" w:sz="4" w:space="0" w:color="993533" w:themeColor="accent2"/>
          <w:right w:val="single" w:sz="4" w:space="0" w:color="993533" w:themeColor="accent2"/>
          <w:insideH w:val="nil"/>
          <w:insideV w:val="nil"/>
        </w:tcBorders>
        <w:shd w:val="clear" w:color="auto" w:fill="993533" w:themeFill="accent2"/>
      </w:tcPr>
    </w:tblStylePr>
    <w:tblStylePr w:type="lastRow">
      <w:rPr>
        <w:b/>
        <w:bCs/>
      </w:rPr>
      <w:tblPr/>
      <w:tcPr>
        <w:tcBorders>
          <w:top w:val="double" w:sz="4" w:space="0" w:color="993533" w:themeColor="accent2"/>
        </w:tcBorders>
      </w:tcPr>
    </w:tblStylePr>
    <w:tblStylePr w:type="firstCol">
      <w:rPr>
        <w:b/>
        <w:bCs/>
      </w:rPr>
    </w:tblStylePr>
    <w:tblStylePr w:type="lastCol">
      <w:rPr>
        <w:b/>
        <w:bCs/>
      </w:rPr>
    </w:tblStylePr>
    <w:tblStylePr w:type="band1Vert">
      <w:tblPr/>
      <w:tcPr>
        <w:shd w:val="clear" w:color="auto" w:fill="EFD1D1" w:themeFill="accent2" w:themeFillTint="33"/>
      </w:tcPr>
    </w:tblStylePr>
    <w:tblStylePr w:type="band1Horz">
      <w:tblPr/>
      <w:tcPr>
        <w:shd w:val="clear" w:color="auto" w:fill="EFD1D1" w:themeFill="accent2" w:themeFillTint="33"/>
      </w:tcPr>
    </w:tblStylePr>
  </w:style>
  <w:style w:type="table" w:styleId="GridTable1Light-Accent2">
    <w:name w:val="Grid Table 1 Light Accent 2"/>
    <w:basedOn w:val="TableNormal"/>
    <w:uiPriority w:val="46"/>
    <w:rsid w:val="004D3B0F"/>
    <w:pPr>
      <w:spacing w:after="0" w:line="240" w:lineRule="auto"/>
    </w:pPr>
    <w:tblPr>
      <w:tblStyleRowBandSize w:val="1"/>
      <w:tblStyleColBandSize w:val="1"/>
      <w:tblBorders>
        <w:top w:val="single" w:sz="4" w:space="0" w:color="E0A4A3" w:themeColor="accent2" w:themeTint="66"/>
        <w:left w:val="single" w:sz="4" w:space="0" w:color="E0A4A3" w:themeColor="accent2" w:themeTint="66"/>
        <w:bottom w:val="single" w:sz="4" w:space="0" w:color="E0A4A3" w:themeColor="accent2" w:themeTint="66"/>
        <w:right w:val="single" w:sz="4" w:space="0" w:color="E0A4A3" w:themeColor="accent2" w:themeTint="66"/>
        <w:insideH w:val="single" w:sz="4" w:space="0" w:color="E0A4A3" w:themeColor="accent2" w:themeTint="66"/>
        <w:insideV w:val="single" w:sz="4" w:space="0" w:color="E0A4A3" w:themeColor="accent2" w:themeTint="66"/>
      </w:tblBorders>
    </w:tblPr>
    <w:tblStylePr w:type="firstRow">
      <w:rPr>
        <w:b/>
        <w:bCs/>
      </w:rPr>
      <w:tblPr/>
      <w:tcPr>
        <w:tcBorders>
          <w:bottom w:val="single" w:sz="12" w:space="0" w:color="D17675" w:themeColor="accent2" w:themeTint="99"/>
        </w:tcBorders>
      </w:tcPr>
    </w:tblStylePr>
    <w:tblStylePr w:type="lastRow">
      <w:rPr>
        <w:b/>
        <w:bCs/>
      </w:rPr>
      <w:tblPr/>
      <w:tcPr>
        <w:tcBorders>
          <w:top w:val="double" w:sz="2" w:space="0" w:color="D17675" w:themeColor="accent2"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4D3B0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3D1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1B3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1B3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1B3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1B35" w:themeFill="accent1"/>
      </w:tcPr>
    </w:tblStylePr>
    <w:tblStylePr w:type="band1Vert">
      <w:tblPr/>
      <w:tcPr>
        <w:shd w:val="clear" w:color="auto" w:fill="48A4FF" w:themeFill="accent1" w:themeFillTint="66"/>
      </w:tcPr>
    </w:tblStylePr>
    <w:tblStylePr w:type="band1Horz">
      <w:tblPr/>
      <w:tcPr>
        <w:shd w:val="clear" w:color="auto" w:fill="48A4FF" w:themeFill="accent1" w:themeFillTint="66"/>
      </w:tcPr>
    </w:tblStylePr>
  </w:style>
  <w:style w:type="table" w:styleId="GridTable4-Accent1">
    <w:name w:val="Grid Table 4 Accent 1"/>
    <w:basedOn w:val="TableNormal"/>
    <w:uiPriority w:val="49"/>
    <w:rsid w:val="00F32757"/>
    <w:pPr>
      <w:spacing w:after="0" w:line="240" w:lineRule="auto"/>
    </w:pPr>
    <w:tblPr>
      <w:tblStyleRowBandSize w:val="1"/>
      <w:tblStyleColBandSize w:val="1"/>
      <w:tblBorders>
        <w:top w:val="single" w:sz="4" w:space="0" w:color="0077EB" w:themeColor="accent1" w:themeTint="99"/>
        <w:left w:val="single" w:sz="4" w:space="0" w:color="0077EB" w:themeColor="accent1" w:themeTint="99"/>
        <w:bottom w:val="single" w:sz="4" w:space="0" w:color="0077EB" w:themeColor="accent1" w:themeTint="99"/>
        <w:right w:val="single" w:sz="4" w:space="0" w:color="0077EB" w:themeColor="accent1" w:themeTint="99"/>
        <w:insideH w:val="single" w:sz="4" w:space="0" w:color="0077EB" w:themeColor="accent1" w:themeTint="99"/>
        <w:insideV w:val="single" w:sz="4" w:space="0" w:color="0077EB" w:themeColor="accent1" w:themeTint="99"/>
      </w:tblBorders>
    </w:tblPr>
    <w:tblStylePr w:type="firstRow">
      <w:rPr>
        <w:b/>
        <w:bCs/>
        <w:color w:val="FFFFFF" w:themeColor="background1"/>
      </w:rPr>
      <w:tblPr/>
      <w:tcPr>
        <w:shd w:val="clear" w:color="auto" w:fill="001427" w:themeFill="accent1" w:themeFillShade="BF"/>
      </w:tcPr>
    </w:tblStylePr>
    <w:tblStylePr w:type="lastRow">
      <w:rPr>
        <w:b/>
        <w:bCs/>
      </w:rPr>
      <w:tblPr/>
      <w:tcPr>
        <w:tcBorders>
          <w:top w:val="double" w:sz="4" w:space="0" w:color="001B35" w:themeColor="accent1"/>
        </w:tcBorders>
      </w:tcPr>
    </w:tblStylePr>
    <w:tblStylePr w:type="firstCol">
      <w:rPr>
        <w:b/>
        <w:bCs/>
      </w:rPr>
    </w:tblStylePr>
    <w:tblStylePr w:type="lastCol">
      <w:rPr>
        <w:b/>
        <w:bCs/>
      </w:rPr>
    </w:tblStylePr>
    <w:tblStylePr w:type="band1Vert">
      <w:tblPr/>
      <w:tcPr>
        <w:shd w:val="clear" w:color="auto" w:fill="A3D1FF" w:themeFill="accent1" w:themeFillTint="33"/>
      </w:tcPr>
    </w:tblStylePr>
    <w:tblStylePr w:type="band1Horz">
      <w:tblPr/>
      <w:tcPr>
        <w:shd w:val="clear" w:color="auto" w:fill="A3D1FF" w:themeFill="accent1" w:themeFillTint="33"/>
      </w:tcPr>
    </w:tblStylePr>
  </w:style>
  <w:style w:type="table" w:styleId="GridTable4-Accent5">
    <w:name w:val="Grid Table 4 Accent 5"/>
    <w:basedOn w:val="TableNormal"/>
    <w:uiPriority w:val="49"/>
    <w:rsid w:val="004D3B0F"/>
    <w:pPr>
      <w:spacing w:after="0" w:line="240" w:lineRule="auto"/>
    </w:pPr>
    <w:tblPr>
      <w:tblStyleRowBandSize w:val="1"/>
      <w:tblStyleColBandSize w:val="1"/>
      <w:tblBorders>
        <w:top w:val="single" w:sz="4" w:space="0" w:color="EFFDB9" w:themeColor="accent5" w:themeTint="99"/>
        <w:left w:val="single" w:sz="4" w:space="0" w:color="EFFDB9" w:themeColor="accent5" w:themeTint="99"/>
        <w:bottom w:val="single" w:sz="4" w:space="0" w:color="EFFDB9" w:themeColor="accent5" w:themeTint="99"/>
        <w:right w:val="single" w:sz="4" w:space="0" w:color="EFFDB9" w:themeColor="accent5" w:themeTint="99"/>
        <w:insideH w:val="single" w:sz="4" w:space="0" w:color="EFFDB9" w:themeColor="accent5" w:themeTint="99"/>
        <w:insideV w:val="single" w:sz="4" w:space="0" w:color="EFFDB9" w:themeColor="accent5" w:themeTint="99"/>
      </w:tblBorders>
    </w:tblPr>
    <w:tblStylePr w:type="firstRow">
      <w:rPr>
        <w:b/>
        <w:bCs/>
        <w:color w:val="FFFFFF" w:themeColor="background1"/>
      </w:rPr>
      <w:tblPr/>
      <w:tcPr>
        <w:tcBorders>
          <w:top w:val="single" w:sz="4" w:space="0" w:color="E5FD8C" w:themeColor="accent5"/>
          <w:left w:val="single" w:sz="4" w:space="0" w:color="E5FD8C" w:themeColor="accent5"/>
          <w:bottom w:val="single" w:sz="4" w:space="0" w:color="E5FD8C" w:themeColor="accent5"/>
          <w:right w:val="single" w:sz="4" w:space="0" w:color="E5FD8C" w:themeColor="accent5"/>
          <w:insideH w:val="nil"/>
          <w:insideV w:val="nil"/>
        </w:tcBorders>
        <w:shd w:val="clear" w:color="auto" w:fill="E5FD8C" w:themeFill="accent5"/>
      </w:tcPr>
    </w:tblStylePr>
    <w:tblStylePr w:type="lastRow">
      <w:rPr>
        <w:b/>
        <w:bCs/>
      </w:rPr>
      <w:tblPr/>
      <w:tcPr>
        <w:tcBorders>
          <w:top w:val="double" w:sz="4" w:space="0" w:color="E5FD8C" w:themeColor="accent5"/>
        </w:tcBorders>
      </w:tcPr>
    </w:tblStylePr>
    <w:tblStylePr w:type="firstCol">
      <w:rPr>
        <w:b/>
        <w:bCs/>
      </w:rPr>
    </w:tblStylePr>
    <w:tblStylePr w:type="lastCol">
      <w:rPr>
        <w:b/>
        <w:bCs/>
      </w:rPr>
    </w:tblStylePr>
    <w:tblStylePr w:type="band1Vert">
      <w:tblPr/>
      <w:tcPr>
        <w:shd w:val="clear" w:color="auto" w:fill="F9FEE7" w:themeFill="accent5" w:themeFillTint="33"/>
      </w:tcPr>
    </w:tblStylePr>
    <w:tblStylePr w:type="band1Horz">
      <w:tblPr/>
      <w:tcPr>
        <w:shd w:val="clear" w:color="auto" w:fill="F9FEE7" w:themeFill="accent5" w:themeFillTint="33"/>
      </w:tcPr>
    </w:tblStylePr>
  </w:style>
  <w:style w:type="table" w:styleId="GridTable4-Accent4">
    <w:name w:val="Grid Table 4 Accent 4"/>
    <w:aliases w:val="DISR banded - Table 2"/>
    <w:basedOn w:val="TableNormal"/>
    <w:uiPriority w:val="49"/>
    <w:rsid w:val="005777BC"/>
    <w:pPr>
      <w:spacing w:after="0" w:line="240" w:lineRule="auto"/>
    </w:pPr>
    <w:tblPr>
      <w:tblStyleRowBandSize w:val="1"/>
      <w:tblStyleColBandSize w:val="1"/>
      <w:tblBorders>
        <w:top w:val="single" w:sz="4" w:space="0" w:color="15659B" w:themeColor="accent4"/>
        <w:left w:val="single" w:sz="4" w:space="0" w:color="15659B" w:themeColor="accent4"/>
        <w:bottom w:val="single" w:sz="4" w:space="0" w:color="15659B" w:themeColor="accent4"/>
        <w:right w:val="single" w:sz="4" w:space="0" w:color="15659B" w:themeColor="accent4"/>
        <w:insideH w:val="single" w:sz="4" w:space="0" w:color="15659B" w:themeColor="accent4"/>
        <w:insideV w:val="single" w:sz="4" w:space="0" w:color="15659B" w:themeColor="accent4"/>
      </w:tblBorders>
    </w:tblPr>
    <w:tblStylePr w:type="firstRow">
      <w:rPr>
        <w:b/>
        <w:bCs/>
        <w:color w:val="FFFFFF" w:themeColor="background1"/>
      </w:rPr>
      <w:tblPr/>
      <w:tcPr>
        <w:tcBorders>
          <w:top w:val="single" w:sz="4" w:space="0" w:color="15659B" w:themeColor="accent4"/>
          <w:left w:val="single" w:sz="4" w:space="0" w:color="15659B" w:themeColor="accent4"/>
          <w:bottom w:val="single" w:sz="4" w:space="0" w:color="15659B" w:themeColor="accent4"/>
          <w:right w:val="single" w:sz="4" w:space="0" w:color="15659B" w:themeColor="accent4"/>
          <w:insideH w:val="nil"/>
          <w:insideV w:val="nil"/>
        </w:tcBorders>
        <w:shd w:val="clear" w:color="auto" w:fill="15659B" w:themeFill="accent4"/>
      </w:tcPr>
    </w:tblStylePr>
    <w:tblStylePr w:type="lastRow">
      <w:rPr>
        <w:b/>
        <w:bCs/>
      </w:rPr>
      <w:tblPr/>
      <w:tcPr>
        <w:tcBorders>
          <w:top w:val="single" w:sz="18" w:space="0" w:color="15659B" w:themeColor="accent4"/>
        </w:tcBorders>
      </w:tcPr>
    </w:tblStylePr>
    <w:tblStylePr w:type="firstCol">
      <w:rPr>
        <w:b/>
        <w:bCs/>
      </w:rPr>
    </w:tblStylePr>
    <w:tblStylePr w:type="lastCol">
      <w:rPr>
        <w:b/>
        <w:bCs/>
      </w:rPr>
    </w:tblStylePr>
    <w:tblStylePr w:type="band1Vert">
      <w:tblPr/>
      <w:tcPr>
        <w:shd w:val="clear" w:color="auto" w:fill="C4E2F7" w:themeFill="accent4" w:themeFillTint="33"/>
      </w:tcPr>
    </w:tblStylePr>
    <w:tblStylePr w:type="band1Horz">
      <w:tblPr/>
      <w:tcPr>
        <w:shd w:val="clear" w:color="auto" w:fill="E7E6E6" w:themeFill="background2"/>
      </w:tcPr>
    </w:tblStylePr>
  </w:style>
  <w:style w:type="table" w:styleId="GridTable4-Accent3">
    <w:name w:val="Grid Table 4 Accent 3"/>
    <w:basedOn w:val="TableNormal"/>
    <w:uiPriority w:val="49"/>
    <w:rsid w:val="004D3B0F"/>
    <w:pPr>
      <w:spacing w:after="0" w:line="240" w:lineRule="auto"/>
    </w:pPr>
    <w:tblPr>
      <w:tblStyleRowBandSize w:val="1"/>
      <w:tblStyleColBandSize w:val="1"/>
      <w:tblBorders>
        <w:top w:val="single" w:sz="4" w:space="0" w:color="4BFFFC" w:themeColor="accent3" w:themeTint="99"/>
        <w:left w:val="single" w:sz="4" w:space="0" w:color="4BFFFC" w:themeColor="accent3" w:themeTint="99"/>
        <w:bottom w:val="single" w:sz="4" w:space="0" w:color="4BFFFC" w:themeColor="accent3" w:themeTint="99"/>
        <w:right w:val="single" w:sz="4" w:space="0" w:color="4BFFFC" w:themeColor="accent3" w:themeTint="99"/>
        <w:insideH w:val="single" w:sz="4" w:space="0" w:color="4BFFFC" w:themeColor="accent3" w:themeTint="99"/>
        <w:insideV w:val="single" w:sz="4" w:space="0" w:color="4BFFFC" w:themeColor="accent3" w:themeTint="99"/>
      </w:tblBorders>
    </w:tblPr>
    <w:tblStylePr w:type="firstRow">
      <w:rPr>
        <w:b/>
        <w:bCs/>
        <w:color w:val="FFFFFF" w:themeColor="background1"/>
      </w:rPr>
      <w:tblPr/>
      <w:tcPr>
        <w:tcBorders>
          <w:top w:val="single" w:sz="4" w:space="0" w:color="00D3D1" w:themeColor="accent3"/>
          <w:left w:val="single" w:sz="4" w:space="0" w:color="00D3D1" w:themeColor="accent3"/>
          <w:bottom w:val="single" w:sz="4" w:space="0" w:color="00D3D1" w:themeColor="accent3"/>
          <w:right w:val="single" w:sz="4" w:space="0" w:color="00D3D1" w:themeColor="accent3"/>
          <w:insideH w:val="nil"/>
          <w:insideV w:val="nil"/>
        </w:tcBorders>
        <w:shd w:val="clear" w:color="auto" w:fill="00D3D1" w:themeFill="accent3"/>
      </w:tcPr>
    </w:tblStylePr>
    <w:tblStylePr w:type="lastRow">
      <w:rPr>
        <w:b/>
        <w:bCs/>
      </w:rPr>
      <w:tblPr/>
      <w:tcPr>
        <w:tcBorders>
          <w:top w:val="double" w:sz="4" w:space="0" w:color="00D3D1" w:themeColor="accent3"/>
        </w:tcBorders>
      </w:tcPr>
    </w:tblStylePr>
    <w:tblStylePr w:type="firstCol">
      <w:rPr>
        <w:b/>
        <w:bCs/>
      </w:rPr>
    </w:tblStylePr>
    <w:tblStylePr w:type="lastCol">
      <w:rPr>
        <w:b/>
        <w:bCs/>
      </w:rPr>
    </w:tblStylePr>
    <w:tblStylePr w:type="band1Vert">
      <w:tblPr/>
      <w:tcPr>
        <w:shd w:val="clear" w:color="auto" w:fill="C3FFFE" w:themeFill="accent3" w:themeFillTint="33"/>
      </w:tcPr>
    </w:tblStylePr>
    <w:tblStylePr w:type="band1Horz">
      <w:tblPr/>
      <w:tcPr>
        <w:shd w:val="clear" w:color="auto" w:fill="C3FFFE" w:themeFill="accent3" w:themeFillTint="33"/>
      </w:tcPr>
    </w:tblStylePr>
  </w:style>
  <w:style w:type="paragraph" w:customStyle="1" w:styleId="Authoranddate">
    <w:name w:val="Author and date"/>
    <w:basedOn w:val="Subtitle"/>
    <w:link w:val="AuthoranddateChar"/>
    <w:rsid w:val="001D51DA"/>
    <w:rPr>
      <w:szCs w:val="40"/>
    </w:rPr>
  </w:style>
  <w:style w:type="character" w:customStyle="1" w:styleId="AuthoranddateChar">
    <w:name w:val="Author and date Char"/>
    <w:basedOn w:val="SubtitleChar"/>
    <w:link w:val="Authoranddate"/>
    <w:rsid w:val="001D51DA"/>
    <w:rPr>
      <w:rFonts w:ascii="Aptos" w:eastAsiaTheme="minorEastAsia" w:hAnsi="Aptos"/>
      <w:color w:val="E7E6E6" w:themeColor="background2"/>
      <w:sz w:val="40"/>
      <w:szCs w:val="40"/>
    </w:rPr>
  </w:style>
  <w:style w:type="character" w:customStyle="1" w:styleId="Heading7Char">
    <w:name w:val="Heading 7 Char"/>
    <w:basedOn w:val="DefaultParagraphFont"/>
    <w:link w:val="Heading7"/>
    <w:uiPriority w:val="9"/>
    <w:rsid w:val="00C50A9A"/>
    <w:rPr>
      <w:rFonts w:asciiTheme="majorHAnsi" w:eastAsiaTheme="majorEastAsia" w:hAnsiTheme="majorHAnsi" w:cstheme="majorBidi"/>
      <w:b/>
      <w:iCs/>
      <w:color w:val="001B35" w:themeColor="accent1"/>
    </w:rPr>
  </w:style>
  <w:style w:type="character" w:styleId="UnresolvedMention">
    <w:name w:val="Unresolved Mention"/>
    <w:basedOn w:val="DefaultParagraphFont"/>
    <w:uiPriority w:val="99"/>
    <w:semiHidden/>
    <w:unhideWhenUsed/>
    <w:rsid w:val="00282ED3"/>
    <w:rPr>
      <w:color w:val="605E5C"/>
      <w:shd w:val="clear" w:color="auto" w:fill="E1DFDD"/>
    </w:rPr>
  </w:style>
  <w:style w:type="table" w:styleId="GridTable4">
    <w:name w:val="Grid Table 4"/>
    <w:basedOn w:val="TableNormal"/>
    <w:uiPriority w:val="49"/>
    <w:rsid w:val="0040603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3-Accent4">
    <w:name w:val="List Table 3 Accent 4"/>
    <w:basedOn w:val="TableNormal"/>
    <w:uiPriority w:val="48"/>
    <w:rsid w:val="0031654A"/>
    <w:pPr>
      <w:spacing w:after="0" w:line="240" w:lineRule="auto"/>
    </w:pPr>
    <w:tblPr>
      <w:tblStyleRowBandSize w:val="1"/>
      <w:tblStyleColBandSize w:val="1"/>
      <w:tblBorders>
        <w:top w:val="single" w:sz="4" w:space="0" w:color="15659B" w:themeColor="accent4"/>
        <w:left w:val="single" w:sz="4" w:space="0" w:color="15659B" w:themeColor="accent4"/>
        <w:bottom w:val="single" w:sz="4" w:space="0" w:color="15659B" w:themeColor="accent4"/>
        <w:right w:val="single" w:sz="4" w:space="0" w:color="15659B" w:themeColor="accent4"/>
      </w:tblBorders>
    </w:tblPr>
    <w:tblStylePr w:type="firstRow">
      <w:rPr>
        <w:b/>
        <w:bCs/>
        <w:color w:val="FFFFFF" w:themeColor="background1"/>
      </w:rPr>
      <w:tblPr/>
      <w:tcPr>
        <w:shd w:val="clear" w:color="auto" w:fill="15659B" w:themeFill="accent4"/>
      </w:tcPr>
    </w:tblStylePr>
    <w:tblStylePr w:type="lastRow">
      <w:rPr>
        <w:b/>
        <w:bCs/>
      </w:rPr>
      <w:tblPr/>
      <w:tcPr>
        <w:tcBorders>
          <w:top w:val="double" w:sz="4" w:space="0" w:color="15659B"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5659B" w:themeColor="accent4"/>
          <w:right w:val="single" w:sz="4" w:space="0" w:color="15659B" w:themeColor="accent4"/>
        </w:tcBorders>
      </w:tcPr>
    </w:tblStylePr>
    <w:tblStylePr w:type="band1Horz">
      <w:tblPr/>
      <w:tcPr>
        <w:tcBorders>
          <w:top w:val="single" w:sz="4" w:space="0" w:color="15659B" w:themeColor="accent4"/>
          <w:bottom w:val="single" w:sz="4" w:space="0" w:color="15659B"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5659B" w:themeColor="accent4"/>
          <w:left w:val="nil"/>
        </w:tcBorders>
      </w:tcPr>
    </w:tblStylePr>
    <w:tblStylePr w:type="swCell">
      <w:tblPr/>
      <w:tcPr>
        <w:tcBorders>
          <w:top w:val="double" w:sz="4" w:space="0" w:color="15659B" w:themeColor="accent4"/>
          <w:right w:val="nil"/>
        </w:tcBorders>
      </w:tcPr>
    </w:tblStylePr>
  </w:style>
  <w:style w:type="paragraph" w:styleId="TOC4">
    <w:name w:val="toc 4"/>
    <w:basedOn w:val="Normal"/>
    <w:next w:val="Normal"/>
    <w:autoRedefine/>
    <w:uiPriority w:val="39"/>
    <w:unhideWhenUsed/>
    <w:rsid w:val="0043720A"/>
    <w:pPr>
      <w:spacing w:after="100"/>
      <w:ind w:left="442"/>
    </w:pPr>
  </w:style>
  <w:style w:type="paragraph" w:styleId="TOC5">
    <w:name w:val="toc 5"/>
    <w:basedOn w:val="Normal"/>
    <w:next w:val="Normal"/>
    <w:autoRedefine/>
    <w:uiPriority w:val="39"/>
    <w:unhideWhenUsed/>
    <w:rsid w:val="0043720A"/>
    <w:pPr>
      <w:spacing w:after="100"/>
      <w:ind w:left="601"/>
    </w:pPr>
  </w:style>
  <w:style w:type="paragraph" w:styleId="ListBullet">
    <w:name w:val="List Bullet"/>
    <w:basedOn w:val="Normal"/>
    <w:uiPriority w:val="99"/>
    <w:unhideWhenUsed/>
    <w:rsid w:val="00703734"/>
    <w:pPr>
      <w:numPr>
        <w:numId w:val="4"/>
      </w:numPr>
      <w:ind w:left="567" w:hanging="567"/>
      <w:contextualSpacing/>
    </w:pPr>
  </w:style>
  <w:style w:type="paragraph" w:styleId="ListBullet2">
    <w:name w:val="List Bullet 2"/>
    <w:basedOn w:val="Normal"/>
    <w:uiPriority w:val="99"/>
    <w:semiHidden/>
    <w:unhideWhenUsed/>
    <w:rsid w:val="00703734"/>
    <w:pPr>
      <w:numPr>
        <w:numId w:val="5"/>
      </w:numPr>
      <w:ind w:left="567" w:hanging="567"/>
      <w:contextualSpacing/>
    </w:pPr>
  </w:style>
  <w:style w:type="character" w:customStyle="1" w:styleId="Heading8Char">
    <w:name w:val="Heading 8 Char"/>
    <w:basedOn w:val="DefaultParagraphFont"/>
    <w:link w:val="Heading8"/>
    <w:uiPriority w:val="9"/>
    <w:rsid w:val="00C50A9A"/>
    <w:rPr>
      <w:rFonts w:asciiTheme="majorHAnsi" w:eastAsiaTheme="majorEastAsia" w:hAnsiTheme="majorHAnsi" w:cstheme="majorBidi"/>
      <w:color w:val="272727" w:themeColor="text1" w:themeTint="D8"/>
      <w:sz w:val="20"/>
      <w:szCs w:val="21"/>
    </w:rPr>
  </w:style>
  <w:style w:type="character" w:styleId="CommentReference">
    <w:name w:val="annotation reference"/>
    <w:basedOn w:val="DefaultParagraphFont"/>
    <w:uiPriority w:val="99"/>
    <w:semiHidden/>
    <w:unhideWhenUsed/>
    <w:rsid w:val="00FE4569"/>
    <w:rPr>
      <w:sz w:val="16"/>
      <w:szCs w:val="16"/>
    </w:rPr>
  </w:style>
  <w:style w:type="paragraph" w:styleId="CommentText">
    <w:name w:val="annotation text"/>
    <w:basedOn w:val="Normal"/>
    <w:link w:val="CommentTextChar"/>
    <w:uiPriority w:val="99"/>
    <w:unhideWhenUsed/>
    <w:rsid w:val="00FE4569"/>
    <w:rPr>
      <w:szCs w:val="20"/>
    </w:rPr>
  </w:style>
  <w:style w:type="character" w:customStyle="1" w:styleId="CommentTextChar">
    <w:name w:val="Comment Text Char"/>
    <w:basedOn w:val="DefaultParagraphFont"/>
    <w:link w:val="CommentText"/>
    <w:uiPriority w:val="99"/>
    <w:rsid w:val="00FE4569"/>
    <w:rPr>
      <w:sz w:val="20"/>
      <w:szCs w:val="20"/>
    </w:rPr>
  </w:style>
  <w:style w:type="paragraph" w:styleId="CommentSubject">
    <w:name w:val="annotation subject"/>
    <w:basedOn w:val="CommentText"/>
    <w:next w:val="CommentText"/>
    <w:link w:val="CommentSubjectChar"/>
    <w:uiPriority w:val="99"/>
    <w:semiHidden/>
    <w:unhideWhenUsed/>
    <w:rsid w:val="00FE4569"/>
    <w:rPr>
      <w:b/>
      <w:bCs/>
    </w:rPr>
  </w:style>
  <w:style w:type="character" w:customStyle="1" w:styleId="CommentSubjectChar">
    <w:name w:val="Comment Subject Char"/>
    <w:basedOn w:val="CommentTextChar"/>
    <w:link w:val="CommentSubject"/>
    <w:uiPriority w:val="99"/>
    <w:semiHidden/>
    <w:rsid w:val="00FE4569"/>
    <w:rPr>
      <w:b/>
      <w:bCs/>
      <w:sz w:val="20"/>
      <w:szCs w:val="20"/>
    </w:rPr>
  </w:style>
  <w:style w:type="character" w:customStyle="1" w:styleId="Heading9Char">
    <w:name w:val="Heading 9 Char"/>
    <w:basedOn w:val="DefaultParagraphFont"/>
    <w:link w:val="Heading9"/>
    <w:uiPriority w:val="9"/>
    <w:semiHidden/>
    <w:rsid w:val="0078041B"/>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2781">
      <w:bodyDiv w:val="1"/>
      <w:marLeft w:val="0"/>
      <w:marRight w:val="0"/>
      <w:marTop w:val="0"/>
      <w:marBottom w:val="0"/>
      <w:divBdr>
        <w:top w:val="none" w:sz="0" w:space="0" w:color="auto"/>
        <w:left w:val="none" w:sz="0" w:space="0" w:color="auto"/>
        <w:bottom w:val="none" w:sz="0" w:space="0" w:color="auto"/>
        <w:right w:val="none" w:sz="0" w:space="0" w:color="auto"/>
      </w:divBdr>
    </w:div>
    <w:div w:id="429009989">
      <w:bodyDiv w:val="1"/>
      <w:marLeft w:val="0"/>
      <w:marRight w:val="0"/>
      <w:marTop w:val="0"/>
      <w:marBottom w:val="0"/>
      <w:divBdr>
        <w:top w:val="none" w:sz="0" w:space="0" w:color="auto"/>
        <w:left w:val="none" w:sz="0" w:space="0" w:color="auto"/>
        <w:bottom w:val="none" w:sz="0" w:space="0" w:color="auto"/>
        <w:right w:val="none" w:sz="0" w:space="0" w:color="auto"/>
      </w:divBdr>
    </w:div>
    <w:div w:id="960920062">
      <w:bodyDiv w:val="1"/>
      <w:marLeft w:val="0"/>
      <w:marRight w:val="0"/>
      <w:marTop w:val="0"/>
      <w:marBottom w:val="0"/>
      <w:divBdr>
        <w:top w:val="none" w:sz="0" w:space="0" w:color="auto"/>
        <w:left w:val="none" w:sz="0" w:space="0" w:color="auto"/>
        <w:bottom w:val="none" w:sz="0" w:space="0" w:color="auto"/>
        <w:right w:val="none" w:sz="0" w:space="0" w:color="auto"/>
      </w:divBdr>
    </w:div>
    <w:div w:id="1047418297">
      <w:bodyDiv w:val="1"/>
      <w:marLeft w:val="0"/>
      <w:marRight w:val="0"/>
      <w:marTop w:val="0"/>
      <w:marBottom w:val="0"/>
      <w:divBdr>
        <w:top w:val="none" w:sz="0" w:space="0" w:color="auto"/>
        <w:left w:val="none" w:sz="0" w:space="0" w:color="auto"/>
        <w:bottom w:val="none" w:sz="0" w:space="0" w:color="auto"/>
        <w:right w:val="none" w:sz="0" w:space="0" w:color="auto"/>
      </w:divBdr>
    </w:div>
    <w:div w:id="1786582538">
      <w:bodyDiv w:val="1"/>
      <w:marLeft w:val="0"/>
      <w:marRight w:val="0"/>
      <w:marTop w:val="0"/>
      <w:marBottom w:val="0"/>
      <w:divBdr>
        <w:top w:val="none" w:sz="0" w:space="0" w:color="auto"/>
        <w:left w:val="none" w:sz="0" w:space="0" w:color="auto"/>
        <w:bottom w:val="none" w:sz="0" w:space="0" w:color="auto"/>
        <w:right w:val="none" w:sz="0" w:space="0" w:color="auto"/>
      </w:divBdr>
    </w:div>
    <w:div w:id="2066679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onlineservices.environment.gov.au/"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dcceew.gov.au/environment/protection/hazardous-waste"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dcceew.gov.au/environment/protection/hazardous-waste/conventions"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legislation.gov.au/C2004A03937/latest/text" TargetMode="External"/><Relationship Id="rId20" Type="http://schemas.openxmlformats.org/officeDocument/2006/relationships/hyperlink" Target="https://onlineservices.environment.gov.au/hazardous-waste/information"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MPFA@industry.gov.au"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business.gov.au/expertise-and-advice/major-projects-facilitation-agency/help-tool"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dcceew.gov.au/environment/protection/hazardous-waste/permit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mailto:hazardous.waste@dcceew.gov.au" TargetMode="External"/><Relationship Id="rId27"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mailto:MPFA@industry.gov.au" TargetMode="External"/><Relationship Id="rId1" Type="http://schemas.openxmlformats.org/officeDocument/2006/relationships/hyperlink" Target="http://www.business.gov.au/MPFA"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MPFA@industry.gov.au" TargetMode="External"/><Relationship Id="rId1" Type="http://schemas.openxmlformats.org/officeDocument/2006/relationships/hyperlink" Target="http://www.business.gov.au/MPF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d.protected.ind\Apps\APPS01\M365\Workgroup%20Templates\Departmental\DISR-docu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1986B45844B4990BC6B7097CC6940AD"/>
        <w:category>
          <w:name w:val="General"/>
          <w:gallery w:val="placeholder"/>
        </w:category>
        <w:types>
          <w:type w:val="bbPlcHdr"/>
        </w:types>
        <w:behaviors>
          <w:behavior w:val="content"/>
        </w:behaviors>
        <w:guid w:val="{E5626C1E-BB8D-48A3-B98B-65F8F5A9C192}"/>
      </w:docPartPr>
      <w:docPartBody>
        <w:p w:rsidR="003A16B7" w:rsidRDefault="003A16B7">
          <w:pPr>
            <w:pStyle w:val="71986B45844B4990BC6B7097CC6940AD"/>
          </w:pPr>
          <w:r w:rsidRPr="00DB39DE">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SemiBold">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6B7"/>
    <w:rsid w:val="00293BAA"/>
    <w:rsid w:val="003A16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1986B45844B4990BC6B7097CC6940AD">
    <w:name w:val="71986B45844B4990BC6B7097CC6940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DISR 2023">
      <a:dk1>
        <a:srgbClr val="000000"/>
      </a:dk1>
      <a:lt1>
        <a:sysClr val="window" lastClr="FFFFFF"/>
      </a:lt1>
      <a:dk2>
        <a:srgbClr val="095258"/>
      </a:dk2>
      <a:lt2>
        <a:srgbClr val="E7E6E6"/>
      </a:lt2>
      <a:accent1>
        <a:srgbClr val="001B35"/>
      </a:accent1>
      <a:accent2>
        <a:srgbClr val="993533"/>
      </a:accent2>
      <a:accent3>
        <a:srgbClr val="00D3D1"/>
      </a:accent3>
      <a:accent4>
        <a:srgbClr val="15659B"/>
      </a:accent4>
      <a:accent5>
        <a:srgbClr val="E5FD8C"/>
      </a:accent5>
      <a:accent6>
        <a:srgbClr val="B7E4F7"/>
      </a:accent6>
      <a:hlink>
        <a:srgbClr val="15659B"/>
      </a:hlink>
      <a:folHlink>
        <a:srgbClr val="954F72"/>
      </a:folHlink>
    </a:clrScheme>
    <a:fontScheme name="DISR Aptos 2023 v2">
      <a:majorFont>
        <a:latin typeface="Aptos SemiBold"/>
        <a:ea typeface=""/>
        <a:cs typeface=""/>
      </a:majorFont>
      <a:minorFont>
        <a:latin typeface="Apto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36bd50b-1532-4c22-b385-5c082c960938">
      <Value>52</Value>
      <Value>4417</Value>
      <Value>4442</Value>
      <Value>3</Value>
      <Value>7</Value>
    </TaxCatchAll>
    <adb9bed2e36e4a93af574aeb444da63e xmlns="a36bd50b-1532-4c22-b385-5c082c960938">
      <Terms xmlns="http://schemas.microsoft.com/office/infopath/2007/PartnerControls">
        <TermInfo xmlns="http://schemas.microsoft.com/office/infopath/2007/PartnerControls">
          <TermName xmlns="http://schemas.microsoft.com/office/infopath/2007/PartnerControls">MPFA Fact sheet</TermName>
          <TermId xmlns="http://schemas.microsoft.com/office/infopath/2007/PartnerControls">ef30a2d5-478e-4e19-a26d-0cfa456562ed</TermId>
        </TermInfo>
      </Terms>
    </adb9bed2e36e4a93af574aeb444da63e>
    <n99e4c9942c6404eb103464a00e6097b xmlns="a36bd50b-1532-4c22-b385-5c082c960938">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a9509632-5de2-45f9-9fc7-c24df7848880</TermId>
        </TermInfo>
      </Terms>
    </n99e4c9942c6404eb103464a00e6097b>
    <IconOverlay xmlns="http://schemas.microsoft.com/sharepoint/v4" xsi:nil="true"/>
    <pe2555c81638466f9eb614edb9ecde52 xmlns="a36bd50b-1532-4c22-b385-5c082c960938">
      <Terms xmlns="http://schemas.microsoft.com/office/infopath/2007/PartnerControls">
        <TermInfo xmlns="http://schemas.microsoft.com/office/infopath/2007/PartnerControls">
          <TermName xmlns="http://schemas.microsoft.com/office/infopath/2007/PartnerControls">Fact Sheet</TermName>
          <TermId xmlns="http://schemas.microsoft.com/office/infopath/2007/PartnerControls">38af007d-6d80-4dd0-9833-ef17489d7c7e</TermId>
        </TermInfo>
      </Terms>
    </pe2555c81638466f9eb614edb9ecde52>
    <aa25a1a23adf4c92a153145de6afe324 xmlns="a36bd50b-1532-4c22-b385-5c082c960938">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6106d03b-a1a0-4e30-9d91-d5e9fb4314f9</TermId>
        </TermInfo>
      </Terms>
    </aa25a1a23adf4c92a153145de6afe324>
    <g7bcb40ba23249a78edca7d43a67c1c9 xmlns="a36bd50b-1532-4c22-b385-5c082c960938">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cd41d649-1e1a-44f5-b99b-946d42ce56d6</TermId>
        </TermInfo>
      </Terms>
    </g7bcb40ba23249a78edca7d43a67c1c9>
    <Comments xmlns="http://schemas.microsoft.com/sharepoint/v3">2024 updates</Comments>
    <_dlc_DocId xmlns="a36bd50b-1532-4c22-b385-5c082c960938" xsi:nil="true"/>
    <_dlc_DocIdUrl xmlns="a36bd50b-1532-4c22-b385-5c082c960938">
      <Url xsi:nil="true"/>
      <Description xsi:nil="true"/>
    </_dlc_DocIdUrl>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96D55852D93604AA440876A3B15BB43" ma:contentTypeVersion="14" ma:contentTypeDescription="Create a new document." ma:contentTypeScope="" ma:versionID="780164a7762156836e5a3c9042e9904e">
  <xsd:schema xmlns:xsd="http://www.w3.org/2001/XMLSchema" xmlns:xs="http://www.w3.org/2001/XMLSchema" xmlns:p="http://schemas.microsoft.com/office/2006/metadata/properties" xmlns:ns1="http://schemas.microsoft.com/sharepoint/v3" xmlns:ns2="a36bd50b-1532-4c22-b385-5c082c960938" xmlns:ns3="e950eb60-a35e-4b14-88a9-41f408f74491" xmlns:ns4="http://schemas.microsoft.com/sharepoint/v4" targetNamespace="http://schemas.microsoft.com/office/2006/metadata/properties" ma:root="true" ma:fieldsID="f47454887633ca44c0b54924b796084f" ns1:_="" ns2:_="" ns3:_="" ns4:_="">
    <xsd:import namespace="http://schemas.microsoft.com/sharepoint/v3"/>
    <xsd:import namespace="a36bd50b-1532-4c22-b385-5c082c960938"/>
    <xsd:import namespace="e950eb60-a35e-4b14-88a9-41f408f7449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3:SharedWithUsers"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6bd50b-1532-4c22-b385-5c082c96093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description="" ma:hidden="true" ma:list="{2dff2eb7-e297-4992-b865-1a47fdf64e6a}" ma:internalName="TaxCatchAll" ma:showField="CatchAllData" ma:web="e950eb60-a35e-4b14-88a9-41f408f7449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bacf7d73-44f1-4bad-9de4-dfdec5c74e03"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950eb60-a35e-4b14-88a9-41f408f74491"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7BCF5D-ECED-40B9-848C-61973DAC72C5}">
  <ds:schemaRefs>
    <ds:schemaRef ds:uri="http://schemas.openxmlformats.org/package/2006/metadata/core-properties"/>
    <ds:schemaRef ds:uri="http://schemas.microsoft.com/office/2006/metadata/properties"/>
    <ds:schemaRef ds:uri="http://schemas.microsoft.com/sharepoint/v3"/>
    <ds:schemaRef ds:uri="http://schemas.microsoft.com/office/infopath/2007/PartnerControls"/>
    <ds:schemaRef ds:uri="a36bd50b-1532-4c22-b385-5c082c960938"/>
    <ds:schemaRef ds:uri="http://purl.org/dc/dcmitype/"/>
    <ds:schemaRef ds:uri="http://purl.org/dc/elements/1.1/"/>
    <ds:schemaRef ds:uri="http://schemas.microsoft.com/sharepoint/v4"/>
    <ds:schemaRef ds:uri="http://schemas.microsoft.com/office/2006/documentManagement/types"/>
    <ds:schemaRef ds:uri="e950eb60-a35e-4b14-88a9-41f408f74491"/>
    <ds:schemaRef ds:uri="http://www.w3.org/XML/1998/namespace"/>
    <ds:schemaRef ds:uri="http://purl.org/dc/terms/"/>
  </ds:schemaRefs>
</ds:datastoreItem>
</file>

<file path=customXml/itemProps2.xml><?xml version="1.0" encoding="utf-8"?>
<ds:datastoreItem xmlns:ds="http://schemas.openxmlformats.org/officeDocument/2006/customXml" ds:itemID="{5218A426-2293-4A07-8069-76989BF31193}">
  <ds:schemaRefs>
    <ds:schemaRef ds:uri="http://schemas.openxmlformats.org/officeDocument/2006/bibliography"/>
  </ds:schemaRefs>
</ds:datastoreItem>
</file>

<file path=customXml/itemProps3.xml><?xml version="1.0" encoding="utf-8"?>
<ds:datastoreItem xmlns:ds="http://schemas.openxmlformats.org/officeDocument/2006/customXml" ds:itemID="{D699A0F7-6319-4AD1-B49D-427DDF0B2EE6}">
  <ds:schemaRefs>
    <ds:schemaRef ds:uri="http://schemas.microsoft.com/sharepoint/events"/>
  </ds:schemaRefs>
</ds:datastoreItem>
</file>

<file path=customXml/itemProps4.xml><?xml version="1.0" encoding="utf-8"?>
<ds:datastoreItem xmlns:ds="http://schemas.openxmlformats.org/officeDocument/2006/customXml" ds:itemID="{90E739B6-4CEA-4270-94D3-D49A654808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36bd50b-1532-4c22-b385-5c082c960938"/>
    <ds:schemaRef ds:uri="e950eb60-a35e-4b14-88a9-41f408f7449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45AE6EB-A8D4-4D9D-8D6C-A552C96C0E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DISR-document</Template>
  <TotalTime>0</TotalTime>
  <Pages>1</Pages>
  <Words>382</Words>
  <Characters>2171</Characters>
  <DocSecurity>0</DocSecurity>
  <Lines>59</Lines>
  <Paragraphs>25</Paragraphs>
  <ScaleCrop>false</ScaleCrop>
  <HeadingPairs>
    <vt:vector size="2" baseType="variant">
      <vt:variant>
        <vt:lpstr>Title</vt:lpstr>
      </vt:variant>
      <vt:variant>
        <vt:i4>1</vt:i4>
      </vt:variant>
    </vt:vector>
  </HeadingPairs>
  <TitlesOfParts>
    <vt:vector size="1" baseType="lpstr">
      <vt:lpstr>Hazardous Waste (Regulation of Exports and Imports) Act 1989</vt:lpstr>
    </vt:vector>
  </TitlesOfParts>
  <Manager/>
  <LinksUpToDate>false</LinksUpToDate>
  <CharactersWithSpaces>2534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Hazardous Waste (Regulation of Exports and Imports) Act 1989</dc:title>
  <dc:subject/>
  <dc:creator>MPFA@industry.gov.au</dc:creator>
  <cp:keywords/>
  <dc:description/>
  <cp:lastPrinted>2025-02-19T06:51:00Z</cp:lastPrinted>
  <dcterms:created xsi:type="dcterms:W3CDTF">2025-02-19T06:51:00Z</dcterms:created>
  <dcterms:modified xsi:type="dcterms:W3CDTF">2025-02-19T06:51:00Z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0x010100896D55852D93604AA440876A3B15BB43</vt:lpwstr>
  </property>
  <property fmtid="{D5CDD505-2E9C-101B-9397-08002B2CF9AE}" pid="3" name="MediaServiceImageTags">
    <vt:lpwstr/>
  </property>
  <property fmtid="{D5CDD505-2E9C-101B-9397-08002B2CF9AE}" pid="4" name="DocHub_Year">
    <vt:lpwstr>4417;#2024|a9509632-5de2-45f9-9fc7-c24df7848880</vt:lpwstr>
  </property>
  <property fmtid="{D5CDD505-2E9C-101B-9397-08002B2CF9AE}" pid="5" name="DocHub_DocumentType">
    <vt:lpwstr>52;#Fact Sheet|38af007d-6d80-4dd0-9833-ef17489d7c7e</vt:lpwstr>
  </property>
  <property fmtid="{D5CDD505-2E9C-101B-9397-08002B2CF9AE}" pid="6" name="DocHub_SecurityClassification">
    <vt:lpwstr>3;#OFFICIAL|6106d03b-a1a0-4e30-9d91-d5e9fb4314f9</vt:lpwstr>
  </property>
  <property fmtid="{D5CDD505-2E9C-101B-9397-08002B2CF9AE}" pid="7" name="DocHub_Keywords">
    <vt:lpwstr>4442;#MPFA Fact sheet|ef30a2d5-478e-4e19-a26d-0cfa456562ed</vt:lpwstr>
  </property>
  <property fmtid="{D5CDD505-2E9C-101B-9397-08002B2CF9AE}" pid="8" name="DocHub_WorkActivity">
    <vt:lpwstr>7;#Communication|cd41d649-1e1a-44f5-b99b-946d42ce56d6</vt:lpwstr>
  </property>
</Properties>
</file>