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04EBB" w14:textId="77777777" w:rsidR="006709E4" w:rsidRPr="00F02684" w:rsidRDefault="00765229" w:rsidP="00F02684">
      <w:pPr>
        <w:pStyle w:val="Heading1"/>
      </w:pPr>
      <w:r>
        <w:t>IMPORTING MACHINERY AND EQUIPMENT</w:t>
      </w:r>
    </w:p>
    <w:p w14:paraId="0D492392" w14:textId="77777777" w:rsidR="006709E4" w:rsidRPr="00F02684" w:rsidRDefault="006709E4" w:rsidP="00F02684">
      <w:pPr>
        <w:pStyle w:val="Heading1"/>
        <w:rPr>
          <w:rStyle w:val="SubtleEmphasis"/>
          <w:caps/>
        </w:rPr>
        <w:sectPr w:rsidR="006709E4" w:rsidRPr="00F02684" w:rsidSect="006709E4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851" w:bottom="851" w:left="851" w:header="567" w:footer="708" w:gutter="0"/>
          <w:cols w:space="708"/>
          <w:titlePg/>
          <w:docGrid w:linePitch="360"/>
        </w:sectPr>
      </w:pPr>
    </w:p>
    <w:p w14:paraId="49E63E07" w14:textId="77777777" w:rsidR="006709E4" w:rsidRDefault="00B33EDE" w:rsidP="006D4B5A">
      <w:pPr>
        <w:rPr>
          <w:rStyle w:val="SubtleEmphasis"/>
          <w:i w:val="0"/>
        </w:rPr>
      </w:pPr>
      <w:r>
        <w:rPr>
          <w:rStyle w:val="SubtleEmphasis"/>
        </w:rPr>
        <w:t xml:space="preserve">If your project involves importing </w:t>
      </w:r>
      <w:r w:rsidR="00765229">
        <w:rPr>
          <w:rStyle w:val="SubtleEmphasis"/>
        </w:rPr>
        <w:t>machinery and equipment</w:t>
      </w:r>
      <w:r w:rsidR="00CB2B32">
        <w:rPr>
          <w:rStyle w:val="SubtleEmphasis"/>
        </w:rPr>
        <w:t xml:space="preserve">, you must </w:t>
      </w:r>
      <w:r w:rsidR="009A10BD">
        <w:rPr>
          <w:rStyle w:val="SubtleEmphasis"/>
        </w:rPr>
        <w:t>meet the required import conditions as outlined in BICON</w:t>
      </w:r>
      <w:r w:rsidR="00FC235F">
        <w:rPr>
          <w:rStyle w:val="SubtleEmphasis"/>
        </w:rPr>
        <w:t xml:space="preserve"> </w:t>
      </w:r>
      <w:r>
        <w:rPr>
          <w:rStyle w:val="SubtleEmphasis"/>
        </w:rPr>
        <w:t xml:space="preserve">in accordance </w:t>
      </w:r>
      <w:r w:rsidR="00435E92">
        <w:rPr>
          <w:rStyle w:val="SubtleEmphasis"/>
        </w:rPr>
        <w:t>with</w:t>
      </w:r>
      <w:r>
        <w:rPr>
          <w:rStyle w:val="SubtleEmphasis"/>
        </w:rPr>
        <w:t xml:space="preserve"> </w:t>
      </w:r>
      <w:r w:rsidRPr="00B33EDE">
        <w:rPr>
          <w:rStyle w:val="SubtleEmphasis"/>
        </w:rPr>
        <w:t xml:space="preserve">the </w:t>
      </w:r>
      <w:r w:rsidR="000B2EC3">
        <w:rPr>
          <w:rStyle w:val="SubtleEmphasis"/>
        </w:rPr>
        <w:t>Biosecurity Act 2015</w:t>
      </w:r>
      <w:r>
        <w:rPr>
          <w:rStyle w:val="SubtleEmphasis"/>
          <w:i w:val="0"/>
        </w:rPr>
        <w:t>.</w:t>
      </w:r>
    </w:p>
    <w:p w14:paraId="7030AC17" w14:textId="77777777" w:rsidR="008A28F3" w:rsidRDefault="008A28F3" w:rsidP="006D4B5A">
      <w:pPr>
        <w:sectPr w:rsidR="008A28F3" w:rsidSect="006709E4">
          <w:type w:val="continuous"/>
          <w:pgSz w:w="11906" w:h="16838"/>
          <w:pgMar w:top="1276" w:right="851" w:bottom="851" w:left="851" w:header="567" w:footer="708" w:gutter="0"/>
          <w:cols w:space="708"/>
          <w:titlePg/>
          <w:docGrid w:linePitch="360"/>
        </w:sectPr>
      </w:pPr>
    </w:p>
    <w:p w14:paraId="1C5E445B" w14:textId="77777777" w:rsidR="008F698F" w:rsidRDefault="008F698F" w:rsidP="008A28F3">
      <w:pPr>
        <w:pStyle w:val="Heading2"/>
        <w:spacing w:before="0" w:after="120"/>
      </w:pPr>
    </w:p>
    <w:p w14:paraId="20E66FE8" w14:textId="77777777" w:rsidR="00B82084" w:rsidRPr="00257CDD" w:rsidRDefault="00B82084" w:rsidP="008A28F3">
      <w:pPr>
        <w:pStyle w:val="Heading2"/>
        <w:spacing w:before="0" w:after="120"/>
      </w:pPr>
      <w:r w:rsidRPr="00257CDD">
        <w:t>1.</w:t>
      </w:r>
      <w:r w:rsidRPr="00257CDD">
        <w:tab/>
      </w:r>
      <w:r w:rsidR="00EE717E" w:rsidRPr="00257CDD">
        <w:t xml:space="preserve">What </w:t>
      </w:r>
      <w:r w:rsidR="009A10BD" w:rsidRPr="00257CDD">
        <w:t xml:space="preserve">import conditions </w:t>
      </w:r>
      <w:r w:rsidR="00805DE1" w:rsidRPr="00257CDD">
        <w:t>do I need</w:t>
      </w:r>
      <w:r w:rsidR="009A10BD" w:rsidRPr="00257CDD">
        <w:t xml:space="preserve"> to meet</w:t>
      </w:r>
      <w:r w:rsidR="00805DE1" w:rsidRPr="00257CDD">
        <w:t>?</w:t>
      </w:r>
    </w:p>
    <w:p w14:paraId="4ECF70AE" w14:textId="0003759B" w:rsidR="001B35B0" w:rsidRDefault="00D84948" w:rsidP="008A28F3">
      <w:r>
        <w:t>Imported machinery and equipment become subject to biosecurity control</w:t>
      </w:r>
      <w:r w:rsidR="008B7B55">
        <w:t>s</w:t>
      </w:r>
      <w:r>
        <w:t xml:space="preserve"> </w:t>
      </w:r>
      <w:r w:rsidR="001B35B0">
        <w:t>up</w:t>
      </w:r>
      <w:r>
        <w:t>on entering Australian waters</w:t>
      </w:r>
      <w:r w:rsidR="006811DA">
        <w:t xml:space="preserve">. This equates to </w:t>
      </w:r>
      <w:r>
        <w:t>12 nautical miles offshore.</w:t>
      </w:r>
      <w:r w:rsidR="008B7B55" w:rsidRPr="008B7B55">
        <w:t xml:space="preserve"> </w:t>
      </w:r>
    </w:p>
    <w:p w14:paraId="56D5C30C" w14:textId="75A0C485" w:rsidR="00D84948" w:rsidRDefault="008B7B55" w:rsidP="008A28F3">
      <w:r>
        <w:t xml:space="preserve">Biosecurity legislation also </w:t>
      </w:r>
      <w:r w:rsidR="001B35B0">
        <w:t>applies</w:t>
      </w:r>
      <w:r>
        <w:t xml:space="preserve"> to packaging materials associated with the</w:t>
      </w:r>
      <w:r w:rsidR="001B35B0">
        <w:t xml:space="preserve"> importation of</w:t>
      </w:r>
      <w:r>
        <w:t xml:space="preserve"> machinery or equipment.</w:t>
      </w:r>
    </w:p>
    <w:p w14:paraId="61A88C55" w14:textId="77777777" w:rsidR="001B35B0" w:rsidRDefault="000B2EC3" w:rsidP="008A28F3">
      <w:r>
        <w:t>Used machinery that has come into contact with biosecurity contaminants incl</w:t>
      </w:r>
      <w:bookmarkStart w:id="0" w:name="_GoBack"/>
      <w:bookmarkEnd w:id="0"/>
      <w:r>
        <w:t>uding soil and plant material</w:t>
      </w:r>
      <w:r w:rsidR="001B35B0">
        <w:t xml:space="preserve"> must be clean</w:t>
      </w:r>
      <w:r w:rsidR="001432C4">
        <w:t>ed</w:t>
      </w:r>
      <w:r w:rsidR="001B35B0">
        <w:t xml:space="preserve"> prior to arrival in Australia</w:t>
      </w:r>
      <w:r w:rsidR="008B7B55">
        <w:t>.</w:t>
      </w:r>
      <w:r>
        <w:t xml:space="preserve"> </w:t>
      </w:r>
    </w:p>
    <w:p w14:paraId="532A0ED4" w14:textId="33A019C1" w:rsidR="00EA055A" w:rsidRDefault="009A10BD" w:rsidP="008A28F3">
      <w:r>
        <w:t xml:space="preserve">Pre-arrival evidence </w:t>
      </w:r>
      <w:r w:rsidR="001432C4">
        <w:t>must be supplied prior to arrival in Australia.</w:t>
      </w:r>
      <w:r>
        <w:t xml:space="preserve"> </w:t>
      </w:r>
      <w:r w:rsidR="001432C4">
        <w:t>Y</w:t>
      </w:r>
      <w:r>
        <w:t>ou will be advised as to whether the consignment can be imported</w:t>
      </w:r>
      <w:r w:rsidR="001432C4">
        <w:t xml:space="preserve"> or whether further cleaning is required</w:t>
      </w:r>
      <w:r w:rsidR="00492759">
        <w:t>.</w:t>
      </w:r>
    </w:p>
    <w:p w14:paraId="0F87CE8F" w14:textId="77777777" w:rsidR="00B82084" w:rsidRPr="00257CDD" w:rsidRDefault="00B82084" w:rsidP="008A28F3">
      <w:pPr>
        <w:pStyle w:val="Heading2"/>
        <w:spacing w:before="0" w:after="120"/>
      </w:pPr>
      <w:r w:rsidRPr="00257CDD">
        <w:t>2.</w:t>
      </w:r>
      <w:r w:rsidRPr="00257CDD">
        <w:tab/>
      </w:r>
      <w:r w:rsidR="000B2EC3" w:rsidRPr="00257CDD">
        <w:t xml:space="preserve">Who </w:t>
      </w:r>
      <w:r w:rsidR="0089518E" w:rsidRPr="00257CDD">
        <w:t>assesses the pre-arrival information</w:t>
      </w:r>
      <w:r w:rsidR="000B2EC3" w:rsidRPr="00257CDD">
        <w:t>?</w:t>
      </w:r>
    </w:p>
    <w:p w14:paraId="2EA41C52" w14:textId="13B11266" w:rsidR="008B7B55" w:rsidRDefault="000B2EC3" w:rsidP="008A28F3">
      <w:r>
        <w:t>The Department of Agriculture</w:t>
      </w:r>
      <w:r w:rsidR="005B31DB">
        <w:t xml:space="preserve">, </w:t>
      </w:r>
      <w:r w:rsidR="008A28F3">
        <w:t>Water and the Environment (the D</w:t>
      </w:r>
      <w:r w:rsidR="005B31DB">
        <w:t>epartment)</w:t>
      </w:r>
      <w:r>
        <w:t xml:space="preserve"> regulates the import of goods</w:t>
      </w:r>
      <w:r w:rsidR="00492759">
        <w:t xml:space="preserve"> under the </w:t>
      </w:r>
      <w:r w:rsidR="00492759" w:rsidRPr="00492759">
        <w:rPr>
          <w:i/>
        </w:rPr>
        <w:t>Biosecurity Act 2015</w:t>
      </w:r>
      <w:r w:rsidR="00492759">
        <w:t>.</w:t>
      </w:r>
    </w:p>
    <w:p w14:paraId="68DF516D" w14:textId="77777777" w:rsidR="00492759" w:rsidRPr="00257CDD" w:rsidRDefault="00B82084" w:rsidP="008A28F3">
      <w:pPr>
        <w:pStyle w:val="Heading2"/>
        <w:spacing w:before="0" w:after="120"/>
      </w:pPr>
      <w:r w:rsidRPr="00257CDD">
        <w:t>3.</w:t>
      </w:r>
      <w:r w:rsidRPr="00257CDD">
        <w:tab/>
      </w:r>
      <w:r w:rsidR="000B2EC3" w:rsidRPr="00257CDD">
        <w:t xml:space="preserve">How do I </w:t>
      </w:r>
      <w:r w:rsidR="004678CE" w:rsidRPr="00257CDD">
        <w:t xml:space="preserve">comply with </w:t>
      </w:r>
      <w:r w:rsidR="00D84948" w:rsidRPr="00257CDD">
        <w:t xml:space="preserve">Commonwealth </w:t>
      </w:r>
      <w:r w:rsidR="004678CE" w:rsidRPr="00257CDD">
        <w:t>requirements</w:t>
      </w:r>
      <w:r w:rsidR="000B2EC3" w:rsidRPr="00257CDD">
        <w:t>?</w:t>
      </w:r>
    </w:p>
    <w:p w14:paraId="6FACDCA8" w14:textId="0C1E32D6" w:rsidR="001B35B0" w:rsidRDefault="00492759" w:rsidP="008A28F3">
      <w:pPr>
        <w:pStyle w:val="ListParagraph"/>
        <w:ind w:left="0" w:firstLine="0"/>
        <w:contextualSpacing w:val="0"/>
        <w:rPr>
          <w:rStyle w:val="IntenseEmphasis"/>
          <w:b w:val="0"/>
          <w:i w:val="0"/>
          <w:color w:val="auto"/>
        </w:rPr>
      </w:pPr>
      <w:r w:rsidRPr="00492759">
        <w:rPr>
          <w:rStyle w:val="IntenseEmphasis"/>
          <w:b w:val="0"/>
          <w:i w:val="0"/>
          <w:color w:val="auto"/>
        </w:rPr>
        <w:t>Guid</w:t>
      </w:r>
      <w:r w:rsidR="00CB2B32">
        <w:rPr>
          <w:rStyle w:val="IntenseEmphasis"/>
          <w:b w:val="0"/>
          <w:i w:val="0"/>
          <w:color w:val="auto"/>
        </w:rPr>
        <w:t>elines</w:t>
      </w:r>
      <w:r w:rsidR="003E1438">
        <w:rPr>
          <w:rStyle w:val="IntenseEmphasis"/>
          <w:b w:val="0"/>
          <w:i w:val="0"/>
          <w:color w:val="auto"/>
        </w:rPr>
        <w:t xml:space="preserve"> and </w:t>
      </w:r>
      <w:r w:rsidR="0089518E">
        <w:rPr>
          <w:rStyle w:val="IntenseEmphasis"/>
          <w:b w:val="0"/>
          <w:i w:val="0"/>
          <w:color w:val="auto"/>
        </w:rPr>
        <w:t xml:space="preserve">import conditions </w:t>
      </w:r>
      <w:r w:rsidR="003E1438">
        <w:rPr>
          <w:rStyle w:val="IntenseEmphasis"/>
          <w:b w:val="0"/>
          <w:i w:val="0"/>
          <w:color w:val="auto"/>
        </w:rPr>
        <w:t xml:space="preserve">are available </w:t>
      </w:r>
      <w:r w:rsidRPr="003E1438">
        <w:rPr>
          <w:rStyle w:val="IntenseEmphasis"/>
          <w:b w:val="0"/>
          <w:i w:val="0"/>
          <w:color w:val="auto"/>
        </w:rPr>
        <w:t xml:space="preserve">online </w:t>
      </w:r>
      <w:r w:rsidR="003E1438">
        <w:rPr>
          <w:rStyle w:val="IntenseEmphasis"/>
          <w:b w:val="0"/>
          <w:i w:val="0"/>
          <w:color w:val="auto"/>
        </w:rPr>
        <w:t xml:space="preserve">through the </w:t>
      </w:r>
      <w:hyperlink r:id="rId16" w:history="1">
        <w:r w:rsidRPr="003E1438">
          <w:rPr>
            <w:rStyle w:val="Hyperlink"/>
          </w:rPr>
          <w:t>BICON portal</w:t>
        </w:r>
      </w:hyperlink>
      <w:r w:rsidRPr="003E1438">
        <w:rPr>
          <w:rStyle w:val="IntenseEmphasis"/>
          <w:b w:val="0"/>
          <w:i w:val="0"/>
          <w:color w:val="auto"/>
        </w:rPr>
        <w:t>.</w:t>
      </w:r>
    </w:p>
    <w:p w14:paraId="5CCAEE9C" w14:textId="73C40B24" w:rsidR="008A28F3" w:rsidRPr="008A28F3" w:rsidRDefault="008A28F3" w:rsidP="008A28F3">
      <w:pPr>
        <w:pStyle w:val="ListParagraph"/>
        <w:ind w:left="0" w:firstLine="0"/>
        <w:contextualSpacing w:val="0"/>
        <w:rPr>
          <w:bCs/>
          <w:iCs/>
        </w:rPr>
      </w:pPr>
      <w:r>
        <w:rPr>
          <w:rStyle w:val="IntenseEmphasis"/>
          <w:b w:val="0"/>
          <w:i w:val="0"/>
          <w:color w:val="auto"/>
        </w:rPr>
        <w:t>The D</w:t>
      </w:r>
      <w:r w:rsidR="001B35B0">
        <w:rPr>
          <w:rStyle w:val="IntenseEmphasis"/>
          <w:b w:val="0"/>
          <w:i w:val="0"/>
          <w:color w:val="auto"/>
        </w:rPr>
        <w:t>epartment has provided a number of c</w:t>
      </w:r>
      <w:r w:rsidR="0089518E">
        <w:rPr>
          <w:rStyle w:val="IntenseEmphasis"/>
          <w:b w:val="0"/>
          <w:i w:val="0"/>
          <w:color w:val="auto"/>
        </w:rPr>
        <w:t xml:space="preserve">leaning guides and checklists to </w:t>
      </w:r>
      <w:r w:rsidR="004678CE">
        <w:rPr>
          <w:rStyle w:val="IntenseEmphasis"/>
          <w:b w:val="0"/>
          <w:i w:val="0"/>
          <w:color w:val="auto"/>
        </w:rPr>
        <w:t>a</w:t>
      </w:r>
      <w:r w:rsidR="0089518E">
        <w:rPr>
          <w:rStyle w:val="IntenseEmphasis"/>
          <w:b w:val="0"/>
          <w:i w:val="0"/>
          <w:color w:val="auto"/>
        </w:rPr>
        <w:t>ssist with offshore cleaning</w:t>
      </w:r>
      <w:r w:rsidR="00BA0BCF">
        <w:rPr>
          <w:rStyle w:val="IntenseEmphasis"/>
          <w:b w:val="0"/>
          <w:i w:val="0"/>
          <w:color w:val="auto"/>
        </w:rPr>
        <w:t xml:space="preserve"> of machinery</w:t>
      </w:r>
      <w:r w:rsidR="0089518E">
        <w:rPr>
          <w:rStyle w:val="IntenseEmphasis"/>
          <w:b w:val="0"/>
          <w:i w:val="0"/>
          <w:color w:val="auto"/>
        </w:rPr>
        <w:t xml:space="preserve">. These can be located on the department’s </w:t>
      </w:r>
      <w:hyperlink r:id="rId17" w:history="1">
        <w:r w:rsidR="0089518E" w:rsidRPr="0089518E">
          <w:rPr>
            <w:rStyle w:val="Hyperlink"/>
          </w:rPr>
          <w:t>website</w:t>
        </w:r>
      </w:hyperlink>
      <w:r w:rsidR="0089518E">
        <w:rPr>
          <w:rStyle w:val="IntenseEmphasis"/>
          <w:b w:val="0"/>
          <w:i w:val="0"/>
          <w:color w:val="auto"/>
        </w:rPr>
        <w:t>.</w:t>
      </w:r>
    </w:p>
    <w:p w14:paraId="515C68CD" w14:textId="77777777" w:rsidR="005C1236" w:rsidRDefault="005C1236" w:rsidP="008A28F3"/>
    <w:p w14:paraId="3C972ECF" w14:textId="7D90FC41" w:rsidR="00BA0BCF" w:rsidRDefault="00BA0BCF" w:rsidP="008A28F3">
      <w:r>
        <w:t xml:space="preserve">The department has the power to </w:t>
      </w:r>
      <w:r w:rsidR="00EF3447">
        <w:t xml:space="preserve">direct the </w:t>
      </w:r>
      <w:r>
        <w:t>export</w:t>
      </w:r>
      <w:r w:rsidR="00EF3447">
        <w:t xml:space="preserve"> of</w:t>
      </w:r>
      <w:r>
        <w:t xml:space="preserve"> contaminated machinery from Australia or to order its cleaning at the importer’s or owner’s expense if </w:t>
      </w:r>
      <w:r w:rsidR="00EF3447">
        <w:t>p</w:t>
      </w:r>
      <w:r>
        <w:t>re-arrival cleaning requirements have not been met.</w:t>
      </w:r>
      <w:r w:rsidRPr="00BA0BCF">
        <w:t xml:space="preserve"> </w:t>
      </w:r>
    </w:p>
    <w:p w14:paraId="00CC9AC6" w14:textId="3E2A3283" w:rsidR="00EA055A" w:rsidRPr="003E1438" w:rsidRDefault="005E38A3" w:rsidP="008A28F3">
      <w:pPr>
        <w:pStyle w:val="ListParagraph"/>
        <w:ind w:left="0" w:firstLine="0"/>
        <w:contextualSpacing w:val="0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A Biosecurity Management </w:t>
      </w:r>
      <w:hyperlink r:id="rId18" w:history="1">
        <w:r w:rsidRPr="005E38A3">
          <w:rPr>
            <w:rStyle w:val="Hyperlink"/>
          </w:rPr>
          <w:t>template</w:t>
        </w:r>
      </w:hyperlink>
      <w:r>
        <w:rPr>
          <w:rStyle w:val="IntenseEmphasis"/>
          <w:b w:val="0"/>
          <w:i w:val="0"/>
          <w:color w:val="auto"/>
        </w:rPr>
        <w:t xml:space="preserve"> is available to</w:t>
      </w:r>
      <w:r w:rsidR="00BA0BCF">
        <w:rPr>
          <w:rStyle w:val="IntenseEmphasis"/>
          <w:b w:val="0"/>
          <w:i w:val="0"/>
          <w:color w:val="auto"/>
        </w:rPr>
        <w:t xml:space="preserve"> </w:t>
      </w:r>
      <w:r w:rsidRPr="005E38A3">
        <w:rPr>
          <w:rStyle w:val="IntenseEmphasis"/>
          <w:b w:val="0"/>
          <w:i w:val="0"/>
          <w:color w:val="auto"/>
        </w:rPr>
        <w:t xml:space="preserve">assist </w:t>
      </w:r>
      <w:r w:rsidR="00BA0BCF">
        <w:rPr>
          <w:rStyle w:val="IntenseEmphasis"/>
          <w:b w:val="0"/>
          <w:i w:val="0"/>
          <w:color w:val="auto"/>
        </w:rPr>
        <w:t xml:space="preserve">importers to </w:t>
      </w:r>
      <w:r>
        <w:rPr>
          <w:rStyle w:val="IntenseEmphasis"/>
          <w:b w:val="0"/>
          <w:i w:val="0"/>
          <w:color w:val="auto"/>
        </w:rPr>
        <w:t>ma</w:t>
      </w:r>
      <w:r w:rsidR="00CB2B32">
        <w:rPr>
          <w:rStyle w:val="IntenseEmphasis"/>
          <w:b w:val="0"/>
          <w:i w:val="0"/>
          <w:color w:val="auto"/>
        </w:rPr>
        <w:t>nage</w:t>
      </w:r>
      <w:r w:rsidR="00BA0BCF">
        <w:rPr>
          <w:rStyle w:val="IntenseEmphasis"/>
          <w:b w:val="0"/>
          <w:i w:val="0"/>
          <w:color w:val="auto"/>
        </w:rPr>
        <w:t xml:space="preserve"> biosecurity</w:t>
      </w:r>
      <w:r w:rsidR="00CB2B32">
        <w:rPr>
          <w:rStyle w:val="IntenseEmphasis"/>
          <w:b w:val="0"/>
          <w:i w:val="0"/>
          <w:color w:val="auto"/>
        </w:rPr>
        <w:t xml:space="preserve"> risks offshore to </w:t>
      </w:r>
      <w:r w:rsidR="004678CE">
        <w:rPr>
          <w:rStyle w:val="IntenseEmphasis"/>
          <w:b w:val="0"/>
          <w:i w:val="0"/>
          <w:color w:val="auto"/>
        </w:rPr>
        <w:t xml:space="preserve">assist with </w:t>
      </w:r>
      <w:r>
        <w:rPr>
          <w:rStyle w:val="IntenseEmphasis"/>
          <w:b w:val="0"/>
          <w:i w:val="0"/>
          <w:color w:val="auto"/>
        </w:rPr>
        <w:t xml:space="preserve">clearance upon </w:t>
      </w:r>
      <w:r w:rsidR="00CB2B32">
        <w:rPr>
          <w:rStyle w:val="IntenseEmphasis"/>
          <w:b w:val="0"/>
          <w:i w:val="0"/>
          <w:color w:val="auto"/>
        </w:rPr>
        <w:t>arrival in</w:t>
      </w:r>
      <w:r>
        <w:rPr>
          <w:rStyle w:val="IntenseEmphasis"/>
          <w:b w:val="0"/>
          <w:i w:val="0"/>
          <w:color w:val="auto"/>
        </w:rPr>
        <w:t xml:space="preserve"> to Australia.</w:t>
      </w:r>
    </w:p>
    <w:p w14:paraId="445A3BD3" w14:textId="77777777" w:rsidR="00B82084" w:rsidRPr="00257CDD" w:rsidRDefault="00B82084" w:rsidP="008A28F3">
      <w:pPr>
        <w:pStyle w:val="Heading2"/>
        <w:spacing w:before="0" w:after="120"/>
      </w:pPr>
      <w:r w:rsidRPr="00257CDD">
        <w:t>4.</w:t>
      </w:r>
      <w:r w:rsidRPr="00257CDD">
        <w:tab/>
      </w:r>
      <w:r w:rsidR="00805DE1" w:rsidRPr="007936A0">
        <w:t>More</w:t>
      </w:r>
      <w:r w:rsidR="00805DE1" w:rsidRPr="00257CDD">
        <w:t xml:space="preserve"> </w:t>
      </w:r>
      <w:r w:rsidR="00805DE1" w:rsidRPr="00C21F01">
        <w:t>information</w:t>
      </w:r>
    </w:p>
    <w:p w14:paraId="54B5F9B3" w14:textId="77777777" w:rsidR="00BA0BCF" w:rsidRPr="00CA1F3E" w:rsidRDefault="00BA0BCF" w:rsidP="008A28F3">
      <w:pPr>
        <w:pStyle w:val="Heading3"/>
        <w:spacing w:before="0" w:after="0"/>
        <w:rPr>
          <w:color w:val="auto"/>
        </w:rPr>
      </w:pPr>
      <w:r w:rsidRPr="00CA1F3E">
        <w:rPr>
          <w:color w:val="auto"/>
        </w:rPr>
        <w:t>Commonwealth</w:t>
      </w:r>
    </w:p>
    <w:p w14:paraId="64392A7B" w14:textId="0BC5E587" w:rsidR="00BA0BCF" w:rsidRDefault="00BA0BCF" w:rsidP="008A28F3">
      <w:r>
        <w:t>For more information, visit the Department of Agriculture</w:t>
      </w:r>
      <w:r w:rsidR="005B31DB">
        <w:t>, Water and the Environment</w:t>
      </w:r>
      <w:r>
        <w:t xml:space="preserve"> website or contact:</w:t>
      </w:r>
    </w:p>
    <w:p w14:paraId="6AFD6CBE" w14:textId="77777777" w:rsidR="008A28F3" w:rsidRDefault="008A28F3" w:rsidP="008A28F3">
      <w:pPr>
        <w:spacing w:after="0"/>
      </w:pPr>
      <w:r>
        <w:t xml:space="preserve">Phone: </w:t>
      </w:r>
      <w:r w:rsidR="00BA0BCF">
        <w:t xml:space="preserve">1800 900 090 or </w:t>
      </w:r>
    </w:p>
    <w:p w14:paraId="001FA474" w14:textId="4A039F28" w:rsidR="00BA0BCF" w:rsidRDefault="00BA0BCF" w:rsidP="008A28F3">
      <w:r>
        <w:t>+61 3 8318 6700 (from outside Australia)</w:t>
      </w:r>
    </w:p>
    <w:p w14:paraId="3B025C42" w14:textId="7FE63E06" w:rsidR="00BA0BCF" w:rsidRPr="008A28F3" w:rsidRDefault="008A28F3" w:rsidP="008A28F3">
      <w:pPr>
        <w:rPr>
          <w:u w:val="single"/>
        </w:rPr>
      </w:pPr>
      <w:r>
        <w:t>Email:</w:t>
      </w:r>
      <w:r>
        <w:tab/>
      </w:r>
      <w:hyperlink r:id="rId19" w:history="1">
        <w:r w:rsidR="00CB3CA3" w:rsidRPr="00CB3CA3">
          <w:rPr>
            <w:rStyle w:val="Hyperlink"/>
          </w:rPr>
          <w:t>airandseacargo@</w:t>
        </w:r>
        <w:r w:rsidR="00CB3CA3" w:rsidRPr="009C7829">
          <w:rPr>
            <w:rStyle w:val="Hyperlink"/>
          </w:rPr>
          <w:t>awe.gov.au</w:t>
        </w:r>
      </w:hyperlink>
      <w:r w:rsidR="00BA0BCF">
        <w:t xml:space="preserve"> </w:t>
      </w:r>
    </w:p>
    <w:p w14:paraId="649A14C2" w14:textId="77777777" w:rsidR="00D84948" w:rsidRPr="00CA1F3E" w:rsidRDefault="00D84948" w:rsidP="008A28F3">
      <w:pPr>
        <w:pStyle w:val="Heading3"/>
        <w:spacing w:before="0" w:after="0"/>
        <w:rPr>
          <w:color w:val="auto"/>
        </w:rPr>
      </w:pPr>
      <w:r w:rsidRPr="00CA1F3E">
        <w:rPr>
          <w:color w:val="auto"/>
        </w:rPr>
        <w:t>Major Projects Facilitation Agency</w:t>
      </w:r>
    </w:p>
    <w:p w14:paraId="061B4CF1" w14:textId="77777777" w:rsidR="00D84948" w:rsidRDefault="00D84948" w:rsidP="008A28F3">
      <w:pPr>
        <w:rPr>
          <w:rFonts w:cstheme="minorHAnsi"/>
        </w:rPr>
      </w:pPr>
      <w:r>
        <w:rPr>
          <w:rFonts w:cstheme="minorHAnsi"/>
        </w:rPr>
        <w:t xml:space="preserve">If you would like assistance to identify the regulatory obligations for your project, please visit our </w:t>
      </w:r>
      <w:hyperlink r:id="rId20" w:history="1">
        <w:r w:rsidRPr="00D57FC2">
          <w:rPr>
            <w:rStyle w:val="Hyperlink"/>
            <w:rFonts w:cstheme="minorHAnsi"/>
          </w:rPr>
          <w:t>Online Tool</w:t>
        </w:r>
      </w:hyperlink>
      <w:r>
        <w:rPr>
          <w:rFonts w:cstheme="minorHAnsi"/>
        </w:rPr>
        <w:t xml:space="preserve"> or contact us:</w:t>
      </w:r>
    </w:p>
    <w:p w14:paraId="625A4BB4" w14:textId="2D32B2E4" w:rsidR="00D84948" w:rsidRPr="00A74053" w:rsidRDefault="00D84948" w:rsidP="008A28F3">
      <w:pPr>
        <w:rPr>
          <w:rStyle w:val="IntenseEmphasis"/>
          <w:b w:val="0"/>
          <w:bCs w:val="0"/>
          <w:i w:val="0"/>
          <w:iCs w:val="0"/>
          <w:color w:val="005677" w:themeColor="hyperlink"/>
          <w:u w:val="single"/>
        </w:rPr>
      </w:pPr>
      <w:r>
        <w:t>Emai</w:t>
      </w:r>
      <w:r w:rsidR="008A28F3">
        <w:t>l:</w:t>
      </w:r>
      <w:r w:rsidR="008A28F3">
        <w:tab/>
      </w:r>
      <w:r w:rsidR="00320B8D" w:rsidRPr="00320B8D">
        <w:rPr>
          <w:rStyle w:val="Hyperlink"/>
        </w:rPr>
        <w:t>mpfa@industry.gov.au</w:t>
      </w:r>
    </w:p>
    <w:p w14:paraId="3D1722A4" w14:textId="77777777" w:rsidR="00D84948" w:rsidRDefault="00D84948" w:rsidP="00D84948">
      <w:pPr>
        <w:spacing w:after="0"/>
        <w:rPr>
          <w:b/>
        </w:rPr>
      </w:pPr>
    </w:p>
    <w:sectPr w:rsidR="00D84948" w:rsidSect="001B35B0">
      <w:type w:val="continuous"/>
      <w:pgSz w:w="11906" w:h="16838"/>
      <w:pgMar w:top="1276" w:right="849" w:bottom="851" w:left="851" w:header="567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C832" w14:textId="77777777" w:rsidR="00A25B98" w:rsidRDefault="00A25B98" w:rsidP="00B526AB">
      <w:pPr>
        <w:spacing w:after="0"/>
      </w:pPr>
      <w:r>
        <w:separator/>
      </w:r>
    </w:p>
  </w:endnote>
  <w:endnote w:type="continuationSeparator" w:id="0">
    <w:p w14:paraId="75CB005E" w14:textId="77777777" w:rsidR="00A25B98" w:rsidRDefault="00A25B98" w:rsidP="00B52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4C82E" w14:textId="77777777" w:rsidR="006709E4" w:rsidRDefault="00484253" w:rsidP="006B007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709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9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006760" w14:textId="77777777" w:rsidR="006709E4" w:rsidRDefault="006709E4" w:rsidP="006B00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B761" w14:textId="77777777" w:rsidR="006709E4" w:rsidRPr="007B2AA7" w:rsidRDefault="00484253" w:rsidP="006B0076">
    <w:pPr>
      <w:pStyle w:val="Footer"/>
      <w:framePr w:wrap="around" w:vAnchor="text" w:hAnchor="margin" w:y="1"/>
      <w:rPr>
        <w:rStyle w:val="PageNumber"/>
        <w:b/>
        <w:bCs/>
        <w:szCs w:val="16"/>
      </w:rPr>
    </w:pPr>
    <w:r w:rsidRPr="007B2AA7">
      <w:rPr>
        <w:rStyle w:val="PageNumber"/>
        <w:b/>
        <w:bCs/>
        <w:szCs w:val="16"/>
      </w:rPr>
      <w:fldChar w:fldCharType="begin"/>
    </w:r>
    <w:r w:rsidR="006709E4" w:rsidRPr="007B2AA7">
      <w:rPr>
        <w:rStyle w:val="PageNumber"/>
        <w:b/>
        <w:bCs/>
        <w:szCs w:val="16"/>
      </w:rPr>
      <w:instrText xml:space="preserve">PAGE  </w:instrText>
    </w:r>
    <w:r w:rsidRPr="007B2AA7">
      <w:rPr>
        <w:rStyle w:val="PageNumber"/>
        <w:b/>
        <w:bCs/>
        <w:szCs w:val="16"/>
      </w:rPr>
      <w:fldChar w:fldCharType="separate"/>
    </w:r>
    <w:r w:rsidR="008A28F3">
      <w:rPr>
        <w:rStyle w:val="PageNumber"/>
        <w:b/>
        <w:bCs/>
        <w:noProof/>
        <w:szCs w:val="16"/>
      </w:rPr>
      <w:t>2</w:t>
    </w:r>
    <w:r w:rsidRPr="007B2AA7">
      <w:rPr>
        <w:rStyle w:val="PageNumber"/>
        <w:b/>
        <w:bCs/>
        <w:szCs w:val="16"/>
      </w:rPr>
      <w:fldChar w:fldCharType="end"/>
    </w:r>
  </w:p>
  <w:p w14:paraId="02CBD697" w14:textId="77777777" w:rsidR="006709E4" w:rsidRDefault="006709E4" w:rsidP="006567CE">
    <w:pPr>
      <w:pStyle w:val="Footer"/>
      <w:ind w:left="284"/>
    </w:pPr>
    <w:r w:rsidRPr="0057207B">
      <w:t>This fact sheet provides general information and does not constitute legal advice. You should seek independent legal advice tailored to your individual circumstances.</w:t>
    </w:r>
    <w:r w:rsidR="006567CE">
      <w:t xml:space="preserve"> </w:t>
    </w:r>
    <w:hyperlink r:id="rId1" w:history="1">
      <w:r w:rsidRPr="008E1EE6">
        <w:rPr>
          <w:rStyle w:val="Hyperlink"/>
        </w:rPr>
        <w:t>contact@mpaa.gov.au</w:t>
      </w:r>
    </w:hyperlink>
    <w:r w:rsidRPr="0057207B">
      <w:t>23 December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D006D" w14:textId="77777777" w:rsidR="006709E4" w:rsidRPr="0057207B" w:rsidRDefault="006709E4" w:rsidP="0057207B">
    <w:pPr>
      <w:pStyle w:val="Footer"/>
      <w:framePr w:wrap="around" w:vAnchor="text" w:hAnchor="margin" w:y="1"/>
      <w:rPr>
        <w:rStyle w:val="PageNumber"/>
        <w:b/>
        <w:bCs/>
        <w:szCs w:val="16"/>
      </w:rPr>
    </w:pPr>
  </w:p>
  <w:p w14:paraId="27461750" w14:textId="77777777" w:rsidR="009F2945" w:rsidRDefault="006709E4" w:rsidP="009F2945">
    <w:pPr>
      <w:pStyle w:val="Footer"/>
      <w:ind w:left="284"/>
    </w:pPr>
    <w:r w:rsidRPr="0057207B">
      <w:t>This fact sheet provides general information and does not constitute legal advice. You should seek independent legal advice tailored to your individual circumstances.</w:t>
    </w:r>
    <w:r w:rsidR="009F2945">
      <w:t xml:space="preserve"> The Major Project</w:t>
    </w:r>
    <w:r w:rsidR="00CB2B32">
      <w:t>s</w:t>
    </w:r>
    <w:r w:rsidR="009F2945">
      <w:t xml:space="preserve"> </w:t>
    </w:r>
    <w:r w:rsidR="001A524A">
      <w:t>Facilitation Agency (MPF</w:t>
    </w:r>
    <w:r w:rsidR="009F2945">
      <w:t>A) assists Major Project Proponents to</w:t>
    </w:r>
    <w:r w:rsidR="00CB2B32">
      <w:t xml:space="preserve"> navigate the approvals process.</w:t>
    </w:r>
    <w:r w:rsidR="009F2945">
      <w:t xml:space="preserve"> </w:t>
    </w:r>
    <w:r w:rsidR="001A524A">
      <w:t>The MPF</w:t>
    </w:r>
    <w:r w:rsidR="00CB2B32">
      <w:t xml:space="preserve">A </w:t>
    </w:r>
    <w:r w:rsidR="009F2945">
      <w:t>does not grant approvals, nor administer this Act or Regulations.</w:t>
    </w:r>
  </w:p>
  <w:p w14:paraId="46F91701" w14:textId="74E2BC14" w:rsidR="006709E4" w:rsidRDefault="00320B8D" w:rsidP="007B2AA7">
    <w:pPr>
      <w:pStyle w:val="Footer"/>
      <w:tabs>
        <w:tab w:val="clear" w:pos="3969"/>
        <w:tab w:val="clear" w:pos="6804"/>
      </w:tabs>
      <w:ind w:left="284"/>
    </w:pPr>
    <w:hyperlink r:id="rId1" w:tooltip="www.business.gov.au/mpfa " w:history="1">
      <w:r w:rsidR="00C75476" w:rsidRPr="00574CFE">
        <w:rPr>
          <w:rStyle w:val="Hyperlink"/>
        </w:rPr>
        <w:t xml:space="preserve">www.business.gov.au/mpfa </w:t>
      </w:r>
    </w:hyperlink>
    <w:r w:rsidR="00C75476">
      <w:tab/>
    </w:r>
    <w:r w:rsidR="00C75476">
      <w:tab/>
    </w:r>
    <w:r w:rsidR="00C75476">
      <w:tab/>
    </w:r>
    <w:r w:rsidR="00C75476">
      <w:tab/>
    </w:r>
    <w:r w:rsidR="00C75476">
      <w:tab/>
    </w:r>
    <w:r w:rsidR="00C75476">
      <w:tab/>
    </w:r>
    <w:r w:rsidR="00C75476">
      <w:tab/>
    </w:r>
    <w:r w:rsidR="00C75476">
      <w:tab/>
    </w:r>
    <w:r w:rsidR="00C75476">
      <w:tab/>
    </w:r>
    <w:r w:rsidRPr="00320B8D">
      <w:rPr>
        <w:rStyle w:val="Hyperlink"/>
      </w:rPr>
      <w:t>mpfa@industry.gov.au</w:t>
    </w:r>
    <w:r w:rsidR="006709E4">
      <w:t xml:space="preserve"> </w:t>
    </w:r>
    <w:r w:rsidR="006709E4">
      <w:tab/>
    </w:r>
    <w:r w:rsidR="006709E4">
      <w:tab/>
    </w:r>
    <w:r w:rsidR="006709E4">
      <w:tab/>
    </w:r>
    <w:r w:rsidR="006709E4">
      <w:tab/>
    </w:r>
    <w:r w:rsidR="006709E4">
      <w:tab/>
    </w:r>
    <w:r w:rsidR="006709E4">
      <w:tab/>
    </w:r>
    <w:r w:rsidR="006709E4">
      <w:tab/>
    </w:r>
    <w:r w:rsidR="006709E4">
      <w:tab/>
    </w:r>
    <w:r w:rsidR="00C75476">
      <w:tab/>
    </w:r>
    <w:r w:rsidR="00773018">
      <w:t>June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AD2AA" w14:textId="77777777" w:rsidR="00A25B98" w:rsidRDefault="00A25B98" w:rsidP="00B526AB">
      <w:pPr>
        <w:spacing w:after="0"/>
      </w:pPr>
      <w:r>
        <w:separator/>
      </w:r>
    </w:p>
  </w:footnote>
  <w:footnote w:type="continuationSeparator" w:id="0">
    <w:p w14:paraId="33A367DE" w14:textId="77777777" w:rsidR="00A25B98" w:rsidRDefault="00A25B98" w:rsidP="00B52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5184" w14:textId="77777777" w:rsidR="006709E4" w:rsidRDefault="001A524A">
    <w:pPr>
      <w:pStyle w:val="Header"/>
    </w:pPr>
    <w:r>
      <w:rPr>
        <w:noProof/>
        <w:lang w:eastAsia="en-AU"/>
      </w:rPr>
      <w:drawing>
        <wp:inline distT="0" distB="0" distL="0" distR="0" wp14:anchorId="3D683452" wp14:editId="61ABF7D1">
          <wp:extent cx="6443345" cy="3242945"/>
          <wp:effectExtent l="0" t="0" r="0" b="0"/>
          <wp:docPr id="1" name="Picture 1" descr="Australian Government | Major Projects Facilitation Agency&#10;Commonwealth Fact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324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0"/>
    <w:rsid w:val="0000299C"/>
    <w:rsid w:val="000B2EC3"/>
    <w:rsid w:val="001432C4"/>
    <w:rsid w:val="00163B54"/>
    <w:rsid w:val="001A25AE"/>
    <w:rsid w:val="001A2DC6"/>
    <w:rsid w:val="001A524A"/>
    <w:rsid w:val="001B149B"/>
    <w:rsid w:val="001B35B0"/>
    <w:rsid w:val="002300AC"/>
    <w:rsid w:val="00237A8F"/>
    <w:rsid w:val="00244596"/>
    <w:rsid w:val="00257CDD"/>
    <w:rsid w:val="00263E00"/>
    <w:rsid w:val="00266596"/>
    <w:rsid w:val="0027105F"/>
    <w:rsid w:val="00276323"/>
    <w:rsid w:val="002B57BF"/>
    <w:rsid w:val="002C5997"/>
    <w:rsid w:val="002D3954"/>
    <w:rsid w:val="002E14EA"/>
    <w:rsid w:val="002E201E"/>
    <w:rsid w:val="002F65AF"/>
    <w:rsid w:val="00304F04"/>
    <w:rsid w:val="00320B8D"/>
    <w:rsid w:val="0033701F"/>
    <w:rsid w:val="003507CC"/>
    <w:rsid w:val="0038442D"/>
    <w:rsid w:val="003B1EAC"/>
    <w:rsid w:val="003E1438"/>
    <w:rsid w:val="00402E42"/>
    <w:rsid w:val="00407ECA"/>
    <w:rsid w:val="004111E9"/>
    <w:rsid w:val="00435E92"/>
    <w:rsid w:val="00436B60"/>
    <w:rsid w:val="00441795"/>
    <w:rsid w:val="00452BA6"/>
    <w:rsid w:val="004678CE"/>
    <w:rsid w:val="00484253"/>
    <w:rsid w:val="00492759"/>
    <w:rsid w:val="00523023"/>
    <w:rsid w:val="005642F2"/>
    <w:rsid w:val="0057207B"/>
    <w:rsid w:val="00574CFE"/>
    <w:rsid w:val="00585806"/>
    <w:rsid w:val="005B31DB"/>
    <w:rsid w:val="005C1236"/>
    <w:rsid w:val="005D0228"/>
    <w:rsid w:val="005E38A3"/>
    <w:rsid w:val="005F1934"/>
    <w:rsid w:val="00602C92"/>
    <w:rsid w:val="00612A48"/>
    <w:rsid w:val="00642C4D"/>
    <w:rsid w:val="00651E09"/>
    <w:rsid w:val="006567CE"/>
    <w:rsid w:val="006709E4"/>
    <w:rsid w:val="006811DA"/>
    <w:rsid w:val="00697AA2"/>
    <w:rsid w:val="006B0076"/>
    <w:rsid w:val="006C2852"/>
    <w:rsid w:val="006C2F68"/>
    <w:rsid w:val="006C45E8"/>
    <w:rsid w:val="006C7F6D"/>
    <w:rsid w:val="006D4B5A"/>
    <w:rsid w:val="006E1767"/>
    <w:rsid w:val="00723B30"/>
    <w:rsid w:val="00765229"/>
    <w:rsid w:val="00773018"/>
    <w:rsid w:val="007936A0"/>
    <w:rsid w:val="007B09BE"/>
    <w:rsid w:val="007B2AA7"/>
    <w:rsid w:val="007C04FA"/>
    <w:rsid w:val="007C3962"/>
    <w:rsid w:val="007D7AC4"/>
    <w:rsid w:val="00805DE1"/>
    <w:rsid w:val="00822068"/>
    <w:rsid w:val="00850038"/>
    <w:rsid w:val="0088639D"/>
    <w:rsid w:val="00887FD5"/>
    <w:rsid w:val="0089518E"/>
    <w:rsid w:val="008A28F3"/>
    <w:rsid w:val="008B7B55"/>
    <w:rsid w:val="008C7A8F"/>
    <w:rsid w:val="008F698F"/>
    <w:rsid w:val="00907CB3"/>
    <w:rsid w:val="0092552F"/>
    <w:rsid w:val="00955703"/>
    <w:rsid w:val="00956813"/>
    <w:rsid w:val="00960D9F"/>
    <w:rsid w:val="00975726"/>
    <w:rsid w:val="00991FDD"/>
    <w:rsid w:val="009A0EF0"/>
    <w:rsid w:val="009A10BD"/>
    <w:rsid w:val="009A4C2D"/>
    <w:rsid w:val="009D7BB6"/>
    <w:rsid w:val="009E60D8"/>
    <w:rsid w:val="009F2945"/>
    <w:rsid w:val="009F470B"/>
    <w:rsid w:val="00A25B98"/>
    <w:rsid w:val="00A51E16"/>
    <w:rsid w:val="00A6624F"/>
    <w:rsid w:val="00A85BA1"/>
    <w:rsid w:val="00AB383C"/>
    <w:rsid w:val="00AE5300"/>
    <w:rsid w:val="00B00A4A"/>
    <w:rsid w:val="00B1078F"/>
    <w:rsid w:val="00B33EDE"/>
    <w:rsid w:val="00B526AB"/>
    <w:rsid w:val="00B82084"/>
    <w:rsid w:val="00B90554"/>
    <w:rsid w:val="00B925F5"/>
    <w:rsid w:val="00BA0BCF"/>
    <w:rsid w:val="00BE2565"/>
    <w:rsid w:val="00BE3715"/>
    <w:rsid w:val="00C014AE"/>
    <w:rsid w:val="00C21F01"/>
    <w:rsid w:val="00C75476"/>
    <w:rsid w:val="00CA1F3E"/>
    <w:rsid w:val="00CB2680"/>
    <w:rsid w:val="00CB2B32"/>
    <w:rsid w:val="00CB3CA3"/>
    <w:rsid w:val="00CC7875"/>
    <w:rsid w:val="00D14E28"/>
    <w:rsid w:val="00D84948"/>
    <w:rsid w:val="00D87BC8"/>
    <w:rsid w:val="00DD38A9"/>
    <w:rsid w:val="00DD60D1"/>
    <w:rsid w:val="00E53581"/>
    <w:rsid w:val="00E6186C"/>
    <w:rsid w:val="00E72774"/>
    <w:rsid w:val="00EA055A"/>
    <w:rsid w:val="00EC1239"/>
    <w:rsid w:val="00ED17D8"/>
    <w:rsid w:val="00EE717E"/>
    <w:rsid w:val="00EF3447"/>
    <w:rsid w:val="00F02684"/>
    <w:rsid w:val="00F11C75"/>
    <w:rsid w:val="00F25F29"/>
    <w:rsid w:val="00F67783"/>
    <w:rsid w:val="00FB0D43"/>
    <w:rsid w:val="00FB7A45"/>
    <w:rsid w:val="00FC235F"/>
    <w:rsid w:val="00FC70DE"/>
    <w:rsid w:val="00FD5DE8"/>
    <w:rsid w:val="00F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99E205A"/>
  <w15:docId w15:val="{C17C7371-34CA-4132-AC21-DD06268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7B"/>
    <w:pPr>
      <w:spacing w:after="120" w:line="240" w:lineRule="auto"/>
    </w:pPr>
    <w:rPr>
      <w:spacing w:val="-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DD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05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CD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5677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7CE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A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DD"/>
    <w:rPr>
      <w:rFonts w:ascii="Arial" w:eastAsiaTheme="majorEastAsia" w:hAnsi="Arial" w:cstheme="majorBidi"/>
      <w:b/>
      <w:bCs/>
      <w:color w:val="004059"/>
      <w:spacing w:val="-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7CDD"/>
    <w:rPr>
      <w:rFonts w:ascii="Arial" w:eastAsiaTheme="majorEastAsia" w:hAnsi="Arial" w:cstheme="majorBidi"/>
      <w:b/>
      <w:bCs/>
      <w:color w:val="005677"/>
      <w:spacing w:val="-2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70DE"/>
    <w:pPr>
      <w:spacing w:before="4480" w:after="480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0DE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67CE"/>
    <w:rPr>
      <w:rFonts w:ascii="Arial" w:eastAsiaTheme="majorEastAsia" w:hAnsi="Arial" w:cstheme="majorBidi"/>
      <w:b/>
      <w:bCs/>
      <w:color w:val="000000" w:themeColor="text1"/>
      <w:spacing w:val="-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068"/>
    <w:rPr>
      <w:rFonts w:asciiTheme="majorHAnsi" w:eastAsiaTheme="majorEastAsia" w:hAnsiTheme="majorHAnsi" w:cstheme="majorBidi"/>
      <w:b/>
      <w:bCs/>
      <w:i/>
      <w:iCs/>
      <w:color w:val="005677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2068"/>
    <w:rPr>
      <w:rFonts w:asciiTheme="majorHAnsi" w:eastAsiaTheme="majorEastAsia" w:hAnsiTheme="majorHAnsi" w:cstheme="majorBidi"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8C7A8F"/>
    <w:rPr>
      <w:rFonts w:ascii="Georgia" w:hAnsi="Georgia"/>
      <w:b w:val="0"/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237A8F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37A8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7B2AA7"/>
    <w:pPr>
      <w:tabs>
        <w:tab w:val="left" w:pos="3969"/>
        <w:tab w:val="left" w:pos="6804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B2AA7"/>
    <w:rPr>
      <w:spacing w:val="-2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C2F68"/>
  </w:style>
  <w:style w:type="paragraph" w:styleId="ListParagraph">
    <w:name w:val="List Paragraph"/>
    <w:basedOn w:val="Normal"/>
    <w:uiPriority w:val="34"/>
    <w:qFormat/>
    <w:rsid w:val="009E60D8"/>
    <w:pPr>
      <w:ind w:left="284" w:hanging="284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2AA7"/>
    <w:rPr>
      <w:color w:val="C973AF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7B2AA7"/>
    <w:pPr>
      <w:spacing w:after="0" w:line="240" w:lineRule="auto"/>
    </w:pPr>
    <w:rPr>
      <w:rFonts w:eastAsiaTheme="minorEastAsia"/>
      <w:color w:val="004059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005677" w:themeColor="accent1"/>
        <w:bottom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7" w:themeColor="accent1"/>
          <w:left w:val="nil"/>
          <w:bottom w:val="single" w:sz="8" w:space="0" w:color="0056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7" w:themeColor="accent1"/>
          <w:left w:val="nil"/>
          <w:bottom w:val="single" w:sz="8" w:space="0" w:color="0056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4FF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1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C"/>
    <w:rPr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C"/>
    <w:rPr>
      <w:b/>
      <w:bCs/>
      <w:spacing w:val="-2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C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F01"/>
    <w:pPr>
      <w:spacing w:after="0" w:line="240" w:lineRule="auto"/>
    </w:pPr>
    <w:rPr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://www.agriculture.gov.au/import/goods/major-resources-and-energy-sector/bmp-templat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agriculture.gov.au/import/goods/vehicles-machinery/regulations/guides-checkli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con.agriculture.gov.au/BiconWeb4.0/" TargetMode="External"/><Relationship Id="rId20" Type="http://schemas.openxmlformats.org/officeDocument/2006/relationships/hyperlink" Target="https://majorprojectshelp.business.gov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airandseacargo@awe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pa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iness.gov.au/mp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a0dd2c024117f1c72f84498cdb49f4f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e950eb60-a35e-4b14-88a9-41f408f74491" targetNamespace="http://schemas.microsoft.com/office/2006/metadata/properties" ma:root="true" ma:fieldsID="a2b708221e224d29fbe8c5eaf269731a" ns1:_="" ns2:_="" ns3:_="">
    <xsd:import namespace="http://schemas.microsoft.com/sharepoint/v3"/>
    <xsd:import namespace="a36bd50b-1532-4c22-b385-5c082c960938"/>
    <xsd:import namespace="e950eb60-a35e-4b14-88a9-41f408f744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Mar-Apr 2017 review round - no feedback as at 12/04</Comments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TaxCatchAll xmlns="a36bd50b-1532-4c22-b385-5c082c960938">
      <Value>52</Value>
      <Value>387</Value>
      <Value>3</Value>
      <Value>471</Value>
      <Value>7</Value>
    </TaxCatchAll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MPAA</TermName>
          <TermId xmlns="http://schemas.microsoft.com/office/infopath/2007/PartnerControls">e3e67d11-9afd-49bc-8113-feea8f08469b</TermId>
        </TermInfo>
      </Terms>
    </adb9bed2e36e4a93af574aeb444da63e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a36bd50b-1532-4c22-b385-5c082c960938">A3PSR54DD4M5-1894031199-99</_dlc_DocId>
    <_dlc_DocIdUrl xmlns="a36bd50b-1532-4c22-b385-5c082c960938">
      <Url>https://dochub/div/officeofnorthernaustralia/businessfunctions/majorprojects/programmemgmnt/_layouts/15/DocIdRedir.aspx?ID=A3PSR54DD4M5-1894031199-99</Url>
      <Description>A3PSR54DD4M5-1894031199-99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ACAE-A326-4F05-BC44-6B5AF619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F0ED9-75BB-4BA6-B107-F066F8BB49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7A3FA5-C83F-4AB4-95F9-D08F7DD1A5F2}"/>
</file>

<file path=customXml/itemProps4.xml><?xml version="1.0" encoding="utf-8"?>
<ds:datastoreItem xmlns:ds="http://schemas.openxmlformats.org/officeDocument/2006/customXml" ds:itemID="{FC632F6D-F531-4414-942A-EAFA071FBCA0}">
  <ds:schemaRefs>
    <ds:schemaRef ds:uri="a36bd50b-1532-4c22-b385-5c082c96093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50eb60-a35e-4b14-88a9-41f408f7449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DBA7C21-36A0-4D3F-BCD2-44770AA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IMPORTING MACHINERY AND EQUIPMENT</vt:lpstr>
    </vt:vector>
  </TitlesOfParts>
  <Company>DIISRTE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IMPORTING MACHINERY AND EQUIPMENT</dc:title>
  <dc:creator>Gunning, Paul</dc:creator>
  <cp:lastModifiedBy>Pusceddu, Anna</cp:lastModifiedBy>
  <cp:revision>13</cp:revision>
  <dcterms:created xsi:type="dcterms:W3CDTF">2021-04-28T22:43:00Z</dcterms:created>
  <dcterms:modified xsi:type="dcterms:W3CDTF">2021-09-06T06:03:00Z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0x010100896D55852D93604AA440876A3B15BB43</vt:lpwstr>
  </property>
  <property fmtid="{D5CDD505-2E9C-101B-9397-08002B2CF9AE}" pid="7" name="_dlc_DocIdItemGuid">
    <vt:lpwstr>598d900e-035c-4c20-8cd6-cd8c81b07214</vt:lpwstr>
  </property>
  <property fmtid="{D5CDD505-2E9C-101B-9397-08002B2CF9AE}" pid="8" name="DocHub_Year">
    <vt:lpwstr>387;#2017|5f6de30b-6e1e-4c09-9e51-982258231536</vt:lpwstr>
  </property>
  <property fmtid="{D5CDD505-2E9C-101B-9397-08002B2CF9AE}" pid="9" name="DocHub_DocumentType">
    <vt:lpwstr>52;#Fact Sheet|38af007d-6d80-4dd0-9833-ef17489d7c7e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Keywords">
    <vt:lpwstr>471;#MPAA|e3e67d11-9afd-49bc-8113-feea8f08469b</vt:lpwstr>
  </property>
  <property fmtid="{D5CDD505-2E9C-101B-9397-08002B2CF9AE}" pid="12" name="DocHub_WorkActivity">
    <vt:lpwstr>7;#Communication|cd41d649-1e1a-44f5-b99b-946d42ce56d6</vt:lpwstr>
  </property>
  <property fmtid="{D5CDD505-2E9C-101B-9397-08002B2CF9AE}" pid="13" name="DocHub_PDMSNumber">
    <vt:lpwstr/>
  </property>
  <property fmtid="{D5CDD505-2E9C-101B-9397-08002B2CF9AE}" pid="14" name="IconOverlay">
    <vt:lpwstr/>
  </property>
</Properties>
</file>