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289801" w:displacedByCustomXml="next"/>
    <w:bookmarkStart w:id="1" w:name="_Toc144911604" w:displacedByCustomXml="next"/>
    <w:bookmarkStart w:id="2" w:name="_Toc155176735" w:displacedByCustomXml="next"/>
    <w:sdt>
      <w:sdtPr>
        <w:id w:val="-2088995269"/>
        <w:docPartObj>
          <w:docPartGallery w:val="Cover Pages"/>
          <w:docPartUnique/>
        </w:docPartObj>
      </w:sdtPr>
      <w:sdtEndPr/>
      <w:sdtContent>
        <w:bookmarkEnd w:id="0" w:displacedByCustomXml="next"/>
        <w:bookmarkEnd w:id="1" w:displacedByCustomXml="next"/>
        <w:bookmarkEnd w:id="2" w:displacedByCustomXml="next"/>
        <w:sdt>
          <w:sdtPr>
            <w:alias w:val="Title"/>
            <w:tag w:val=""/>
            <w:id w:val="-856345196"/>
            <w:placeholder>
              <w:docPart w:val="71986B45844B4990BC6B7097CC6940AD"/>
            </w:placeholder>
            <w:dataBinding w:prefixMappings="xmlns:ns0='http://purl.org/dc/elements/1.1/' xmlns:ns1='http://schemas.openxmlformats.org/package/2006/metadata/core-properties' " w:xpath="/ns1:coreProperties[1]/ns0:title[1]" w:storeItemID="{6C3C8BC8-F283-45AE-878A-BAB7291924A1}"/>
            <w:text/>
          </w:sdtPr>
          <w:sdtEndPr/>
          <w:sdtContent>
            <w:p w14:paraId="0B7559B1" w14:textId="083B92CC" w:rsidR="0068286F" w:rsidRPr="00BC6C16" w:rsidRDefault="00772BEC" w:rsidP="00BC6C16">
              <w:pPr>
                <w:pStyle w:val="Heading1"/>
              </w:pPr>
              <w:r w:rsidRPr="00772BEC">
                <w:t>Offshore Petroleum and Greenhouse Gas Storage Act 2006 (greenhouse gas storage activities)</w:t>
              </w:r>
            </w:p>
          </w:sdtContent>
        </w:sdt>
      </w:sdtContent>
    </w:sdt>
    <w:p w14:paraId="5B9A198D" w14:textId="4AE50862" w:rsidR="00B400E0" w:rsidRPr="00BC6C16" w:rsidRDefault="00772BEC" w:rsidP="00BC6C16">
      <w:pPr>
        <w:pStyle w:val="Subtitle"/>
        <w:sectPr w:rsidR="00B400E0" w:rsidRPr="00BC6C16" w:rsidSect="00B400E0">
          <w:headerReference w:type="default" r:id="rId12"/>
          <w:footerReference w:type="default" r:id="rId13"/>
          <w:headerReference w:type="first" r:id="rId14"/>
          <w:footerReference w:type="first" r:id="rId15"/>
          <w:pgSz w:w="11906" w:h="16838"/>
          <w:pgMar w:top="720" w:right="720" w:bottom="720" w:left="720" w:header="567" w:footer="567" w:gutter="0"/>
          <w:cols w:space="708"/>
          <w:docGrid w:linePitch="360"/>
        </w:sectPr>
      </w:pPr>
      <w:r w:rsidRPr="00F0634B">
        <w:t xml:space="preserve">If your project involves </w:t>
      </w:r>
      <w:r>
        <w:t xml:space="preserve">the injection, storage or exploration of </w:t>
      </w:r>
      <w:r w:rsidRPr="00F0634B">
        <w:t xml:space="preserve">greenhouse </w:t>
      </w:r>
      <w:r>
        <w:t xml:space="preserve">gas </w:t>
      </w:r>
      <w:r w:rsidRPr="00F0634B">
        <w:t>in an Australian offshore area in the sea, you must obtain titles and plan approvals in accordance with this Act</w:t>
      </w:r>
      <w:r w:rsidR="007F5051" w:rsidRPr="00BC6C16">
        <w:t xml:space="preserve">. </w:t>
      </w:r>
    </w:p>
    <w:p w14:paraId="1E1085AC" w14:textId="0B407E83" w:rsidR="007F5051" w:rsidRPr="00BC6C16" w:rsidRDefault="007F5051" w:rsidP="00BC6C16">
      <w:pPr>
        <w:pStyle w:val="Heading2"/>
      </w:pPr>
      <w:r w:rsidRPr="00BC6C16">
        <w:t>1. What approvals do I need?</w:t>
      </w:r>
    </w:p>
    <w:p w14:paraId="44B643C7" w14:textId="53F2DCD9" w:rsidR="00772BEC" w:rsidRPr="004C2BC3" w:rsidRDefault="00772BEC" w:rsidP="00772BEC">
      <w:r>
        <w:t>G</w:t>
      </w:r>
      <w:r w:rsidRPr="004C2BC3">
        <w:t>reenhouse gas</w:t>
      </w:r>
      <w:r>
        <w:t xml:space="preserve"> injection, storage and exploration</w:t>
      </w:r>
      <w:r w:rsidRPr="004C2BC3">
        <w:t xml:space="preserve"> </w:t>
      </w:r>
      <w:r w:rsidR="003D7C10" w:rsidRPr="004C2BC3">
        <w:t>activities</w:t>
      </w:r>
      <w:r w:rsidR="003D7C10">
        <w:t xml:space="preserve"> in Australia’s offshore areas</w:t>
      </w:r>
      <w:r w:rsidR="003D7C10" w:rsidRPr="004C2BC3">
        <w:t xml:space="preserve"> </w:t>
      </w:r>
      <w:r w:rsidR="003D7C10">
        <w:t>require an appropriate title and an approved Offshore Project Proposal (OPP) and environment plan in accordance with</w:t>
      </w:r>
      <w:r w:rsidR="003D7C10" w:rsidRPr="004C2BC3">
        <w:t xml:space="preserve"> </w:t>
      </w:r>
      <w:r w:rsidR="003D7C10">
        <w:t>t</w:t>
      </w:r>
      <w:r w:rsidR="003D7C10" w:rsidRPr="004C2BC3">
        <w:t xml:space="preserve">he </w:t>
      </w:r>
      <w:hyperlink r:id="rId16" w:history="1">
        <w:r w:rsidR="003D7C10" w:rsidRPr="004C2BC3">
          <w:rPr>
            <w:rStyle w:val="Hyperlink"/>
            <w:i/>
          </w:rPr>
          <w:t xml:space="preserve">Offshore Petroleum </w:t>
        </w:r>
        <w:r w:rsidR="003D7C10">
          <w:rPr>
            <w:rStyle w:val="Hyperlink"/>
            <w:i/>
          </w:rPr>
          <w:t xml:space="preserve">Act </w:t>
        </w:r>
        <w:r w:rsidR="003D7C10" w:rsidRPr="004C2BC3">
          <w:rPr>
            <w:rStyle w:val="Hyperlink"/>
            <w:i/>
          </w:rPr>
          <w:t>and Greenhouse Gas Storage Act 2006</w:t>
        </w:r>
      </w:hyperlink>
      <w:r w:rsidR="003D7C10" w:rsidRPr="004C2BC3">
        <w:rPr>
          <w:i/>
        </w:rPr>
        <w:t xml:space="preserve"> </w:t>
      </w:r>
      <w:r w:rsidR="003D7C10" w:rsidRPr="004C2BC3">
        <w:t>(</w:t>
      </w:r>
      <w:r w:rsidR="003D7C10">
        <w:t>OPGGS</w:t>
      </w:r>
      <w:r w:rsidR="003D7C10" w:rsidRPr="004C2BC3">
        <w:t xml:space="preserve"> Act).</w:t>
      </w:r>
      <w:r w:rsidR="003D7C10">
        <w:t xml:space="preserve"> </w:t>
      </w:r>
      <w:r w:rsidR="003D7C10" w:rsidRPr="00F44C63">
        <w:t>Offshore areas generally start three nautical miles from the Australian coastline, extending to the boundary of Australia’s continental shelf.</w:t>
      </w:r>
    </w:p>
    <w:p w14:paraId="1F52FD84" w14:textId="188913F6" w:rsidR="00772BEC" w:rsidRDefault="00825442" w:rsidP="00772BEC">
      <w:hyperlink r:id="rId17" w:history="1">
        <w:r w:rsidR="00772BEC" w:rsidRPr="00F0634B">
          <w:rPr>
            <w:rStyle w:val="Hyperlink"/>
          </w:rPr>
          <w:t xml:space="preserve">Greenhouse gas </w:t>
        </w:r>
        <w:r w:rsidR="00AE5673">
          <w:rPr>
            <w:rStyle w:val="Hyperlink"/>
          </w:rPr>
          <w:t xml:space="preserve">storage </w:t>
        </w:r>
        <w:r w:rsidR="00772BEC" w:rsidRPr="00F0634B">
          <w:rPr>
            <w:rStyle w:val="Hyperlink"/>
          </w:rPr>
          <w:t>titles</w:t>
        </w:r>
      </w:hyperlink>
      <w:r w:rsidR="00772BEC">
        <w:t xml:space="preserve"> </w:t>
      </w:r>
      <w:bookmarkStart w:id="3" w:name="_Hlk177110698"/>
      <w:bookmarkStart w:id="4" w:name="_Hlk168908531"/>
      <w:r w:rsidR="00AE5673">
        <w:t xml:space="preserve">derived </w:t>
      </w:r>
      <w:r w:rsidR="00CB078F">
        <w:t xml:space="preserve">from </w:t>
      </w:r>
      <w:r w:rsidR="00AE5673" w:rsidRPr="00AE5673">
        <w:t>Greenhouse Gas Assessment Permits</w:t>
      </w:r>
      <w:r w:rsidR="00AE5673">
        <w:t xml:space="preserve"> are awarded on a successive basis and e</w:t>
      </w:r>
      <w:r w:rsidR="00AE5673" w:rsidRPr="00681BD4">
        <w:t>ach</w:t>
      </w:r>
      <w:r w:rsidR="00AE5673">
        <w:t xml:space="preserve"> title</w:t>
      </w:r>
      <w:r w:rsidR="00AE5673" w:rsidRPr="00681BD4">
        <w:t xml:space="preserve"> is granted over a particular area. </w:t>
      </w:r>
      <w:bookmarkEnd w:id="3"/>
      <w:r w:rsidR="003D7C10">
        <w:t>A</w:t>
      </w:r>
      <w:r w:rsidR="00AE5673">
        <w:t>n</w:t>
      </w:r>
      <w:r w:rsidR="003D7C10">
        <w:t xml:space="preserve"> </w:t>
      </w:r>
      <w:r w:rsidR="00AE5673">
        <w:t>assessment</w:t>
      </w:r>
      <w:r w:rsidR="000F681E">
        <w:t xml:space="preserve"> </w:t>
      </w:r>
      <w:r w:rsidR="003D7C10">
        <w:t>permit can only be granted in an offshore area</w:t>
      </w:r>
      <w:r w:rsidR="00DE315D">
        <w:t xml:space="preserve"> the </w:t>
      </w:r>
      <w:r w:rsidR="00DE315D" w:rsidRPr="00BF5D9A">
        <w:t>Australian Government Minister for Resources</w:t>
      </w:r>
      <w:r w:rsidR="00DE315D">
        <w:t xml:space="preserve"> has</w:t>
      </w:r>
      <w:r w:rsidR="00085A1E">
        <w:t xml:space="preserve"> </w:t>
      </w:r>
      <w:hyperlink r:id="rId18" w:history="1">
        <w:r w:rsidR="00772BEC" w:rsidRPr="001417C9">
          <w:rPr>
            <w:rStyle w:val="Hyperlink"/>
          </w:rPr>
          <w:t>released</w:t>
        </w:r>
      </w:hyperlink>
      <w:r w:rsidR="00772BEC">
        <w:t xml:space="preserve"> for greenhouse gas storage</w:t>
      </w:r>
      <w:bookmarkEnd w:id="4"/>
      <w:r w:rsidR="00DE315D">
        <w:t>,</w:t>
      </w:r>
      <w:r w:rsidR="003D7C10">
        <w:t xml:space="preserve"> following a competitive bidding process.</w:t>
      </w:r>
    </w:p>
    <w:p w14:paraId="4DD46AB9" w14:textId="77777777" w:rsidR="00772BEC" w:rsidRDefault="00772BEC" w:rsidP="00772BEC">
      <w:r w:rsidRPr="00B929D9">
        <w:t>Titles</w:t>
      </w:r>
      <w:r>
        <w:t xml:space="preserve"> are as follows:</w:t>
      </w:r>
    </w:p>
    <w:p w14:paraId="690F16C4" w14:textId="1F337146" w:rsidR="00772BEC" w:rsidRDefault="00772BEC" w:rsidP="00772BEC">
      <w:pPr>
        <w:pStyle w:val="ListParagraph"/>
        <w:widowControl w:val="0"/>
        <w:numPr>
          <w:ilvl w:val="0"/>
          <w:numId w:val="10"/>
        </w:numPr>
        <w:spacing w:before="60" w:after="60"/>
        <w:ind w:left="567" w:hanging="567"/>
      </w:pPr>
      <w:r>
        <w:rPr>
          <w:b/>
          <w:bCs/>
        </w:rPr>
        <w:t>Greenhouse Gas</w:t>
      </w:r>
      <w:r>
        <w:t xml:space="preserve"> </w:t>
      </w:r>
      <w:r w:rsidRPr="00BF50F9">
        <w:rPr>
          <w:b/>
          <w:bCs/>
        </w:rPr>
        <w:t>Assessment Permit</w:t>
      </w:r>
      <w:r>
        <w:rPr>
          <w:b/>
          <w:bCs/>
        </w:rPr>
        <w:t>s</w:t>
      </w:r>
      <w:r>
        <w:t xml:space="preserve"> </w:t>
      </w:r>
      <w:r w:rsidRPr="00BF50F9">
        <w:t>authorise</w:t>
      </w:r>
      <w:r>
        <w:t xml:space="preserve"> exploration</w:t>
      </w:r>
      <w:r w:rsidRPr="00BF50F9">
        <w:t xml:space="preserve"> </w:t>
      </w:r>
      <w:bookmarkStart w:id="5" w:name="_Hlk168908574"/>
      <w:r w:rsidRPr="00BF50F9">
        <w:t>for formations and injection sites</w:t>
      </w:r>
      <w:r>
        <w:t xml:space="preserve"> in a defined area within </w:t>
      </w:r>
      <w:r w:rsidR="000F681E">
        <w:t>the offshore</w:t>
      </w:r>
      <w:r>
        <w:t xml:space="preserve"> release area.</w:t>
      </w:r>
      <w:bookmarkEnd w:id="5"/>
    </w:p>
    <w:p w14:paraId="02E95C10" w14:textId="651218B4" w:rsidR="00772BEC" w:rsidRDefault="00772BEC" w:rsidP="00772BEC">
      <w:pPr>
        <w:pStyle w:val="ListParagraph"/>
        <w:widowControl w:val="0"/>
        <w:numPr>
          <w:ilvl w:val="0"/>
          <w:numId w:val="10"/>
        </w:numPr>
        <w:spacing w:before="60" w:after="60"/>
        <w:ind w:left="567" w:hanging="567"/>
      </w:pPr>
      <w:r>
        <w:rPr>
          <w:b/>
          <w:bCs/>
        </w:rPr>
        <w:t>Greenhouse Gas</w:t>
      </w:r>
      <w:r>
        <w:t xml:space="preserve"> </w:t>
      </w:r>
      <w:r w:rsidRPr="00BF50F9">
        <w:rPr>
          <w:b/>
          <w:bCs/>
        </w:rPr>
        <w:t>Holding Lease</w:t>
      </w:r>
      <w:r>
        <w:rPr>
          <w:b/>
          <w:bCs/>
        </w:rPr>
        <w:t>s</w:t>
      </w:r>
      <w:r>
        <w:t xml:space="preserve"> are</w:t>
      </w:r>
      <w:r w:rsidRPr="00BF50F9">
        <w:t xml:space="preserve"> granted if the applicant </w:t>
      </w:r>
      <w:r>
        <w:t>is not currently</w:t>
      </w:r>
      <w:r w:rsidRPr="00BF50F9">
        <w:t xml:space="preserve"> </w:t>
      </w:r>
      <w:proofErr w:type="gramStart"/>
      <w:r w:rsidRPr="00BF50F9">
        <w:t>in a position</w:t>
      </w:r>
      <w:proofErr w:type="gramEnd"/>
      <w:r w:rsidRPr="00BF50F9">
        <w:t xml:space="preserve"> to inject and store a greenhouse gas substance</w:t>
      </w:r>
      <w:r>
        <w:t xml:space="preserve"> but will likely be in this position</w:t>
      </w:r>
      <w:r w:rsidRPr="00BF50F9">
        <w:t xml:space="preserve"> within 15 years.</w:t>
      </w:r>
    </w:p>
    <w:p w14:paraId="4D7D72C8" w14:textId="77777777" w:rsidR="00772BEC" w:rsidRDefault="00772BEC" w:rsidP="00772BEC">
      <w:pPr>
        <w:pStyle w:val="ListParagraph"/>
        <w:widowControl w:val="0"/>
        <w:numPr>
          <w:ilvl w:val="0"/>
          <w:numId w:val="10"/>
        </w:numPr>
        <w:spacing w:before="60" w:after="60"/>
        <w:ind w:left="567" w:hanging="567"/>
      </w:pPr>
      <w:r>
        <w:rPr>
          <w:b/>
          <w:bCs/>
        </w:rPr>
        <w:t>Greenhouse Gas</w:t>
      </w:r>
      <w:r>
        <w:t xml:space="preserve"> </w:t>
      </w:r>
      <w:r w:rsidRPr="00BF50F9">
        <w:rPr>
          <w:b/>
          <w:bCs/>
        </w:rPr>
        <w:t>Injection Licence</w:t>
      </w:r>
      <w:r>
        <w:rPr>
          <w:b/>
          <w:bCs/>
        </w:rPr>
        <w:t>s</w:t>
      </w:r>
      <w:r>
        <w:t xml:space="preserve"> </w:t>
      </w:r>
      <w:r w:rsidRPr="00BF50F9">
        <w:t>authorise injection and storage operations</w:t>
      </w:r>
      <w:r>
        <w:t>.</w:t>
      </w:r>
    </w:p>
    <w:p w14:paraId="60A93980" w14:textId="77777777" w:rsidR="00772BEC" w:rsidRDefault="00772BEC" w:rsidP="00772BEC">
      <w:pPr>
        <w:pStyle w:val="ListParagraph"/>
        <w:widowControl w:val="0"/>
        <w:numPr>
          <w:ilvl w:val="0"/>
          <w:numId w:val="10"/>
        </w:numPr>
        <w:spacing w:before="60" w:after="60"/>
        <w:ind w:left="567" w:hanging="567"/>
      </w:pPr>
      <w:bookmarkStart w:id="6" w:name="_Hlk177111004"/>
      <w:r>
        <w:rPr>
          <w:b/>
          <w:bCs/>
        </w:rPr>
        <w:t>Greenhouse Gas</w:t>
      </w:r>
      <w:r>
        <w:t xml:space="preserve"> </w:t>
      </w:r>
      <w:r w:rsidRPr="00BF50F9">
        <w:rPr>
          <w:b/>
          <w:bCs/>
        </w:rPr>
        <w:t>Search Authorit</w:t>
      </w:r>
      <w:r>
        <w:rPr>
          <w:b/>
          <w:bCs/>
        </w:rPr>
        <w:t>ies</w:t>
      </w:r>
      <w:r>
        <w:t xml:space="preserve"> </w:t>
      </w:r>
      <w:bookmarkEnd w:id="6"/>
      <w:r w:rsidRPr="00BF50F9">
        <w:t>authorise</w:t>
      </w:r>
      <w:r>
        <w:t xml:space="preserve"> </w:t>
      </w:r>
      <w:r>
        <w:t>exploration for potential</w:t>
      </w:r>
      <w:r w:rsidRPr="00BF50F9">
        <w:t xml:space="preserve"> formations or injection sites</w:t>
      </w:r>
      <w:r>
        <w:t xml:space="preserve"> for up to 180 days in an area not covered by any of the above titles.</w:t>
      </w:r>
    </w:p>
    <w:p w14:paraId="570FC1FC" w14:textId="77777777" w:rsidR="00772BEC" w:rsidRDefault="00772BEC" w:rsidP="00772BEC">
      <w:pPr>
        <w:pStyle w:val="ListParagraph"/>
        <w:widowControl w:val="0"/>
        <w:numPr>
          <w:ilvl w:val="0"/>
          <w:numId w:val="10"/>
        </w:numPr>
        <w:spacing w:before="60" w:after="60"/>
        <w:ind w:left="567" w:hanging="567"/>
      </w:pPr>
      <w:r>
        <w:rPr>
          <w:b/>
          <w:bCs/>
        </w:rPr>
        <w:t>Greenhouse Gas</w:t>
      </w:r>
      <w:r>
        <w:t xml:space="preserve"> </w:t>
      </w:r>
      <w:r>
        <w:rPr>
          <w:b/>
          <w:bCs/>
        </w:rPr>
        <w:t>Special</w:t>
      </w:r>
      <w:r w:rsidRPr="00854366">
        <w:rPr>
          <w:b/>
          <w:bCs/>
        </w:rPr>
        <w:t xml:space="preserve"> Authorit</w:t>
      </w:r>
      <w:r>
        <w:rPr>
          <w:b/>
          <w:bCs/>
        </w:rPr>
        <w:t>ies</w:t>
      </w:r>
      <w:r>
        <w:t xml:space="preserve"> authorise operations related to any of the above titles to be carried out in areas outside the area of the permit, lease, licence or search authority.   </w:t>
      </w:r>
    </w:p>
    <w:p w14:paraId="63481F48" w14:textId="77777777" w:rsidR="00AE5673" w:rsidRDefault="00772BEC" w:rsidP="00AE5673">
      <w:pPr>
        <w:pStyle w:val="ListParagraph"/>
        <w:widowControl w:val="0"/>
        <w:numPr>
          <w:ilvl w:val="0"/>
          <w:numId w:val="10"/>
        </w:numPr>
        <w:spacing w:before="60" w:after="60"/>
        <w:ind w:left="567" w:hanging="567"/>
      </w:pPr>
      <w:r>
        <w:rPr>
          <w:b/>
          <w:bCs/>
        </w:rPr>
        <w:t>Greenhouse Gas</w:t>
      </w:r>
      <w:r>
        <w:t xml:space="preserve"> </w:t>
      </w:r>
      <w:r>
        <w:rPr>
          <w:b/>
          <w:bCs/>
        </w:rPr>
        <w:t>Research Consents</w:t>
      </w:r>
      <w:r>
        <w:t xml:space="preserve"> authorise greenhouse gas-related operations </w:t>
      </w:r>
      <w:proofErr w:type="gramStart"/>
      <w:r>
        <w:t>in the course of</w:t>
      </w:r>
      <w:proofErr w:type="gramEnd"/>
      <w:r>
        <w:t xml:space="preserve"> a scientific investigation.</w:t>
      </w:r>
    </w:p>
    <w:p w14:paraId="10A17A6F" w14:textId="58ED0D86" w:rsidR="00AE5673" w:rsidRDefault="00AE5673" w:rsidP="00AE5673">
      <w:pPr>
        <w:pStyle w:val="ListParagraph"/>
        <w:widowControl w:val="0"/>
        <w:numPr>
          <w:ilvl w:val="0"/>
          <w:numId w:val="10"/>
        </w:numPr>
        <w:spacing w:before="60" w:after="60"/>
        <w:ind w:left="567" w:hanging="567"/>
      </w:pPr>
      <w:r w:rsidRPr="00AE5673">
        <w:rPr>
          <w:b/>
          <w:bCs/>
        </w:rPr>
        <w:t>Infrastructure Licences</w:t>
      </w:r>
      <w:r>
        <w:t xml:space="preserve"> authorise the construction and operation of an infrastructure facility in relation to greenhouse gas or petroleum.</w:t>
      </w:r>
    </w:p>
    <w:p w14:paraId="5B7D0A84" w14:textId="3BD68BE6" w:rsidR="00AE5673" w:rsidRDefault="00AE5673" w:rsidP="00AE5673">
      <w:pPr>
        <w:pStyle w:val="ListParagraph"/>
        <w:widowControl w:val="0"/>
        <w:numPr>
          <w:ilvl w:val="0"/>
          <w:numId w:val="10"/>
        </w:numPr>
        <w:spacing w:before="60" w:after="60"/>
        <w:ind w:left="567" w:hanging="567"/>
      </w:pPr>
      <w:r w:rsidRPr="00AE5673">
        <w:rPr>
          <w:b/>
          <w:bCs/>
        </w:rPr>
        <w:t xml:space="preserve">Pipeline Licences </w:t>
      </w:r>
      <w:r>
        <w:t>authorise the construction and operation of a pipeline to convey greenhouse gas or petroleum.</w:t>
      </w:r>
    </w:p>
    <w:p w14:paraId="22B00CC1" w14:textId="77777777" w:rsidR="00772BEC" w:rsidRDefault="00825442" w:rsidP="00772BEC">
      <w:pPr>
        <w:widowControl w:val="0"/>
      </w:pPr>
      <w:hyperlink r:id="rId19" w:history="1">
        <w:r w:rsidR="00772BEC">
          <w:rPr>
            <w:rStyle w:val="Hyperlink"/>
          </w:rPr>
          <w:t>Guidelines</w:t>
        </w:r>
      </w:hyperlink>
      <w:r w:rsidR="00772BEC">
        <w:t xml:space="preserve"> on </w:t>
      </w:r>
      <w:r w:rsidR="00772BEC" w:rsidRPr="00B929D9">
        <w:t>title requirements</w:t>
      </w:r>
      <w:r w:rsidR="00772BEC">
        <w:t xml:space="preserve"> are available on the </w:t>
      </w:r>
      <w:r w:rsidR="00772BEC" w:rsidRPr="000C520D">
        <w:rPr>
          <w:iCs/>
        </w:rPr>
        <w:t>National Offshore Petroleum Titles Administrator (NOPTA)</w:t>
      </w:r>
      <w:r w:rsidR="00772BEC">
        <w:t xml:space="preserve"> website.</w:t>
      </w:r>
    </w:p>
    <w:p w14:paraId="0A8BD722" w14:textId="212B6DF7" w:rsidR="000F681E" w:rsidRDefault="000F681E" w:rsidP="000F681E">
      <w:bookmarkStart w:id="7" w:name="_Hlk152325430"/>
      <w:r>
        <w:t>Greenhouse gas</w:t>
      </w:r>
      <w:r w:rsidRPr="00DE76CB">
        <w:t xml:space="preserve"> operations require </w:t>
      </w:r>
      <w:r>
        <w:t xml:space="preserve">approval </w:t>
      </w:r>
      <w:r w:rsidRPr="00DE76CB">
        <w:t>of an environment plan prior to commencemen</w:t>
      </w:r>
      <w:r>
        <w:t>t</w:t>
      </w:r>
      <w:r w:rsidRPr="00DE76CB">
        <w:t xml:space="preserve">. Development projects also require </w:t>
      </w:r>
      <w:r>
        <w:t>approval</w:t>
      </w:r>
      <w:r w:rsidRPr="00DE76CB">
        <w:t xml:space="preserve"> of an OPP</w:t>
      </w:r>
      <w:r>
        <w:t>.</w:t>
      </w:r>
      <w:r w:rsidRPr="00DE76CB">
        <w:t xml:space="preserve"> </w:t>
      </w:r>
      <w:r>
        <w:t>Environment plans and OPPs</w:t>
      </w:r>
      <w:r w:rsidRPr="00DE76CB">
        <w:t xml:space="preserve"> must undergo an </w:t>
      </w:r>
      <w:hyperlink r:id="rId20" w:history="1">
        <w:r w:rsidRPr="00DE76CB">
          <w:rPr>
            <w:rStyle w:val="Hyperlink"/>
          </w:rPr>
          <w:t>assessment process</w:t>
        </w:r>
      </w:hyperlink>
      <w:r w:rsidRPr="00DE76CB">
        <w:t xml:space="preserve"> to receive </w:t>
      </w:r>
      <w:r>
        <w:t>approval</w:t>
      </w:r>
      <w:r w:rsidRPr="00DE76CB">
        <w:t>.</w:t>
      </w:r>
      <w:r>
        <w:t xml:space="preserve"> Content requirements for each of these documents are detailed within the </w:t>
      </w:r>
      <w:hyperlink r:id="rId21" w:history="1">
        <w:r w:rsidRPr="00146137">
          <w:rPr>
            <w:rStyle w:val="Hyperlink"/>
          </w:rPr>
          <w:t>Offshore Petroleum and Greenhouse Gas Storage (Environment) Regulations 2023</w:t>
        </w:r>
      </w:hyperlink>
      <w:r>
        <w:t>.</w:t>
      </w:r>
    </w:p>
    <w:bookmarkEnd w:id="7"/>
    <w:p w14:paraId="4C8FCF6A" w14:textId="58AA41A2" w:rsidR="000F681E" w:rsidRDefault="000F681E" w:rsidP="000F681E">
      <w:r>
        <w:t xml:space="preserve">Offshore titleholders should also be aware of ongoing obligations in respect to titles and offshore activities </w:t>
      </w:r>
      <w:r>
        <w:lastRenderedPageBreak/>
        <w:t xml:space="preserve">under the </w:t>
      </w:r>
      <w:hyperlink r:id="rId22" w:history="1">
        <w:r w:rsidRPr="0049550E">
          <w:rPr>
            <w:rStyle w:val="Hyperlink"/>
          </w:rPr>
          <w:t>Offshore Petroleum and Greenhouse Gas Storage (Resource Management and Administration) Regulations 2011</w:t>
        </w:r>
      </w:hyperlink>
      <w:r>
        <w:rPr>
          <w:rFonts w:ascii="Aptos" w:hAnsi="Aptos"/>
          <w:szCs w:val="20"/>
        </w:rPr>
        <w:t>.</w:t>
      </w:r>
    </w:p>
    <w:p w14:paraId="46738669" w14:textId="77777777" w:rsidR="000F681E" w:rsidRDefault="000F681E" w:rsidP="000F681E">
      <w:r>
        <w:t>Separate</w:t>
      </w:r>
      <w:r w:rsidRPr="004C2BC3">
        <w:t xml:space="preserve"> requirements</w:t>
      </w:r>
      <w:r>
        <w:t xml:space="preserve"> apply</w:t>
      </w:r>
      <w:r w:rsidRPr="004C2BC3">
        <w:t xml:space="preserve"> for offshore</w:t>
      </w:r>
      <w:r>
        <w:t xml:space="preserve"> </w:t>
      </w:r>
      <w:r w:rsidRPr="004C2BC3">
        <w:t xml:space="preserve">activities proposed in marine parks. </w:t>
      </w:r>
      <w:r>
        <w:t>For more information on these requirements, p</w:t>
      </w:r>
      <w:r w:rsidRPr="004C2BC3">
        <w:t>lease refer to</w:t>
      </w:r>
      <w:r>
        <w:t xml:space="preserve"> the</w:t>
      </w:r>
      <w:r w:rsidRPr="000C520D">
        <w:t xml:space="preserve"> National Offshore Petroleum Safety and Environmental Management Authority (NOPSEMA) </w:t>
      </w:r>
      <w:r>
        <w:t>and Parks Australia</w:t>
      </w:r>
      <w:r w:rsidRPr="00B95869">
        <w:t xml:space="preserve"> guidance note</w:t>
      </w:r>
      <w:r w:rsidRPr="000C520D">
        <w:rPr>
          <w:vertAlign w:val="superscript"/>
        </w:rPr>
        <w:t xml:space="preserve"> </w:t>
      </w:r>
      <w:r>
        <w:t xml:space="preserve">on </w:t>
      </w:r>
      <w:hyperlink r:id="rId23" w:history="1">
        <w:r w:rsidRPr="00B95869">
          <w:rPr>
            <w:rStyle w:val="Hyperlink"/>
          </w:rPr>
          <w:t>Petroleum activities and Australian Marine Parks</w:t>
        </w:r>
      </w:hyperlink>
      <w:r w:rsidRPr="000C520D">
        <w:rPr>
          <w:vertAlign w:val="superscript"/>
        </w:rPr>
        <w:t>[PDF]</w:t>
      </w:r>
      <w:r>
        <w:t>.</w:t>
      </w:r>
    </w:p>
    <w:p w14:paraId="5CF31B41" w14:textId="288D102F" w:rsidR="00B400E0" w:rsidRPr="00B400E0" w:rsidRDefault="00772BEC" w:rsidP="00772BEC">
      <w:pPr>
        <w:rPr>
          <w:rFonts w:ascii="Aptos" w:hAnsi="Aptos"/>
          <w:szCs w:val="20"/>
        </w:rPr>
      </w:pPr>
      <w:r>
        <w:t>Specific</w:t>
      </w:r>
      <w:r w:rsidRPr="000C520D">
        <w:rPr>
          <w:iCs/>
        </w:rPr>
        <w:t xml:space="preserve"> guidance</w:t>
      </w:r>
      <w:r>
        <w:t xml:space="preserve"> </w:t>
      </w:r>
      <w:r w:rsidRPr="000C520D">
        <w:rPr>
          <w:iCs/>
        </w:rPr>
        <w:t xml:space="preserve">on </w:t>
      </w:r>
      <w:hyperlink r:id="rId24" w:history="1">
        <w:r w:rsidRPr="00C25242">
          <w:rPr>
            <w:rStyle w:val="Hyperlink"/>
          </w:rPr>
          <w:t>Offshore Carbon Capture and Storage Regulatory Approvals</w:t>
        </w:r>
      </w:hyperlink>
      <w:r w:rsidRPr="000C520D">
        <w:rPr>
          <w:iCs/>
          <w:vertAlign w:val="superscript"/>
        </w:rPr>
        <w:t>[PDF]</w:t>
      </w:r>
      <w:r>
        <w:t xml:space="preserve"> under the OPGGS Act and other legislation is also available from NOPTA</w:t>
      </w:r>
      <w:r w:rsidR="00934A4A">
        <w:rPr>
          <w:rFonts w:ascii="Aptos" w:hAnsi="Aptos"/>
          <w:szCs w:val="20"/>
        </w:rPr>
        <w:t>.</w:t>
      </w:r>
    </w:p>
    <w:p w14:paraId="65E07AF2" w14:textId="5CD67D61" w:rsidR="007F5051" w:rsidRPr="00B400E0" w:rsidRDefault="007F5051" w:rsidP="00BC6C16">
      <w:pPr>
        <w:pStyle w:val="Heading2"/>
      </w:pPr>
      <w:r w:rsidRPr="00B400E0">
        <w:t>2. Who provides the approvals?</w:t>
      </w:r>
    </w:p>
    <w:p w14:paraId="283E6FD7" w14:textId="4E049E4E" w:rsidR="00772BEC" w:rsidRPr="00BF5D9A" w:rsidRDefault="000F681E" w:rsidP="00772BEC">
      <w:r>
        <w:t xml:space="preserve">NOPTA manages the </w:t>
      </w:r>
      <w:hyperlink r:id="rId25" w:history="1">
        <w:r w:rsidRPr="00286652">
          <w:rPr>
            <w:rStyle w:val="Hyperlink"/>
          </w:rPr>
          <w:t>Titles Register</w:t>
        </w:r>
      </w:hyperlink>
      <w:r>
        <w:t xml:space="preserve"> and</w:t>
      </w:r>
      <w:r w:rsidRPr="00DE76CB">
        <w:t xml:space="preserve"> undertakes the technical assessment of title and title</w:t>
      </w:r>
      <w:r>
        <w:t>-</w:t>
      </w:r>
      <w:r w:rsidRPr="00DE76CB">
        <w:t>related applications.</w:t>
      </w:r>
      <w:r>
        <w:t xml:space="preserve"> NOPTA makes decisions on the short-termed</w:t>
      </w:r>
      <w:r>
        <w:rPr>
          <w:iCs/>
        </w:rPr>
        <w:t xml:space="preserve"> </w:t>
      </w:r>
      <w:r w:rsidRPr="000F681E">
        <w:rPr>
          <w:iCs/>
        </w:rPr>
        <w:t xml:space="preserve">Greenhouse Gas Search Authorities </w:t>
      </w:r>
      <w:r w:rsidR="00772BEC">
        <w:rPr>
          <w:iCs/>
        </w:rPr>
        <w:t>and</w:t>
      </w:r>
      <w:r>
        <w:rPr>
          <w:iCs/>
        </w:rPr>
        <w:t xml:space="preserve"> </w:t>
      </w:r>
      <w:r w:rsidRPr="000F681E">
        <w:rPr>
          <w:iCs/>
        </w:rPr>
        <w:t>Greenhouse Gas Special Authorities</w:t>
      </w:r>
      <w:r>
        <w:rPr>
          <w:iCs/>
        </w:rPr>
        <w:t>.</w:t>
      </w:r>
      <w:r>
        <w:t xml:space="preserve"> </w:t>
      </w:r>
      <w:r w:rsidR="00772BEC" w:rsidRPr="00BF5D9A">
        <w:t xml:space="preserve">Based on </w:t>
      </w:r>
      <w:r>
        <w:t xml:space="preserve">technical </w:t>
      </w:r>
      <w:r w:rsidR="00772BEC" w:rsidRPr="00BF5D9A">
        <w:t xml:space="preserve">advice from NOPTA, the Australian Government Minister for Resources makes decisions on </w:t>
      </w:r>
      <w:r>
        <w:t xml:space="preserve">the grant of </w:t>
      </w:r>
      <w:r w:rsidR="00772BEC">
        <w:t xml:space="preserve">all other </w:t>
      </w:r>
      <w:r w:rsidR="00772BEC" w:rsidRPr="00BF5D9A">
        <w:t>greenhouse gas titles</w:t>
      </w:r>
      <w:r>
        <w:t xml:space="preserve"> and title-related applications.</w:t>
      </w:r>
    </w:p>
    <w:p w14:paraId="7E5547B8" w14:textId="1DABB3EF" w:rsidR="00772BEC" w:rsidRPr="000C520D" w:rsidRDefault="00772BEC" w:rsidP="00772BEC">
      <w:r>
        <w:t xml:space="preserve">For </w:t>
      </w:r>
      <w:r w:rsidRPr="000C520D">
        <w:t>infrastructure and pipeline licences</w:t>
      </w:r>
      <w:r>
        <w:t xml:space="preserve">, the decisionmaker is the </w:t>
      </w:r>
      <w:r w:rsidRPr="000C520D">
        <w:t>relevant Joint Authority</w:t>
      </w:r>
      <w:r>
        <w:t xml:space="preserve">. </w:t>
      </w:r>
      <w:r w:rsidR="000F681E">
        <w:t xml:space="preserve">The Joint Authority comprises </w:t>
      </w:r>
      <w:r w:rsidR="000F681E" w:rsidRPr="009B25E9">
        <w:t>the Australian Government Minister</w:t>
      </w:r>
      <w:r w:rsidR="000F681E">
        <w:t xml:space="preserve"> for Resources</w:t>
      </w:r>
      <w:r w:rsidR="000F681E" w:rsidRPr="009B25E9">
        <w:t xml:space="preserve"> and the </w:t>
      </w:r>
      <w:hyperlink r:id="rId26" w:history="1">
        <w:r w:rsidR="000F681E" w:rsidRPr="000E51CC">
          <w:rPr>
            <w:rStyle w:val="Hyperlink"/>
          </w:rPr>
          <w:t>relevant State or Northern Territory Minister</w:t>
        </w:r>
      </w:hyperlink>
      <w:r w:rsidR="000F681E">
        <w:t xml:space="preserve"> for the offshore area in question.</w:t>
      </w:r>
    </w:p>
    <w:p w14:paraId="0F2185A8" w14:textId="77777777" w:rsidR="000F681E" w:rsidRPr="004C2BC3" w:rsidRDefault="000F681E" w:rsidP="000F681E">
      <w:r>
        <w:t xml:space="preserve">NOPSEMA </w:t>
      </w:r>
      <w:r w:rsidRPr="004C2BC3">
        <w:t>assess</w:t>
      </w:r>
      <w:r>
        <w:t>es and makes decisions on</w:t>
      </w:r>
      <w:r w:rsidRPr="004C2BC3">
        <w:t xml:space="preserve"> </w:t>
      </w:r>
      <w:r>
        <w:t xml:space="preserve">the acceptance of OPPs </w:t>
      </w:r>
      <w:r w:rsidRPr="004C2BC3">
        <w:t xml:space="preserve">and </w:t>
      </w:r>
      <w:r>
        <w:t>environment</w:t>
      </w:r>
      <w:r w:rsidRPr="004C2BC3">
        <w:t xml:space="preserve"> plans</w:t>
      </w:r>
      <w:r>
        <w:t>.</w:t>
      </w:r>
    </w:p>
    <w:p w14:paraId="6DE07F35" w14:textId="77777777" w:rsidR="000F681E" w:rsidRPr="00083402" w:rsidRDefault="000F681E" w:rsidP="000F681E">
      <w:r w:rsidRPr="00DB700C">
        <w:t>For activit</w:t>
      </w:r>
      <w:r>
        <w:t>ies</w:t>
      </w:r>
      <w:r w:rsidRPr="00DB700C">
        <w:t xml:space="preserve"> occurring in State or Northern Territory coastal waters, separate legislation applies, and additional approvals are required</w:t>
      </w:r>
      <w:r>
        <w:t xml:space="preserve"> from each state or territory</w:t>
      </w:r>
      <w:r w:rsidRPr="00B400E0">
        <w:rPr>
          <w:rFonts w:ascii="Aptos" w:hAnsi="Aptos"/>
          <w:szCs w:val="20"/>
        </w:rPr>
        <w:t>.</w:t>
      </w:r>
    </w:p>
    <w:p w14:paraId="1883C6AF" w14:textId="6CAB8C82" w:rsidR="007F5051" w:rsidRPr="00B400E0" w:rsidRDefault="007F5051" w:rsidP="00BC6C16">
      <w:pPr>
        <w:pStyle w:val="Heading2"/>
      </w:pPr>
      <w:r w:rsidRPr="00B400E0">
        <w:t>3. How do I apply for the approvals?</w:t>
      </w:r>
    </w:p>
    <w:p w14:paraId="1D3DB26A" w14:textId="57C4E91F" w:rsidR="000F681E" w:rsidRDefault="000F681E" w:rsidP="00772BEC">
      <w:r w:rsidRPr="00BE00BB">
        <w:t xml:space="preserve">Applications for the grant of </w:t>
      </w:r>
      <w:r>
        <w:t>assessment</w:t>
      </w:r>
      <w:r w:rsidRPr="00BE00BB">
        <w:t xml:space="preserve"> permits from an acreage release are submitted to NOPTA in accordance with the requirements specified in the Invitation to Bid published in the </w:t>
      </w:r>
      <w:hyperlink r:id="rId27" w:history="1">
        <w:r w:rsidRPr="00CB078F">
          <w:rPr>
            <w:rStyle w:val="Hyperlink"/>
          </w:rPr>
          <w:t>Australian Government Gazette</w:t>
        </w:r>
      </w:hyperlink>
      <w:r w:rsidRPr="00BE00BB">
        <w:t xml:space="preserve">. </w:t>
      </w:r>
      <w:r>
        <w:t xml:space="preserve">Applications for titles derived from </w:t>
      </w:r>
      <w:r w:rsidR="00AE5673">
        <w:t>assessment</w:t>
      </w:r>
      <w:r>
        <w:t xml:space="preserve"> permits and all title-related applications are submitted to NOPTA by email or post using the approved manner and form detailed in NOPTA’s</w:t>
      </w:r>
      <w:r w:rsidRPr="004C2BC3">
        <w:t xml:space="preserve"> </w:t>
      </w:r>
      <w:hyperlink r:id="rId28" w:history="1">
        <w:r>
          <w:rPr>
            <w:rStyle w:val="Hyperlink"/>
          </w:rPr>
          <w:t>Greenhouse Gas Forms Guidance</w:t>
        </w:r>
      </w:hyperlink>
      <w:r w:rsidRPr="00A475B3">
        <w:rPr>
          <w:vertAlign w:val="superscript"/>
        </w:rPr>
        <w:t>[PDF]</w:t>
      </w:r>
      <w:r>
        <w:t>. The specific application process will depend on the title.</w:t>
      </w:r>
    </w:p>
    <w:p w14:paraId="148BC962" w14:textId="77777777" w:rsidR="00AE5673" w:rsidRPr="00083402" w:rsidRDefault="00AE5673" w:rsidP="00AE5673">
      <w:r>
        <w:t xml:space="preserve">OPPs and environment plans are submitted to NOPSEMA for assessment based on the </w:t>
      </w:r>
      <w:hyperlink r:id="rId29" w:history="1">
        <w:r w:rsidRPr="004C2BC3">
          <w:rPr>
            <w:rStyle w:val="Hyperlink"/>
          </w:rPr>
          <w:t>submission process</w:t>
        </w:r>
      </w:hyperlink>
      <w:r>
        <w:t xml:space="preserve"> outlined on NOPSEMA’s website. Depending on the </w:t>
      </w:r>
      <w:proofErr w:type="gramStart"/>
      <w:r>
        <w:t>particular document</w:t>
      </w:r>
      <w:proofErr w:type="gramEnd"/>
      <w:r>
        <w:t xml:space="preserve"> involved for each element of a proposal or plan, submission may take place by online portal, secure file transfer or email</w:t>
      </w:r>
      <w:r w:rsidRPr="00B400E0">
        <w:rPr>
          <w:rFonts w:ascii="Aptos" w:hAnsi="Aptos"/>
          <w:szCs w:val="20"/>
        </w:rPr>
        <w:t>.</w:t>
      </w:r>
    </w:p>
    <w:p w14:paraId="1CDA641B" w14:textId="46C16D90" w:rsidR="007F5051" w:rsidRPr="00B400E0" w:rsidRDefault="007F5051" w:rsidP="00BC6C16">
      <w:pPr>
        <w:pStyle w:val="Heading2"/>
      </w:pPr>
      <w:r w:rsidRPr="00B400E0">
        <w:t>4. More information</w:t>
      </w:r>
    </w:p>
    <w:p w14:paraId="48CE903B" w14:textId="5D94ADAB" w:rsidR="007F5051" w:rsidRPr="00B400E0" w:rsidRDefault="00772BEC" w:rsidP="00BC6C16">
      <w:pPr>
        <w:pStyle w:val="Heading3"/>
      </w:pPr>
      <w:r w:rsidRPr="00772BEC">
        <w:t>National Offshore Petroleum Titles Administrator</w:t>
      </w:r>
    </w:p>
    <w:p w14:paraId="288FBC8B" w14:textId="77777777" w:rsidR="00772BEC" w:rsidRDefault="00772BEC" w:rsidP="00772BEC">
      <w:r>
        <w:t xml:space="preserve">Further information on offshore greenhouse gas titles is available on the NOPTA </w:t>
      </w:r>
      <w:hyperlink r:id="rId30" w:history="1">
        <w:r w:rsidRPr="00D9686E">
          <w:rPr>
            <w:rStyle w:val="Hyperlink"/>
          </w:rPr>
          <w:t>website</w:t>
        </w:r>
      </w:hyperlink>
      <w:r w:rsidRPr="00F07C41">
        <w:rPr>
          <w:rStyle w:val="Hyperlink"/>
          <w:color w:val="auto"/>
          <w:u w:val="none"/>
        </w:rPr>
        <w:t>.</w:t>
      </w:r>
    </w:p>
    <w:p w14:paraId="569D2828" w14:textId="2D40EFD9" w:rsidR="007F5051" w:rsidRDefault="00772BEC" w:rsidP="00772BEC">
      <w:pPr>
        <w:rPr>
          <w:rFonts w:ascii="Aptos" w:hAnsi="Aptos"/>
          <w:bCs/>
          <w:szCs w:val="20"/>
        </w:rPr>
      </w:pPr>
      <w:r>
        <w:t xml:space="preserve">NOPTA can be contacted by email at </w:t>
      </w:r>
      <w:hyperlink r:id="rId31" w:history="1">
        <w:r w:rsidRPr="00716049">
          <w:rPr>
            <w:rStyle w:val="Hyperlink"/>
          </w:rPr>
          <w:t>titles@nopta.gov.au</w:t>
        </w:r>
      </w:hyperlink>
      <w:r w:rsidR="00585C14">
        <w:rPr>
          <w:rFonts w:ascii="Aptos" w:hAnsi="Aptos"/>
          <w:bCs/>
          <w:szCs w:val="20"/>
        </w:rPr>
        <w:t>.</w:t>
      </w:r>
    </w:p>
    <w:p w14:paraId="4CE68608" w14:textId="2F3E487C" w:rsidR="00772BEC" w:rsidRPr="00B400E0" w:rsidRDefault="00772BEC" w:rsidP="00772BEC">
      <w:pPr>
        <w:pStyle w:val="Heading3"/>
      </w:pPr>
      <w:r w:rsidRPr="00772BEC">
        <w:t>National Offshore Petroleum Safety and Environmental Management Authority</w:t>
      </w:r>
    </w:p>
    <w:p w14:paraId="2BB64865" w14:textId="77777777" w:rsidR="00772BEC" w:rsidRDefault="00772BEC" w:rsidP="00772BEC">
      <w:r>
        <w:t>Further information on offshore greenhouse gas plans is available o</w:t>
      </w:r>
      <w:r w:rsidRPr="00BB2700">
        <w:t>n</w:t>
      </w:r>
      <w:r w:rsidRPr="00BB2700">
        <w:rPr>
          <w:rStyle w:val="Hyperlink"/>
          <w:u w:val="none"/>
        </w:rPr>
        <w:t xml:space="preserve"> </w:t>
      </w:r>
      <w:r w:rsidRPr="00BB2700">
        <w:t>the</w:t>
      </w:r>
      <w:r>
        <w:t xml:space="preserve"> </w:t>
      </w:r>
      <w:r w:rsidRPr="004C2BC3">
        <w:t>NOPSEMA</w:t>
      </w:r>
      <w:r>
        <w:t xml:space="preserve"> </w:t>
      </w:r>
      <w:hyperlink r:id="rId32" w:history="1">
        <w:r w:rsidRPr="00146137">
          <w:rPr>
            <w:rStyle w:val="Hyperlink"/>
          </w:rPr>
          <w:t>website</w:t>
        </w:r>
      </w:hyperlink>
      <w:r w:rsidRPr="000C520D">
        <w:rPr>
          <w:rStyle w:val="Hyperlink"/>
          <w:u w:val="none"/>
        </w:rPr>
        <w:t>.</w:t>
      </w:r>
    </w:p>
    <w:p w14:paraId="00B44E5E" w14:textId="0B0412DA" w:rsidR="00772BEC" w:rsidRPr="007F5051" w:rsidRDefault="00772BEC" w:rsidP="00772BEC">
      <w:pPr>
        <w:rPr>
          <w:rFonts w:ascii="Aptos" w:hAnsi="Aptos"/>
          <w:bCs/>
          <w:szCs w:val="20"/>
        </w:rPr>
      </w:pPr>
      <w:r>
        <w:t xml:space="preserve">NOPSEMA can be contacted by email at </w:t>
      </w:r>
      <w:hyperlink r:id="rId33" w:history="1">
        <w:r w:rsidRPr="004C2BC3">
          <w:rPr>
            <w:rStyle w:val="Hyperlink"/>
          </w:rPr>
          <w:t>environment@nopsema.gov.au</w:t>
        </w:r>
      </w:hyperlink>
      <w:r>
        <w:rPr>
          <w:rFonts w:ascii="Aptos" w:hAnsi="Aptos"/>
          <w:bCs/>
          <w:szCs w:val="20"/>
        </w:rPr>
        <w:t>.</w:t>
      </w:r>
    </w:p>
    <w:p w14:paraId="661A6371" w14:textId="77777777" w:rsidR="007F5051" w:rsidRPr="00BC6C16" w:rsidRDefault="007F5051" w:rsidP="00BC6C16">
      <w:pPr>
        <w:pStyle w:val="Heading3"/>
      </w:pPr>
      <w:bookmarkStart w:id="8" w:name="_Hlk152160540"/>
      <w:r w:rsidRPr="00BC6C16">
        <w:t>Major Projects Facilitation Agency</w:t>
      </w:r>
    </w:p>
    <w:bookmarkEnd w:id="8"/>
    <w:p w14:paraId="6463E3CE" w14:textId="27E644FC" w:rsidR="00CF5B8A" w:rsidRDefault="00CF5B8A" w:rsidP="00CF5B8A">
      <w:pPr>
        <w:rPr>
          <w:rFonts w:ascii="Aptos" w:eastAsia="Arial" w:hAnsi="Aptos" w:cs="Arial"/>
          <w:szCs w:val="20"/>
        </w:rPr>
      </w:pPr>
      <w:r w:rsidRPr="00F52791">
        <w:rPr>
          <w:rFonts w:ascii="Aptos" w:eastAsia="Arial" w:hAnsi="Aptos" w:cs="Arial"/>
          <w:szCs w:val="20"/>
        </w:rPr>
        <w:t xml:space="preserve">If you would like assistance to identify potential Australian Government </w:t>
      </w:r>
      <w:r>
        <w:rPr>
          <w:rFonts w:ascii="Aptos" w:eastAsia="Arial" w:hAnsi="Aptos" w:cs="Arial"/>
          <w:szCs w:val="20"/>
        </w:rPr>
        <w:t>regulatory</w:t>
      </w:r>
      <w:r w:rsidRPr="00F52791">
        <w:rPr>
          <w:rFonts w:ascii="Aptos" w:eastAsia="Arial" w:hAnsi="Aptos" w:cs="Arial"/>
          <w:szCs w:val="20"/>
        </w:rPr>
        <w:t xml:space="preserve"> approvals required for your project, please refer to the </w:t>
      </w:r>
      <w:hyperlink r:id="rId34" w:history="1">
        <w:r w:rsidRPr="00F52791">
          <w:rPr>
            <w:rStyle w:val="Hyperlink"/>
            <w:rFonts w:ascii="Aptos" w:eastAsia="Arial" w:hAnsi="Aptos"/>
            <w:szCs w:val="20"/>
          </w:rPr>
          <w:t xml:space="preserve">Major </w:t>
        </w:r>
        <w:r>
          <w:rPr>
            <w:rStyle w:val="Hyperlink"/>
            <w:rFonts w:ascii="Aptos" w:eastAsia="Arial" w:hAnsi="Aptos"/>
            <w:szCs w:val="20"/>
          </w:rPr>
          <w:t>p</w:t>
        </w:r>
        <w:r w:rsidRPr="00F52791">
          <w:rPr>
            <w:rStyle w:val="Hyperlink"/>
            <w:rFonts w:ascii="Aptos" w:eastAsia="Arial" w:hAnsi="Aptos"/>
            <w:szCs w:val="20"/>
          </w:rPr>
          <w:t xml:space="preserve">rojects </w:t>
        </w:r>
        <w:r>
          <w:rPr>
            <w:rStyle w:val="Hyperlink"/>
            <w:rFonts w:ascii="Aptos" w:eastAsia="Arial" w:hAnsi="Aptos"/>
            <w:szCs w:val="20"/>
          </w:rPr>
          <w:t>h</w:t>
        </w:r>
        <w:r w:rsidRPr="00F52791">
          <w:rPr>
            <w:rStyle w:val="Hyperlink"/>
            <w:rFonts w:ascii="Aptos" w:eastAsia="Arial" w:hAnsi="Aptos"/>
            <w:szCs w:val="20"/>
          </w:rPr>
          <w:t xml:space="preserve">elp </w:t>
        </w:r>
        <w:r>
          <w:rPr>
            <w:rStyle w:val="Hyperlink"/>
            <w:rFonts w:ascii="Aptos" w:eastAsia="Arial" w:hAnsi="Aptos"/>
            <w:szCs w:val="20"/>
          </w:rPr>
          <w:t>t</w:t>
        </w:r>
        <w:r w:rsidRPr="00F52791">
          <w:rPr>
            <w:rStyle w:val="Hyperlink"/>
            <w:rFonts w:ascii="Aptos" w:eastAsia="Arial" w:hAnsi="Aptos"/>
            <w:szCs w:val="20"/>
          </w:rPr>
          <w:t>ool</w:t>
        </w:r>
      </w:hyperlink>
      <w:r w:rsidRPr="00F52791">
        <w:rPr>
          <w:rFonts w:ascii="Aptos" w:eastAsia="Arial" w:hAnsi="Aptos" w:cs="Arial"/>
          <w:szCs w:val="20"/>
        </w:rPr>
        <w:t xml:space="preserve"> self-assessment</w:t>
      </w:r>
      <w:r>
        <w:rPr>
          <w:rFonts w:ascii="Aptos" w:eastAsia="Arial" w:hAnsi="Aptos" w:cs="Arial"/>
          <w:szCs w:val="20"/>
        </w:rPr>
        <w:t>.</w:t>
      </w:r>
    </w:p>
    <w:p w14:paraId="17E1C2E0" w14:textId="46DEBFBC" w:rsidR="00FD4042" w:rsidRPr="00BC6C16" w:rsidRDefault="00CF5B8A" w:rsidP="00CF5B8A">
      <w:pPr>
        <w:rPr>
          <w:rFonts w:ascii="Aptos" w:eastAsia="Arial" w:hAnsi="Aptos" w:cs="Arial"/>
          <w:szCs w:val="20"/>
        </w:rPr>
      </w:pPr>
      <w:r>
        <w:rPr>
          <w:rFonts w:ascii="Aptos" w:eastAsia="Arial" w:hAnsi="Aptos" w:cs="Arial"/>
          <w:szCs w:val="20"/>
        </w:rPr>
        <w:t xml:space="preserve">The MPFA team can be contacted by </w:t>
      </w:r>
      <w:r w:rsidRPr="00F52791">
        <w:rPr>
          <w:rFonts w:ascii="Aptos" w:eastAsia="Arial" w:hAnsi="Aptos" w:cs="Arial"/>
          <w:szCs w:val="20"/>
        </w:rPr>
        <w:t>email</w:t>
      </w:r>
      <w:r>
        <w:rPr>
          <w:rFonts w:ascii="Aptos" w:eastAsia="Arial" w:hAnsi="Aptos" w:cs="Arial"/>
          <w:szCs w:val="20"/>
        </w:rPr>
        <w:t xml:space="preserve"> at </w:t>
      </w:r>
      <w:hyperlink r:id="rId35" w:history="1">
        <w:r w:rsidRPr="00AA2CDA">
          <w:rPr>
            <w:rStyle w:val="Hyperlink"/>
            <w:rFonts w:ascii="Aptos" w:eastAsia="Arial" w:hAnsi="Aptos"/>
            <w:szCs w:val="20"/>
          </w:rPr>
          <w:t>MPFA@industry.gov.au</w:t>
        </w:r>
      </w:hyperlink>
      <w:r w:rsidRPr="00F52791">
        <w:rPr>
          <w:rFonts w:ascii="Aptos" w:eastAsia="Arial" w:hAnsi="Aptos" w:cs="Arial"/>
          <w:szCs w:val="20"/>
        </w:rPr>
        <w:t>.</w:t>
      </w:r>
    </w:p>
    <w:sectPr w:rsidR="00FD4042" w:rsidRPr="00BC6C16" w:rsidSect="00B400E0">
      <w:headerReference w:type="default" r:id="rId36"/>
      <w:type w:val="continuous"/>
      <w:pgSz w:w="11906" w:h="16838"/>
      <w:pgMar w:top="720" w:right="720" w:bottom="720" w:left="720" w:header="850" w:footer="567"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8CB4" w14:textId="77777777" w:rsidR="007F5051" w:rsidRDefault="007F5051" w:rsidP="00B251DB">
      <w:pPr>
        <w:spacing w:after="0"/>
      </w:pPr>
      <w:r>
        <w:separator/>
      </w:r>
    </w:p>
  </w:endnote>
  <w:endnote w:type="continuationSeparator" w:id="0">
    <w:p w14:paraId="69E19E8F" w14:textId="77777777" w:rsidR="007F5051" w:rsidRDefault="007F5051" w:rsidP="00B25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BE05" w14:textId="77777777" w:rsidR="00B400E0" w:rsidRPr="00FD4042" w:rsidRDefault="00B400E0" w:rsidP="00FD4042">
    <w:pPr>
      <w:pStyle w:val="Heading4"/>
    </w:pPr>
    <w:r w:rsidRPr="00FD4042">
      <w:t>This fact sheet provides general information and does not constitute legal advice. You should seek independent legal advice tailored to your individual circumstances. The Major Projects Facilitation Agency (MPFA) assists major project proponents to navigate Australian Government approval processes. The MPFA does not grant approvals, nor administer the legislation listed in this fact sheet.</w:t>
    </w:r>
  </w:p>
  <w:p w14:paraId="2A4EDF34" w14:textId="053BACE3" w:rsidR="00B400E0" w:rsidRPr="00B400E0" w:rsidRDefault="00825442" w:rsidP="00FD4042">
    <w:pPr>
      <w:pStyle w:val="Heading4"/>
    </w:pPr>
    <w:hyperlink r:id="rId1" w:history="1">
      <w:r w:rsidR="00B400E0" w:rsidRPr="007F5051">
        <w:rPr>
          <w:rStyle w:val="Hyperlink"/>
        </w:rPr>
        <w:t>www.business.</w:t>
      </w:r>
      <w:r w:rsidR="00B400E0" w:rsidRPr="007F5051">
        <w:rPr>
          <w:rStyle w:val="Hyperlink"/>
          <w:color w:val="15659B"/>
        </w:rPr>
        <w:t>gov</w:t>
      </w:r>
      <w:r w:rsidR="00B400E0" w:rsidRPr="007F5051">
        <w:rPr>
          <w:rStyle w:val="Hyperlink"/>
        </w:rPr>
        <w:t>.au/MPFA</w:t>
      </w:r>
    </w:hyperlink>
    <w:r w:rsidR="00B400E0" w:rsidRPr="00010BDA">
      <w:rPr>
        <w:rStyle w:val="Hyperlink"/>
        <w:color w:val="auto"/>
        <w:u w:val="none"/>
      </w:rPr>
      <w:ptab w:relativeTo="margin" w:alignment="center" w:leader="none"/>
    </w:r>
    <w:hyperlink r:id="rId2" w:history="1">
      <w:r w:rsidR="00B400E0" w:rsidRPr="007F5051">
        <w:rPr>
          <w:rStyle w:val="Hyperlink"/>
        </w:rPr>
        <w:t>MPFA@industry.gov.au</w:t>
      </w:r>
    </w:hyperlink>
    <w:r w:rsidR="00B400E0" w:rsidRPr="00010BDA">
      <w:rPr>
        <w:rStyle w:val="Hyperlink"/>
        <w:color w:val="auto"/>
        <w:u w:val="none"/>
      </w:rPr>
      <w:ptab w:relativeTo="margin" w:alignment="right" w:leader="none"/>
    </w:r>
    <w:r w:rsidR="0032082D">
      <w:rPr>
        <w:rStyle w:val="Hyperlink"/>
        <w:color w:val="auto"/>
        <w:u w:val="none"/>
      </w:rPr>
      <w:t>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7E7B" w14:textId="77777777" w:rsidR="007F5051" w:rsidRPr="007F5051" w:rsidRDefault="007F5051" w:rsidP="007F5051">
    <w:pPr>
      <w:pStyle w:val="Footer"/>
      <w:tabs>
        <w:tab w:val="clear" w:pos="4513"/>
        <w:tab w:val="center" w:pos="5245"/>
      </w:tabs>
      <w:rPr>
        <w:rFonts w:ascii="Aptos" w:hAnsi="Aptos" w:cs="Calibri"/>
        <w:sz w:val="16"/>
        <w:szCs w:val="16"/>
      </w:rPr>
    </w:pPr>
    <w:r w:rsidRPr="007F5051">
      <w:rPr>
        <w:rFonts w:ascii="Aptos" w:hAnsi="Aptos" w:cs="Calibri"/>
        <w:sz w:val="16"/>
        <w:szCs w:val="16"/>
      </w:rPr>
      <w:t>This fact sheet provides general information and does not constitute legal advice. You should seek independent legal advice tailored to your individual circumstances. The Major Projects Facilitation Agency (MPFA) assists major project proponents to navigate Australian Government approval processes. The MPFA does not grant approvals, nor administer the legislation listed in this fact sheet.</w:t>
    </w:r>
  </w:p>
  <w:p w14:paraId="0C4D9418" w14:textId="04C05E24" w:rsidR="007F5051" w:rsidRPr="007F5051" w:rsidRDefault="00825442" w:rsidP="007F5051">
    <w:pPr>
      <w:pStyle w:val="Footer"/>
      <w:tabs>
        <w:tab w:val="clear" w:pos="4513"/>
        <w:tab w:val="clear" w:pos="9026"/>
        <w:tab w:val="center" w:pos="5245"/>
        <w:tab w:val="right" w:pos="10466"/>
      </w:tabs>
      <w:rPr>
        <w:rFonts w:ascii="Aptos" w:hAnsi="Aptos"/>
        <w:sz w:val="16"/>
        <w:szCs w:val="16"/>
      </w:rPr>
    </w:pPr>
    <w:hyperlink r:id="rId1" w:history="1">
      <w:r w:rsidR="007F5051" w:rsidRPr="007F5051">
        <w:rPr>
          <w:rStyle w:val="Hyperlink"/>
          <w:rFonts w:ascii="Aptos" w:hAnsi="Aptos"/>
          <w:sz w:val="16"/>
          <w:szCs w:val="16"/>
        </w:rPr>
        <w:t>www.business.</w:t>
      </w:r>
      <w:r w:rsidR="007F5051" w:rsidRPr="007F5051">
        <w:rPr>
          <w:rStyle w:val="Hyperlink"/>
          <w:rFonts w:ascii="Aptos" w:hAnsi="Aptos"/>
          <w:color w:val="15659B"/>
          <w:sz w:val="16"/>
          <w:szCs w:val="16"/>
        </w:rPr>
        <w:t>gov</w:t>
      </w:r>
      <w:r w:rsidR="007F5051" w:rsidRPr="007F5051">
        <w:rPr>
          <w:rStyle w:val="Hyperlink"/>
          <w:rFonts w:ascii="Aptos" w:hAnsi="Aptos"/>
          <w:sz w:val="16"/>
          <w:szCs w:val="16"/>
        </w:rPr>
        <w:t>.au/MPFA</w:t>
      </w:r>
    </w:hyperlink>
    <w:r w:rsidR="007F5051" w:rsidRPr="007F5051">
      <w:rPr>
        <w:rStyle w:val="Hyperlink"/>
        <w:rFonts w:ascii="Aptos" w:hAnsi="Aptos"/>
        <w:color w:val="auto"/>
        <w:sz w:val="16"/>
        <w:szCs w:val="16"/>
        <w:u w:val="none"/>
      </w:rPr>
      <w:ptab w:relativeTo="margin" w:alignment="center" w:leader="none"/>
    </w:r>
    <w:hyperlink r:id="rId2" w:history="1">
      <w:r w:rsidR="007F5051" w:rsidRPr="007F5051">
        <w:rPr>
          <w:rStyle w:val="Hyperlink"/>
          <w:rFonts w:ascii="Aptos" w:hAnsi="Aptos"/>
          <w:sz w:val="16"/>
          <w:szCs w:val="16"/>
        </w:rPr>
        <w:t>MPFA@industry.gov.au</w:t>
      </w:r>
    </w:hyperlink>
    <w:r w:rsidR="007F5051" w:rsidRPr="007F5051">
      <w:rPr>
        <w:rStyle w:val="Hyperlink"/>
        <w:rFonts w:ascii="Aptos" w:hAnsi="Aptos"/>
        <w:color w:val="auto"/>
        <w:sz w:val="16"/>
        <w:szCs w:val="16"/>
        <w:u w:val="none"/>
      </w:rPr>
      <w:ptab w:relativeTo="margin" w:alignment="right" w:leader="none"/>
    </w:r>
    <w:r w:rsidR="007F5051" w:rsidRPr="00B400E0">
      <w:rPr>
        <w:rStyle w:val="Hyperlink"/>
        <w:rFonts w:ascii="Aptos" w:hAnsi="Aptos"/>
        <w:color w:val="auto"/>
        <w:sz w:val="16"/>
        <w:szCs w:val="16"/>
        <w:highlight w:val="yellow"/>
        <w:u w:val="none"/>
      </w:rPr>
      <w:t>February</w:t>
    </w:r>
    <w:r w:rsidR="007F5051" w:rsidRPr="007F5051">
      <w:rPr>
        <w:rStyle w:val="Hyperlink"/>
        <w:rFonts w:ascii="Aptos" w:hAnsi="Aptos"/>
        <w:color w:val="auto"/>
        <w:sz w:val="16"/>
        <w:szCs w:val="16"/>
        <w:u w:val="none"/>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4284" w14:textId="77777777" w:rsidR="007F5051" w:rsidRDefault="007F5051" w:rsidP="00B251DB">
      <w:pPr>
        <w:spacing w:after="0"/>
      </w:pPr>
      <w:r>
        <w:separator/>
      </w:r>
    </w:p>
  </w:footnote>
  <w:footnote w:type="continuationSeparator" w:id="0">
    <w:p w14:paraId="5B4D8204" w14:textId="77777777" w:rsidR="007F5051" w:rsidRDefault="007F5051" w:rsidP="00B251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89F9" w14:textId="552067A6" w:rsidR="00B400E0" w:rsidRDefault="00B400E0">
    <w:pPr>
      <w:pStyle w:val="Header"/>
    </w:pPr>
    <w:r w:rsidRPr="00B400E0">
      <w:rPr>
        <w:rFonts w:ascii="Aptos" w:hAnsi="Aptos"/>
        <w:noProof/>
        <w:lang w:eastAsia="en-AU"/>
      </w:rPr>
      <w:drawing>
        <wp:inline distT="0" distB="0" distL="0" distR="0" wp14:anchorId="57352BF6" wp14:editId="2DE46259">
          <wp:extent cx="6634855" cy="3068652"/>
          <wp:effectExtent l="0" t="0" r="0" b="0"/>
          <wp:docPr id="1" name="Picture 1" descr="Major Projects Facilitation Agency &#10;Fact she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jor Projects Facilitation Agency &#10;Fact shee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050" t="2447" r="2022" b="4436"/>
                  <a:stretch/>
                </pic:blipFill>
                <pic:spPr bwMode="auto">
                  <a:xfrm>
                    <a:off x="0" y="0"/>
                    <a:ext cx="6644986" cy="3073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4077" w14:textId="53535777" w:rsidR="007F5051" w:rsidRPr="00B400E0" w:rsidRDefault="007F5051" w:rsidP="007F5051">
    <w:pPr>
      <w:pStyle w:val="Header"/>
      <w:tabs>
        <w:tab w:val="clear" w:pos="4513"/>
        <w:tab w:val="clear" w:pos="9026"/>
        <w:tab w:val="center" w:pos="5245"/>
        <w:tab w:val="right" w:pos="10466"/>
      </w:tabs>
      <w:rPr>
        <w:rFonts w:ascii="Aptos" w:hAnsi="Aptos"/>
      </w:rPr>
    </w:pPr>
    <w:r w:rsidRPr="00B400E0">
      <w:rPr>
        <w:rFonts w:ascii="Aptos" w:hAnsi="Aptos"/>
        <w:noProof/>
        <w:lang w:eastAsia="en-AU"/>
      </w:rPr>
      <w:drawing>
        <wp:inline distT="0" distB="0" distL="0" distR="0" wp14:anchorId="3F4F5A67" wp14:editId="624C0A04">
          <wp:extent cx="6634855" cy="3068652"/>
          <wp:effectExtent l="0" t="0" r="0" b="0"/>
          <wp:docPr id="2" name="Picture 2" descr="Major Projects Facilitation Agency &#10;Fact she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jor Projects Facilitation Agency &#10;Fact shee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050" t="2447" r="2022" b="4436"/>
                  <a:stretch/>
                </pic:blipFill>
                <pic:spPr bwMode="auto">
                  <a:xfrm>
                    <a:off x="0" y="0"/>
                    <a:ext cx="6644986" cy="3073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8B24" w14:textId="77777777" w:rsidR="00B400E0" w:rsidRDefault="00B40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2A5BE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D74F4"/>
    <w:multiLevelType w:val="hybridMultilevel"/>
    <w:tmpl w:val="D6283F8E"/>
    <w:lvl w:ilvl="0" w:tplc="6A00F20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F078C0"/>
    <w:multiLevelType w:val="hybridMultilevel"/>
    <w:tmpl w:val="6A641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67F4B1A"/>
    <w:multiLevelType w:val="hybridMultilevel"/>
    <w:tmpl w:val="13BEC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52E10FD"/>
    <w:multiLevelType w:val="hybridMultilevel"/>
    <w:tmpl w:val="66D46394"/>
    <w:lvl w:ilvl="0" w:tplc="E2F097D6">
      <w:numFmt w:val="bullet"/>
      <w:pStyle w:val="ListParagraph"/>
      <w:lvlText w:val=""/>
      <w:lvlJc w:val="left"/>
      <w:pPr>
        <w:ind w:left="567" w:hanging="567"/>
      </w:pPr>
      <w:rPr>
        <w:rFonts w:ascii="Symbol" w:eastAsiaTheme="minorHAnsi" w:hAnsi="Symbol" w:cstheme="minorBidi" w:hint="default"/>
      </w:rPr>
    </w:lvl>
    <w:lvl w:ilvl="1" w:tplc="6606920E">
      <w:numFmt w:val="bullet"/>
      <w:lvlText w:val="-"/>
      <w:lvlJc w:val="left"/>
      <w:pPr>
        <w:ind w:left="1134" w:hanging="567"/>
      </w:pPr>
      <w:rPr>
        <w:rFonts w:ascii="Calibri" w:eastAsiaTheme="minorHAnsi" w:hAnsi="Calibri" w:hint="default"/>
      </w:rPr>
    </w:lvl>
    <w:lvl w:ilvl="2" w:tplc="75C69B6E">
      <w:start w:val="1"/>
      <w:numFmt w:val="bullet"/>
      <w:lvlText w:val=""/>
      <w:lvlJc w:val="left"/>
      <w:pPr>
        <w:ind w:left="1701" w:hanging="567"/>
      </w:pPr>
      <w:rPr>
        <w:rFonts w:ascii="Wingdings" w:hAnsi="Wingdings" w:hint="default"/>
      </w:rPr>
    </w:lvl>
    <w:lvl w:ilvl="3" w:tplc="B84A8EA2">
      <w:start w:val="1"/>
      <w:numFmt w:val="bullet"/>
      <w:lvlText w:val=""/>
      <w:lvlJc w:val="left"/>
      <w:pPr>
        <w:ind w:left="2268" w:hanging="567"/>
      </w:pPr>
      <w:rPr>
        <w:rFonts w:ascii="Symbol" w:hAnsi="Symbol" w:hint="default"/>
      </w:rPr>
    </w:lvl>
    <w:lvl w:ilvl="4" w:tplc="9E469228">
      <w:start w:val="1"/>
      <w:numFmt w:val="bullet"/>
      <w:lvlText w:val="o"/>
      <w:lvlJc w:val="left"/>
      <w:pPr>
        <w:ind w:left="2835" w:hanging="567"/>
      </w:pPr>
      <w:rPr>
        <w:rFonts w:ascii="Courier New" w:hAnsi="Courier New" w:hint="default"/>
      </w:rPr>
    </w:lvl>
    <w:lvl w:ilvl="5" w:tplc="406CF0B6">
      <w:start w:val="1"/>
      <w:numFmt w:val="bullet"/>
      <w:lvlText w:val=""/>
      <w:lvlJc w:val="left"/>
      <w:pPr>
        <w:ind w:left="3402" w:hanging="567"/>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5E78A8"/>
    <w:multiLevelType w:val="hybridMultilevel"/>
    <w:tmpl w:val="CF22F768"/>
    <w:lvl w:ilvl="0" w:tplc="0D524BF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55074E5"/>
    <w:multiLevelType w:val="hybridMultilevel"/>
    <w:tmpl w:val="15CA3E48"/>
    <w:lvl w:ilvl="0" w:tplc="93BAD356">
      <w:start w:val="1"/>
      <w:numFmt w:val="decimal"/>
      <w:lvlText w:val="%1."/>
      <w:lvlJc w:val="left"/>
      <w:pPr>
        <w:ind w:left="567" w:hanging="567"/>
      </w:pPr>
      <w:rPr>
        <w:rFonts w:hint="default"/>
      </w:rPr>
    </w:lvl>
    <w:lvl w:ilvl="1" w:tplc="D2E408C2">
      <w:start w:val="1"/>
      <w:numFmt w:val="lowerLetter"/>
      <w:lvlText w:val="%2."/>
      <w:lvlJc w:val="left"/>
      <w:pPr>
        <w:ind w:left="1134" w:hanging="567"/>
      </w:pPr>
      <w:rPr>
        <w:rFonts w:hint="default"/>
      </w:rPr>
    </w:lvl>
    <w:lvl w:ilvl="2" w:tplc="528088D0">
      <w:start w:val="1"/>
      <w:numFmt w:val="lowerRoman"/>
      <w:lvlText w:val="%3."/>
      <w:lvlJc w:val="right"/>
      <w:pPr>
        <w:ind w:left="1701" w:hanging="567"/>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DF36362"/>
    <w:multiLevelType w:val="hybridMultilevel"/>
    <w:tmpl w:val="15B63C84"/>
    <w:lvl w:ilvl="0" w:tplc="1EBA34E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2605387">
    <w:abstractNumId w:val="6"/>
  </w:num>
  <w:num w:numId="2" w16cid:durableId="648444589">
    <w:abstractNumId w:val="8"/>
  </w:num>
  <w:num w:numId="3" w16cid:durableId="1474374502">
    <w:abstractNumId w:val="2"/>
  </w:num>
  <w:num w:numId="4" w16cid:durableId="660547498">
    <w:abstractNumId w:val="1"/>
  </w:num>
  <w:num w:numId="5" w16cid:durableId="1405948882">
    <w:abstractNumId w:val="0"/>
  </w:num>
  <w:num w:numId="6" w16cid:durableId="1770931210">
    <w:abstractNumId w:val="3"/>
  </w:num>
  <w:num w:numId="7" w16cid:durableId="1514956900">
    <w:abstractNumId w:val="4"/>
  </w:num>
  <w:num w:numId="8" w16cid:durableId="1928151220">
    <w:abstractNumId w:val="7"/>
  </w:num>
  <w:num w:numId="9" w16cid:durableId="1919442051">
    <w:abstractNumId w:val="5"/>
  </w:num>
  <w:num w:numId="10" w16cid:durableId="196615380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51"/>
    <w:rsid w:val="00003766"/>
    <w:rsid w:val="00032995"/>
    <w:rsid w:val="00034867"/>
    <w:rsid w:val="00043F36"/>
    <w:rsid w:val="000552B3"/>
    <w:rsid w:val="0007067B"/>
    <w:rsid w:val="0008167B"/>
    <w:rsid w:val="00081D07"/>
    <w:rsid w:val="0008529C"/>
    <w:rsid w:val="00085A1E"/>
    <w:rsid w:val="00090DDB"/>
    <w:rsid w:val="000A75CB"/>
    <w:rsid w:val="000B6C60"/>
    <w:rsid w:val="000C3494"/>
    <w:rsid w:val="000E0F53"/>
    <w:rsid w:val="000E599A"/>
    <w:rsid w:val="000E5C60"/>
    <w:rsid w:val="000F2564"/>
    <w:rsid w:val="000F681E"/>
    <w:rsid w:val="00153C15"/>
    <w:rsid w:val="00171757"/>
    <w:rsid w:val="0018753C"/>
    <w:rsid w:val="00194586"/>
    <w:rsid w:val="001A38CC"/>
    <w:rsid w:val="001B314C"/>
    <w:rsid w:val="001D216A"/>
    <w:rsid w:val="001D2E82"/>
    <w:rsid w:val="001D51DA"/>
    <w:rsid w:val="001F5AB1"/>
    <w:rsid w:val="00205DF3"/>
    <w:rsid w:val="0022083E"/>
    <w:rsid w:val="00222D0B"/>
    <w:rsid w:val="00241D3D"/>
    <w:rsid w:val="00254DA8"/>
    <w:rsid w:val="00266F7C"/>
    <w:rsid w:val="00272B04"/>
    <w:rsid w:val="00274C94"/>
    <w:rsid w:val="00282ED3"/>
    <w:rsid w:val="00293BAA"/>
    <w:rsid w:val="002A101F"/>
    <w:rsid w:val="002B3A3A"/>
    <w:rsid w:val="002B5C69"/>
    <w:rsid w:val="002D230B"/>
    <w:rsid w:val="002E18DB"/>
    <w:rsid w:val="002F60C0"/>
    <w:rsid w:val="0031048E"/>
    <w:rsid w:val="0031654A"/>
    <w:rsid w:val="0032082D"/>
    <w:rsid w:val="00330C0B"/>
    <w:rsid w:val="0035140F"/>
    <w:rsid w:val="00393784"/>
    <w:rsid w:val="003A0E7F"/>
    <w:rsid w:val="003A5FBD"/>
    <w:rsid w:val="003D38ED"/>
    <w:rsid w:val="003D747D"/>
    <w:rsid w:val="003D7C10"/>
    <w:rsid w:val="00406032"/>
    <w:rsid w:val="00423B2E"/>
    <w:rsid w:val="00423D13"/>
    <w:rsid w:val="0043720A"/>
    <w:rsid w:val="004632E9"/>
    <w:rsid w:val="0046678C"/>
    <w:rsid w:val="0048236F"/>
    <w:rsid w:val="004A7856"/>
    <w:rsid w:val="004B4254"/>
    <w:rsid w:val="004D3B0F"/>
    <w:rsid w:val="004E23A9"/>
    <w:rsid w:val="004E5181"/>
    <w:rsid w:val="004E75D2"/>
    <w:rsid w:val="004F5BB1"/>
    <w:rsid w:val="00512647"/>
    <w:rsid w:val="00516B0E"/>
    <w:rsid w:val="00527381"/>
    <w:rsid w:val="005419C2"/>
    <w:rsid w:val="005706FD"/>
    <w:rsid w:val="00572521"/>
    <w:rsid w:val="005777BC"/>
    <w:rsid w:val="00584B74"/>
    <w:rsid w:val="00585C14"/>
    <w:rsid w:val="005A1B5C"/>
    <w:rsid w:val="005D27F7"/>
    <w:rsid w:val="005E5F5F"/>
    <w:rsid w:val="00603DDF"/>
    <w:rsid w:val="00607188"/>
    <w:rsid w:val="006337C7"/>
    <w:rsid w:val="00671D1D"/>
    <w:rsid w:val="00671FC8"/>
    <w:rsid w:val="0068286F"/>
    <w:rsid w:val="00695B12"/>
    <w:rsid w:val="00697567"/>
    <w:rsid w:val="00697C73"/>
    <w:rsid w:val="006C4C9C"/>
    <w:rsid w:val="006D2221"/>
    <w:rsid w:val="006E1636"/>
    <w:rsid w:val="006E1E6A"/>
    <w:rsid w:val="006E4001"/>
    <w:rsid w:val="006F58A5"/>
    <w:rsid w:val="00703734"/>
    <w:rsid w:val="00711349"/>
    <w:rsid w:val="00723C5D"/>
    <w:rsid w:val="0073362E"/>
    <w:rsid w:val="00772BEC"/>
    <w:rsid w:val="007833EE"/>
    <w:rsid w:val="007B553F"/>
    <w:rsid w:val="007F5051"/>
    <w:rsid w:val="00806473"/>
    <w:rsid w:val="00825442"/>
    <w:rsid w:val="00826293"/>
    <w:rsid w:val="00853A7A"/>
    <w:rsid w:val="008653E9"/>
    <w:rsid w:val="00872DFF"/>
    <w:rsid w:val="00892B6E"/>
    <w:rsid w:val="008B7B1E"/>
    <w:rsid w:val="008C2718"/>
    <w:rsid w:val="008C3B21"/>
    <w:rsid w:val="008D244C"/>
    <w:rsid w:val="008E3C31"/>
    <w:rsid w:val="008E5E4B"/>
    <w:rsid w:val="009059E9"/>
    <w:rsid w:val="0091556D"/>
    <w:rsid w:val="00917329"/>
    <w:rsid w:val="00934A4A"/>
    <w:rsid w:val="0095381F"/>
    <w:rsid w:val="00960D98"/>
    <w:rsid w:val="009830D1"/>
    <w:rsid w:val="009A549D"/>
    <w:rsid w:val="009A64AF"/>
    <w:rsid w:val="009C60B9"/>
    <w:rsid w:val="009E39E6"/>
    <w:rsid w:val="00A52F3D"/>
    <w:rsid w:val="00A61699"/>
    <w:rsid w:val="00A6365B"/>
    <w:rsid w:val="00A731BB"/>
    <w:rsid w:val="00AA740C"/>
    <w:rsid w:val="00AD22BA"/>
    <w:rsid w:val="00AE5673"/>
    <w:rsid w:val="00B15C01"/>
    <w:rsid w:val="00B17B99"/>
    <w:rsid w:val="00B251DB"/>
    <w:rsid w:val="00B26C25"/>
    <w:rsid w:val="00B35C0C"/>
    <w:rsid w:val="00B400E0"/>
    <w:rsid w:val="00B40A60"/>
    <w:rsid w:val="00B45B98"/>
    <w:rsid w:val="00BB350F"/>
    <w:rsid w:val="00BC6C16"/>
    <w:rsid w:val="00BD0F8A"/>
    <w:rsid w:val="00BE1CB4"/>
    <w:rsid w:val="00BE53C7"/>
    <w:rsid w:val="00BE6EEA"/>
    <w:rsid w:val="00C27CB3"/>
    <w:rsid w:val="00C42F09"/>
    <w:rsid w:val="00C43D48"/>
    <w:rsid w:val="00C50A9A"/>
    <w:rsid w:val="00C65E4E"/>
    <w:rsid w:val="00C859DE"/>
    <w:rsid w:val="00CB078F"/>
    <w:rsid w:val="00CB2DE1"/>
    <w:rsid w:val="00CB7499"/>
    <w:rsid w:val="00CE4789"/>
    <w:rsid w:val="00CE6BBD"/>
    <w:rsid w:val="00CE7F17"/>
    <w:rsid w:val="00CF5B8A"/>
    <w:rsid w:val="00D220CF"/>
    <w:rsid w:val="00D27B99"/>
    <w:rsid w:val="00D4545F"/>
    <w:rsid w:val="00D53DCE"/>
    <w:rsid w:val="00D64BFA"/>
    <w:rsid w:val="00D749B1"/>
    <w:rsid w:val="00D841E9"/>
    <w:rsid w:val="00D9122B"/>
    <w:rsid w:val="00DB270D"/>
    <w:rsid w:val="00DE04A8"/>
    <w:rsid w:val="00DE1060"/>
    <w:rsid w:val="00DE315D"/>
    <w:rsid w:val="00E01D7D"/>
    <w:rsid w:val="00E04DA0"/>
    <w:rsid w:val="00E11B00"/>
    <w:rsid w:val="00E3027E"/>
    <w:rsid w:val="00E37443"/>
    <w:rsid w:val="00E51EC5"/>
    <w:rsid w:val="00E95372"/>
    <w:rsid w:val="00EA0739"/>
    <w:rsid w:val="00EB2A69"/>
    <w:rsid w:val="00ED173E"/>
    <w:rsid w:val="00EE1F4B"/>
    <w:rsid w:val="00F1441E"/>
    <w:rsid w:val="00F16FE0"/>
    <w:rsid w:val="00F22BB9"/>
    <w:rsid w:val="00F32757"/>
    <w:rsid w:val="00F3409A"/>
    <w:rsid w:val="00F50FA6"/>
    <w:rsid w:val="00F62B4E"/>
    <w:rsid w:val="00F669E4"/>
    <w:rsid w:val="00F66A4B"/>
    <w:rsid w:val="00FD4042"/>
    <w:rsid w:val="00FE4569"/>
    <w:rsid w:val="00FE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10538"/>
  <w15:chartTrackingRefBased/>
  <w15:docId w15:val="{7ED241D3-61EF-459D-BC43-8F4FFE8A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766"/>
    <w:pPr>
      <w:spacing w:before="120" w:after="120" w:line="240" w:lineRule="auto"/>
    </w:pPr>
    <w:rPr>
      <w:sz w:val="20"/>
    </w:rPr>
  </w:style>
  <w:style w:type="paragraph" w:styleId="Heading1">
    <w:name w:val="heading 1"/>
    <w:basedOn w:val="Normal"/>
    <w:next w:val="Normal"/>
    <w:link w:val="Heading1Char"/>
    <w:uiPriority w:val="9"/>
    <w:qFormat/>
    <w:rsid w:val="00BC6C16"/>
    <w:pPr>
      <w:keepNext/>
      <w:keepLines/>
      <w:contextualSpacing/>
      <w:outlineLvl w:val="0"/>
    </w:pPr>
    <w:rPr>
      <w:rFonts w:ascii="Aptos" w:hAnsi="Aptos"/>
      <w:b/>
      <w:bCs/>
      <w:color w:val="001B35"/>
      <w:sz w:val="36"/>
      <w:szCs w:val="36"/>
    </w:rPr>
  </w:style>
  <w:style w:type="paragraph" w:styleId="Heading2">
    <w:name w:val="heading 2"/>
    <w:basedOn w:val="Normal"/>
    <w:next w:val="Normal"/>
    <w:link w:val="Heading2Char"/>
    <w:uiPriority w:val="9"/>
    <w:unhideWhenUsed/>
    <w:qFormat/>
    <w:rsid w:val="00BC6C16"/>
    <w:pPr>
      <w:keepNext/>
      <w:keepLines/>
      <w:outlineLvl w:val="1"/>
    </w:pPr>
    <w:rPr>
      <w:rFonts w:ascii="Aptos" w:eastAsiaTheme="majorEastAsia" w:hAnsi="Aptos" w:cstheme="majorBidi"/>
      <w:b/>
      <w:bCs/>
      <w:color w:val="095258"/>
      <w:sz w:val="24"/>
      <w:szCs w:val="24"/>
    </w:rPr>
  </w:style>
  <w:style w:type="paragraph" w:styleId="Heading3">
    <w:name w:val="heading 3"/>
    <w:basedOn w:val="Normal"/>
    <w:next w:val="Normal"/>
    <w:link w:val="Heading3Char"/>
    <w:uiPriority w:val="9"/>
    <w:unhideWhenUsed/>
    <w:qFormat/>
    <w:rsid w:val="00BC6C16"/>
    <w:pPr>
      <w:keepNext/>
      <w:keepLines/>
      <w:outlineLvl w:val="2"/>
    </w:pPr>
    <w:rPr>
      <w:rFonts w:ascii="Aptos" w:eastAsiaTheme="majorEastAsia" w:hAnsi="Aptos" w:cstheme="majorBidi"/>
      <w:b/>
      <w:bCs/>
      <w:szCs w:val="20"/>
    </w:rPr>
  </w:style>
  <w:style w:type="paragraph" w:styleId="Heading4">
    <w:name w:val="heading 4"/>
    <w:aliases w:val="Footer text"/>
    <w:basedOn w:val="Footer"/>
    <w:next w:val="Normal"/>
    <w:link w:val="Heading4Char"/>
    <w:uiPriority w:val="9"/>
    <w:unhideWhenUsed/>
    <w:qFormat/>
    <w:rsid w:val="00FD4042"/>
    <w:pPr>
      <w:tabs>
        <w:tab w:val="clear" w:pos="4513"/>
        <w:tab w:val="clear" w:pos="9026"/>
        <w:tab w:val="center" w:pos="5245"/>
        <w:tab w:val="right" w:pos="10466"/>
      </w:tabs>
      <w:outlineLvl w:val="3"/>
    </w:pPr>
    <w:rPr>
      <w:rFonts w:ascii="Aptos" w:hAnsi="Aptos" w:cs="Calibri"/>
      <w:sz w:val="16"/>
      <w:szCs w:val="16"/>
    </w:rPr>
  </w:style>
  <w:style w:type="paragraph" w:styleId="Heading5">
    <w:name w:val="heading 5"/>
    <w:basedOn w:val="Normal"/>
    <w:next w:val="Normal"/>
    <w:link w:val="Heading5Char"/>
    <w:uiPriority w:val="9"/>
    <w:unhideWhenUsed/>
    <w:rsid w:val="000E5C60"/>
    <w:pPr>
      <w:keepNext/>
      <w:keepLines/>
      <w:spacing w:before="240"/>
      <w:outlineLvl w:val="4"/>
    </w:pPr>
    <w:rPr>
      <w:rFonts w:asciiTheme="majorHAnsi" w:eastAsiaTheme="majorEastAsia" w:hAnsiTheme="majorHAnsi" w:cstheme="majorBidi"/>
      <w:color w:val="15659B" w:themeColor="accent4"/>
      <w:sz w:val="26"/>
      <w:szCs w:val="26"/>
    </w:rPr>
  </w:style>
  <w:style w:type="paragraph" w:styleId="Heading6">
    <w:name w:val="heading 6"/>
    <w:basedOn w:val="Normal"/>
    <w:next w:val="Normal"/>
    <w:link w:val="Heading6Char"/>
    <w:uiPriority w:val="9"/>
    <w:unhideWhenUsed/>
    <w:rsid w:val="00C50A9A"/>
    <w:pPr>
      <w:keepNext/>
      <w:keepLines/>
      <w:spacing w:before="240"/>
      <w:outlineLvl w:val="5"/>
    </w:pPr>
    <w:rPr>
      <w:rFonts w:asciiTheme="majorHAnsi" w:eastAsiaTheme="majorEastAsia" w:hAnsiTheme="majorHAnsi" w:cstheme="majorBidi"/>
      <w:color w:val="000000" w:themeColor="text1"/>
      <w:sz w:val="24"/>
    </w:rPr>
  </w:style>
  <w:style w:type="paragraph" w:styleId="Heading7">
    <w:name w:val="heading 7"/>
    <w:basedOn w:val="Normal"/>
    <w:next w:val="Normal"/>
    <w:link w:val="Heading7Char"/>
    <w:uiPriority w:val="9"/>
    <w:unhideWhenUsed/>
    <w:rsid w:val="00C50A9A"/>
    <w:pPr>
      <w:keepNext/>
      <w:keepLines/>
      <w:spacing w:before="240"/>
      <w:outlineLvl w:val="6"/>
    </w:pPr>
    <w:rPr>
      <w:rFonts w:asciiTheme="majorHAnsi" w:eastAsiaTheme="majorEastAsia" w:hAnsiTheme="majorHAnsi" w:cstheme="majorBidi"/>
      <w:b/>
      <w:iCs/>
      <w:color w:val="001B35" w:themeColor="accent1"/>
      <w:sz w:val="22"/>
    </w:rPr>
  </w:style>
  <w:style w:type="paragraph" w:styleId="Heading8">
    <w:name w:val="heading 8"/>
    <w:basedOn w:val="Normal"/>
    <w:next w:val="Normal"/>
    <w:link w:val="Heading8Char"/>
    <w:uiPriority w:val="9"/>
    <w:unhideWhenUsed/>
    <w:rsid w:val="00C50A9A"/>
    <w:pPr>
      <w:keepNext/>
      <w:keepLines/>
      <w:spacing w:before="2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rsid w:val="0082544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BC6C16"/>
    <w:rPr>
      <w:rFonts w:ascii="Aptos" w:hAnsi="Aptos"/>
      <w:b/>
      <w:bCs/>
      <w:color w:val="001B35"/>
      <w:sz w:val="36"/>
      <w:szCs w:val="36"/>
    </w:rPr>
  </w:style>
  <w:style w:type="table" w:customStyle="1" w:styleId="Verticaltable">
    <w:name w:val="Vertical table"/>
    <w:basedOn w:val="TableNormal"/>
    <w:uiPriority w:val="99"/>
    <w:rsid w:val="00AD22BA"/>
    <w:pPr>
      <w:spacing w:after="0" w:line="240" w:lineRule="auto"/>
    </w:pPr>
    <w:tblPr>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lastRow">
      <w:rPr>
        <w:b w:val="0"/>
      </w:rPr>
    </w:tblStylePr>
    <w:tblStylePr w:type="firstCol">
      <w:rPr>
        <w:b/>
        <w:color w:val="FFFFFF" w:themeColor="background1"/>
      </w:rPr>
      <w:tblPr/>
      <w:tcPr>
        <w:shd w:val="clear" w:color="auto" w:fill="15659B" w:themeFill="accent4"/>
      </w:tcPr>
    </w:tblStylePr>
  </w:style>
  <w:style w:type="character" w:styleId="FollowedHyperlink">
    <w:name w:val="FollowedHyperlink"/>
    <w:basedOn w:val="DefaultParagraphFont"/>
    <w:uiPriority w:val="99"/>
    <w:semiHidden/>
    <w:unhideWhenUsed/>
    <w:rsid w:val="00872DFF"/>
    <w:rPr>
      <w:color w:val="954F72" w:themeColor="followedHyperlink"/>
      <w:u w:val="single"/>
    </w:rPr>
  </w:style>
  <w:style w:type="paragraph" w:styleId="Subtitle">
    <w:name w:val="Subtitle"/>
    <w:basedOn w:val="Normal"/>
    <w:next w:val="Normal"/>
    <w:link w:val="SubtitleChar"/>
    <w:uiPriority w:val="11"/>
    <w:qFormat/>
    <w:rsid w:val="00BC6C16"/>
    <w:pPr>
      <w:spacing w:after="240"/>
    </w:pPr>
    <w:rPr>
      <w:rFonts w:ascii="Aptos" w:hAnsi="Aptos"/>
      <w:sz w:val="24"/>
      <w:szCs w:val="24"/>
    </w:rPr>
  </w:style>
  <w:style w:type="character" w:customStyle="1" w:styleId="SubtitleChar">
    <w:name w:val="Subtitle Char"/>
    <w:basedOn w:val="DefaultParagraphFont"/>
    <w:link w:val="Subtitle"/>
    <w:uiPriority w:val="11"/>
    <w:rsid w:val="00BC6C16"/>
    <w:rPr>
      <w:rFonts w:ascii="Aptos" w:hAnsi="Aptos"/>
      <w:sz w:val="24"/>
      <w:szCs w:val="24"/>
    </w:rPr>
  </w:style>
  <w:style w:type="character" w:customStyle="1" w:styleId="Heading2Char">
    <w:name w:val="Heading 2 Char"/>
    <w:basedOn w:val="DefaultParagraphFont"/>
    <w:link w:val="Heading2"/>
    <w:uiPriority w:val="9"/>
    <w:rsid w:val="00BC6C16"/>
    <w:rPr>
      <w:rFonts w:ascii="Aptos" w:eastAsiaTheme="majorEastAsia" w:hAnsi="Aptos" w:cstheme="majorBidi"/>
      <w:b/>
      <w:bCs/>
      <w:color w:val="095258"/>
      <w:sz w:val="24"/>
      <w:szCs w:val="24"/>
    </w:rPr>
  </w:style>
  <w:style w:type="character" w:customStyle="1" w:styleId="Heading3Char">
    <w:name w:val="Heading 3 Char"/>
    <w:basedOn w:val="DefaultParagraphFont"/>
    <w:link w:val="Heading3"/>
    <w:uiPriority w:val="9"/>
    <w:rsid w:val="00BC6C16"/>
    <w:rPr>
      <w:rFonts w:ascii="Aptos" w:eastAsiaTheme="majorEastAsia" w:hAnsi="Aptos" w:cstheme="majorBidi"/>
      <w:b/>
      <w:bCs/>
      <w:sz w:val="20"/>
      <w:szCs w:val="20"/>
    </w:rPr>
  </w:style>
  <w:style w:type="character" w:customStyle="1" w:styleId="Heading4Char">
    <w:name w:val="Heading 4 Char"/>
    <w:aliases w:val="Footer text Char"/>
    <w:basedOn w:val="DefaultParagraphFont"/>
    <w:link w:val="Heading4"/>
    <w:uiPriority w:val="9"/>
    <w:rsid w:val="00FD4042"/>
    <w:rPr>
      <w:rFonts w:ascii="Aptos" w:hAnsi="Aptos" w:cs="Calibri"/>
      <w:sz w:val="16"/>
      <w:szCs w:val="16"/>
    </w:rPr>
  </w:style>
  <w:style w:type="character" w:customStyle="1" w:styleId="Heading5Char">
    <w:name w:val="Heading 5 Char"/>
    <w:basedOn w:val="DefaultParagraphFont"/>
    <w:link w:val="Heading5"/>
    <w:uiPriority w:val="9"/>
    <w:rsid w:val="000E5C60"/>
    <w:rPr>
      <w:rFonts w:asciiTheme="majorHAnsi" w:eastAsiaTheme="majorEastAsia" w:hAnsiTheme="majorHAnsi" w:cstheme="majorBidi"/>
      <w:color w:val="15659B" w:themeColor="accent4"/>
      <w:sz w:val="26"/>
      <w:szCs w:val="26"/>
    </w:rPr>
  </w:style>
  <w:style w:type="paragraph" w:styleId="Quote">
    <w:name w:val="Quote"/>
    <w:basedOn w:val="Normal"/>
    <w:next w:val="Normal"/>
    <w:link w:val="QuoteChar"/>
    <w:uiPriority w:val="29"/>
    <w:rsid w:val="00171757"/>
    <w:pPr>
      <w:pBdr>
        <w:top w:val="single" w:sz="4" w:space="6" w:color="15659B" w:themeColor="accent4"/>
        <w:bottom w:val="single" w:sz="4" w:space="6" w:color="15659B" w:themeColor="accent4"/>
      </w:pBdr>
      <w:spacing w:before="240" w:after="240"/>
      <w:ind w:right="2835"/>
    </w:pPr>
    <w:rPr>
      <w:iCs/>
      <w:color w:val="000000" w:themeColor="text1"/>
      <w:sz w:val="22"/>
      <w:szCs w:val="24"/>
    </w:rPr>
  </w:style>
  <w:style w:type="character" w:customStyle="1" w:styleId="QuoteChar">
    <w:name w:val="Quote Char"/>
    <w:basedOn w:val="DefaultParagraphFont"/>
    <w:link w:val="Quote"/>
    <w:uiPriority w:val="29"/>
    <w:rsid w:val="00171757"/>
    <w:rPr>
      <w:iCs/>
      <w:color w:val="000000" w:themeColor="text1"/>
      <w:szCs w:val="24"/>
    </w:rPr>
  </w:style>
  <w:style w:type="character" w:styleId="Strong">
    <w:name w:val="Strong"/>
    <w:basedOn w:val="DefaultParagraphFont"/>
    <w:uiPriority w:val="22"/>
    <w:rsid w:val="00B251DB"/>
    <w:rPr>
      <w:b/>
      <w:bCs/>
    </w:rPr>
  </w:style>
  <w:style w:type="character" w:styleId="Emphasis">
    <w:name w:val="Emphasis"/>
    <w:basedOn w:val="DefaultParagraphFont"/>
    <w:uiPriority w:val="20"/>
    <w:rsid w:val="00B251DB"/>
    <w:rPr>
      <w:i/>
      <w:iCs/>
    </w:rPr>
  </w:style>
  <w:style w:type="paragraph" w:styleId="ListParagraph">
    <w:name w:val="List Paragraph"/>
    <w:basedOn w:val="Normal"/>
    <w:uiPriority w:val="34"/>
    <w:qFormat/>
    <w:rsid w:val="00090DDB"/>
    <w:pPr>
      <w:numPr>
        <w:numId w:val="1"/>
      </w:numPr>
      <w:spacing w:before="0"/>
    </w:pPr>
  </w:style>
  <w:style w:type="character" w:styleId="Hyperlink">
    <w:name w:val="Hyperlink"/>
    <w:basedOn w:val="DefaultParagraphFont"/>
    <w:uiPriority w:val="99"/>
    <w:unhideWhenUsed/>
    <w:rsid w:val="0031654A"/>
    <w:rPr>
      <w:color w:val="15659B" w:themeColor="accent4"/>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2"/>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43720A"/>
    <w:pPr>
      <w:spacing w:after="100"/>
    </w:pPr>
  </w:style>
  <w:style w:type="paragraph" w:styleId="TOC3">
    <w:name w:val="toc 3"/>
    <w:basedOn w:val="Normal"/>
    <w:next w:val="Normal"/>
    <w:autoRedefine/>
    <w:uiPriority w:val="39"/>
    <w:unhideWhenUsed/>
    <w:rsid w:val="0043720A"/>
    <w:pPr>
      <w:spacing w:after="100"/>
      <w:ind w:left="221"/>
    </w:pPr>
  </w:style>
  <w:style w:type="paragraph" w:customStyle="1" w:styleId="Address">
    <w:name w:val="Address"/>
    <w:basedOn w:val="Subtitle"/>
    <w:rsid w:val="009A549D"/>
    <w:pPr>
      <w:spacing w:after="0"/>
    </w:p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93533" w:themeColor="accent2"/>
        <w:left w:val="single" w:sz="4" w:space="0" w:color="993533" w:themeColor="accent2"/>
        <w:bottom w:val="single" w:sz="4" w:space="0" w:color="993533" w:themeColor="accent2"/>
        <w:right w:val="single" w:sz="4" w:space="0" w:color="993533" w:themeColor="accent2"/>
      </w:tblBorders>
    </w:tblPr>
    <w:tblStylePr w:type="firstRow">
      <w:rPr>
        <w:b/>
        <w:bCs/>
        <w:color w:val="FFFFFF" w:themeColor="background1"/>
      </w:rPr>
      <w:tblPr/>
      <w:tcPr>
        <w:shd w:val="clear" w:color="auto" w:fill="993533" w:themeFill="accent2"/>
      </w:tcPr>
    </w:tblStylePr>
    <w:tblStylePr w:type="lastRow">
      <w:rPr>
        <w:b/>
        <w:bCs/>
      </w:rPr>
      <w:tblPr/>
      <w:tcPr>
        <w:tcBorders>
          <w:top w:val="double" w:sz="4" w:space="0" w:color="9935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3533" w:themeColor="accent2"/>
          <w:right w:val="single" w:sz="4" w:space="0" w:color="993533" w:themeColor="accent2"/>
        </w:tcBorders>
      </w:tcPr>
    </w:tblStylePr>
    <w:tblStylePr w:type="band1Horz">
      <w:tblPr/>
      <w:tcPr>
        <w:tcBorders>
          <w:top w:val="single" w:sz="4" w:space="0" w:color="993533" w:themeColor="accent2"/>
          <w:bottom w:val="single" w:sz="4" w:space="0" w:color="9935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3533" w:themeColor="accent2"/>
          <w:left w:val="nil"/>
        </w:tcBorders>
      </w:tcPr>
    </w:tblStylePr>
    <w:tblStylePr w:type="swCell">
      <w:tblPr/>
      <w:tcPr>
        <w:tcBorders>
          <w:top w:val="double" w:sz="4" w:space="0" w:color="993533"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00D3D1" w:themeColor="accent3"/>
        <w:left w:val="single" w:sz="4" w:space="0" w:color="00D3D1" w:themeColor="accent3"/>
        <w:bottom w:val="single" w:sz="4" w:space="0" w:color="00D3D1" w:themeColor="accent3"/>
        <w:right w:val="single" w:sz="4" w:space="0" w:color="00D3D1" w:themeColor="accent3"/>
      </w:tblBorders>
    </w:tblPr>
    <w:tblStylePr w:type="firstRow">
      <w:rPr>
        <w:b/>
        <w:bCs/>
        <w:color w:val="FFFFFF" w:themeColor="background1"/>
      </w:rPr>
      <w:tblPr/>
      <w:tcPr>
        <w:shd w:val="clear" w:color="auto" w:fill="00D3D1" w:themeFill="accent3"/>
      </w:tcPr>
    </w:tblStylePr>
    <w:tblStylePr w:type="lastRow">
      <w:rPr>
        <w:b/>
        <w:bCs/>
      </w:rPr>
      <w:tblPr/>
      <w:tcPr>
        <w:tcBorders>
          <w:top w:val="double" w:sz="4" w:space="0" w:color="00D3D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3D1" w:themeColor="accent3"/>
          <w:right w:val="single" w:sz="4" w:space="0" w:color="00D3D1" w:themeColor="accent3"/>
        </w:tcBorders>
      </w:tcPr>
    </w:tblStylePr>
    <w:tblStylePr w:type="band1Horz">
      <w:tblPr/>
      <w:tcPr>
        <w:tcBorders>
          <w:top w:val="single" w:sz="4" w:space="0" w:color="00D3D1" w:themeColor="accent3"/>
          <w:bottom w:val="single" w:sz="4" w:space="0" w:color="00D3D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3D1" w:themeColor="accent3"/>
          <w:left w:val="nil"/>
        </w:tcBorders>
      </w:tcPr>
    </w:tblStylePr>
    <w:tblStylePr w:type="swCell">
      <w:tblPr/>
      <w:tcPr>
        <w:tcBorders>
          <w:top w:val="double" w:sz="4" w:space="0" w:color="00D3D1" w:themeColor="accent3"/>
          <w:right w:val="nil"/>
        </w:tcBorders>
      </w:tcPr>
    </w:tblStylePr>
  </w:style>
  <w:style w:type="paragraph" w:styleId="IntenseQuote">
    <w:name w:val="Intense Quote"/>
    <w:basedOn w:val="Normal"/>
    <w:next w:val="Normal"/>
    <w:link w:val="IntenseQuoteChar"/>
    <w:uiPriority w:val="30"/>
    <w:rsid w:val="000A75CB"/>
    <w:pPr>
      <w:pBdr>
        <w:top w:val="single" w:sz="4" w:space="6" w:color="15659B" w:themeColor="accent4"/>
        <w:bottom w:val="single" w:sz="4" w:space="6" w:color="15659B" w:themeColor="accent4"/>
      </w:pBdr>
      <w:spacing w:before="360" w:after="360"/>
      <w:ind w:right="2835"/>
      <w:jc w:val="center"/>
    </w:pPr>
    <w:rPr>
      <w:b/>
      <w:iCs/>
      <w:sz w:val="24"/>
    </w:rPr>
  </w:style>
  <w:style w:type="character" w:customStyle="1" w:styleId="IntenseQuoteChar">
    <w:name w:val="Intense Quote Char"/>
    <w:basedOn w:val="DefaultParagraphFont"/>
    <w:link w:val="IntenseQuote"/>
    <w:uiPriority w:val="30"/>
    <w:rsid w:val="000A75CB"/>
    <w:rPr>
      <w:b/>
      <w:iCs/>
      <w:sz w:val="24"/>
    </w:rPr>
  </w:style>
  <w:style w:type="paragraph" w:customStyle="1" w:styleId="Calloutbox">
    <w:name w:val="Call out box"/>
    <w:basedOn w:val="Normal"/>
    <w:rsid w:val="00266F7C"/>
    <w:pPr>
      <w:pBdr>
        <w:top w:val="single" w:sz="4" w:space="6" w:color="E7E6E6" w:themeColor="background2"/>
        <w:left w:val="single" w:sz="4" w:space="4" w:color="E7E6E6" w:themeColor="background2"/>
        <w:bottom w:val="single" w:sz="4" w:space="6" w:color="E7E6E6" w:themeColor="background2"/>
        <w:right w:val="single" w:sz="4" w:space="4" w:color="E7E6E6" w:themeColor="background2"/>
      </w:pBdr>
      <w:shd w:val="clear" w:color="auto" w:fill="E7E6E6" w:themeFill="background2"/>
    </w:pPr>
  </w:style>
  <w:style w:type="character" w:customStyle="1" w:styleId="Heading6Char">
    <w:name w:val="Heading 6 Char"/>
    <w:basedOn w:val="DefaultParagraphFont"/>
    <w:link w:val="Heading6"/>
    <w:uiPriority w:val="9"/>
    <w:rsid w:val="00C50A9A"/>
    <w:rPr>
      <w:rFonts w:asciiTheme="majorHAnsi" w:eastAsiaTheme="majorEastAsia" w:hAnsiTheme="majorHAnsi" w:cstheme="majorBidi"/>
      <w:color w:val="000000" w:themeColor="text1"/>
      <w:sz w:val="24"/>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D17675" w:themeColor="accent2" w:themeTint="99"/>
        <w:left w:val="single" w:sz="4" w:space="0" w:color="D17675" w:themeColor="accent2" w:themeTint="99"/>
        <w:bottom w:val="single" w:sz="4" w:space="0" w:color="D17675" w:themeColor="accent2" w:themeTint="99"/>
        <w:right w:val="single" w:sz="4" w:space="0" w:color="D17675" w:themeColor="accent2" w:themeTint="99"/>
        <w:insideH w:val="single" w:sz="4" w:space="0" w:color="D17675" w:themeColor="accent2" w:themeTint="99"/>
        <w:insideV w:val="single" w:sz="4" w:space="0" w:color="D17675" w:themeColor="accent2" w:themeTint="99"/>
      </w:tblBorders>
    </w:tblPr>
    <w:tblStylePr w:type="firstRow">
      <w:rPr>
        <w:b/>
        <w:bCs/>
        <w:color w:val="FFFFFF" w:themeColor="background1"/>
      </w:rPr>
      <w:tblPr/>
      <w:tcPr>
        <w:tcBorders>
          <w:top w:val="single" w:sz="4" w:space="0" w:color="993533" w:themeColor="accent2"/>
          <w:left w:val="single" w:sz="4" w:space="0" w:color="993533" w:themeColor="accent2"/>
          <w:bottom w:val="single" w:sz="4" w:space="0" w:color="993533" w:themeColor="accent2"/>
          <w:right w:val="single" w:sz="4" w:space="0" w:color="993533" w:themeColor="accent2"/>
          <w:insideH w:val="nil"/>
          <w:insideV w:val="nil"/>
        </w:tcBorders>
        <w:shd w:val="clear" w:color="auto" w:fill="993533" w:themeFill="accent2"/>
      </w:tcPr>
    </w:tblStylePr>
    <w:tblStylePr w:type="lastRow">
      <w:rPr>
        <w:b/>
        <w:bCs/>
      </w:rPr>
      <w:tblPr/>
      <w:tcPr>
        <w:tcBorders>
          <w:top w:val="double" w:sz="4" w:space="0" w:color="993533" w:themeColor="accent2"/>
        </w:tcBorders>
      </w:tcPr>
    </w:tblStylePr>
    <w:tblStylePr w:type="firstCol">
      <w:rPr>
        <w:b/>
        <w:bCs/>
      </w:rPr>
    </w:tblStylePr>
    <w:tblStylePr w:type="lastCol">
      <w:rPr>
        <w:b/>
        <w:bCs/>
      </w:rPr>
    </w:tblStylePr>
    <w:tblStylePr w:type="band1Vert">
      <w:tblPr/>
      <w:tcPr>
        <w:shd w:val="clear" w:color="auto" w:fill="EFD1D1" w:themeFill="accent2" w:themeFillTint="33"/>
      </w:tcPr>
    </w:tblStylePr>
    <w:tblStylePr w:type="band1Horz">
      <w:tblPr/>
      <w:tcPr>
        <w:shd w:val="clear" w:color="auto" w:fill="EFD1D1"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E0A4A3" w:themeColor="accent2" w:themeTint="66"/>
        <w:left w:val="single" w:sz="4" w:space="0" w:color="E0A4A3" w:themeColor="accent2" w:themeTint="66"/>
        <w:bottom w:val="single" w:sz="4" w:space="0" w:color="E0A4A3" w:themeColor="accent2" w:themeTint="66"/>
        <w:right w:val="single" w:sz="4" w:space="0" w:color="E0A4A3" w:themeColor="accent2" w:themeTint="66"/>
        <w:insideH w:val="single" w:sz="4" w:space="0" w:color="E0A4A3" w:themeColor="accent2" w:themeTint="66"/>
        <w:insideV w:val="single" w:sz="4" w:space="0" w:color="E0A4A3" w:themeColor="accent2" w:themeTint="66"/>
      </w:tblBorders>
    </w:tblPr>
    <w:tblStylePr w:type="firstRow">
      <w:rPr>
        <w:b/>
        <w:bCs/>
      </w:rPr>
      <w:tblPr/>
      <w:tcPr>
        <w:tcBorders>
          <w:bottom w:val="single" w:sz="12" w:space="0" w:color="D17675" w:themeColor="accent2" w:themeTint="99"/>
        </w:tcBorders>
      </w:tcPr>
    </w:tblStylePr>
    <w:tblStylePr w:type="lastRow">
      <w:rPr>
        <w:b/>
        <w:bCs/>
      </w:rPr>
      <w:tblPr/>
      <w:tcPr>
        <w:tcBorders>
          <w:top w:val="double" w:sz="2" w:space="0" w:color="D1767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B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B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B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B35" w:themeFill="accent1"/>
      </w:tcPr>
    </w:tblStylePr>
    <w:tblStylePr w:type="band1Vert">
      <w:tblPr/>
      <w:tcPr>
        <w:shd w:val="clear" w:color="auto" w:fill="48A4FF" w:themeFill="accent1" w:themeFillTint="66"/>
      </w:tcPr>
    </w:tblStylePr>
    <w:tblStylePr w:type="band1Horz">
      <w:tblPr/>
      <w:tcPr>
        <w:shd w:val="clear" w:color="auto" w:fill="48A4FF"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0077EB" w:themeColor="accent1" w:themeTint="99"/>
        <w:left w:val="single" w:sz="4" w:space="0" w:color="0077EB" w:themeColor="accent1" w:themeTint="99"/>
        <w:bottom w:val="single" w:sz="4" w:space="0" w:color="0077EB" w:themeColor="accent1" w:themeTint="99"/>
        <w:right w:val="single" w:sz="4" w:space="0" w:color="0077EB" w:themeColor="accent1" w:themeTint="99"/>
        <w:insideH w:val="single" w:sz="4" w:space="0" w:color="0077EB" w:themeColor="accent1" w:themeTint="99"/>
        <w:insideV w:val="single" w:sz="4" w:space="0" w:color="0077EB" w:themeColor="accent1" w:themeTint="99"/>
      </w:tblBorders>
    </w:tblPr>
    <w:tblStylePr w:type="firstRow">
      <w:rPr>
        <w:b/>
        <w:bCs/>
        <w:color w:val="FFFFFF" w:themeColor="background1"/>
      </w:rPr>
      <w:tblPr/>
      <w:tcPr>
        <w:shd w:val="clear" w:color="auto" w:fill="001427" w:themeFill="accent1" w:themeFillShade="BF"/>
      </w:tcPr>
    </w:tblStylePr>
    <w:tblStylePr w:type="lastRow">
      <w:rPr>
        <w:b/>
        <w:bCs/>
      </w:rPr>
      <w:tblPr/>
      <w:tcPr>
        <w:tcBorders>
          <w:top w:val="double" w:sz="4" w:space="0" w:color="001B35" w:themeColor="accent1"/>
        </w:tcBorders>
      </w:tcPr>
    </w:tblStylePr>
    <w:tblStylePr w:type="firstCol">
      <w:rPr>
        <w:b/>
        <w:bCs/>
      </w:rPr>
    </w:tblStylePr>
    <w:tblStylePr w:type="lastCol">
      <w:rPr>
        <w:b/>
        <w:bCs/>
      </w:rPr>
    </w:tblStylePr>
    <w:tblStylePr w:type="band1Vert">
      <w:tblPr/>
      <w:tcPr>
        <w:shd w:val="clear" w:color="auto" w:fill="A3D1FF" w:themeFill="accent1" w:themeFillTint="33"/>
      </w:tcPr>
    </w:tblStylePr>
    <w:tblStylePr w:type="band1Horz">
      <w:tblPr/>
      <w:tcPr>
        <w:shd w:val="clear" w:color="auto" w:fill="A3D1FF"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EFFDB9" w:themeColor="accent5" w:themeTint="99"/>
        <w:left w:val="single" w:sz="4" w:space="0" w:color="EFFDB9" w:themeColor="accent5" w:themeTint="99"/>
        <w:bottom w:val="single" w:sz="4" w:space="0" w:color="EFFDB9" w:themeColor="accent5" w:themeTint="99"/>
        <w:right w:val="single" w:sz="4" w:space="0" w:color="EFFDB9" w:themeColor="accent5" w:themeTint="99"/>
        <w:insideH w:val="single" w:sz="4" w:space="0" w:color="EFFDB9" w:themeColor="accent5" w:themeTint="99"/>
        <w:insideV w:val="single" w:sz="4" w:space="0" w:color="EFFDB9" w:themeColor="accent5" w:themeTint="99"/>
      </w:tblBorders>
    </w:tblPr>
    <w:tblStylePr w:type="firstRow">
      <w:rPr>
        <w:b/>
        <w:bCs/>
        <w:color w:val="FFFFFF" w:themeColor="background1"/>
      </w:rPr>
      <w:tblPr/>
      <w:tcPr>
        <w:tcBorders>
          <w:top w:val="single" w:sz="4" w:space="0" w:color="E5FD8C" w:themeColor="accent5"/>
          <w:left w:val="single" w:sz="4" w:space="0" w:color="E5FD8C" w:themeColor="accent5"/>
          <w:bottom w:val="single" w:sz="4" w:space="0" w:color="E5FD8C" w:themeColor="accent5"/>
          <w:right w:val="single" w:sz="4" w:space="0" w:color="E5FD8C" w:themeColor="accent5"/>
          <w:insideH w:val="nil"/>
          <w:insideV w:val="nil"/>
        </w:tcBorders>
        <w:shd w:val="clear" w:color="auto" w:fill="E5FD8C" w:themeFill="accent5"/>
      </w:tcPr>
    </w:tblStylePr>
    <w:tblStylePr w:type="lastRow">
      <w:rPr>
        <w:b/>
        <w:bCs/>
      </w:rPr>
      <w:tblPr/>
      <w:tcPr>
        <w:tcBorders>
          <w:top w:val="double" w:sz="4" w:space="0" w:color="E5FD8C" w:themeColor="accent5"/>
        </w:tcBorders>
      </w:tcPr>
    </w:tblStylePr>
    <w:tblStylePr w:type="firstCol">
      <w:rPr>
        <w:b/>
        <w:bCs/>
      </w:rPr>
    </w:tblStylePr>
    <w:tblStylePr w:type="lastCol">
      <w:rPr>
        <w:b/>
        <w:bCs/>
      </w:rPr>
    </w:tblStylePr>
    <w:tblStylePr w:type="band1Vert">
      <w:tblPr/>
      <w:tcPr>
        <w:shd w:val="clear" w:color="auto" w:fill="F9FEE7" w:themeFill="accent5" w:themeFillTint="33"/>
      </w:tcPr>
    </w:tblStylePr>
    <w:tblStylePr w:type="band1Horz">
      <w:tblPr/>
      <w:tcPr>
        <w:shd w:val="clear" w:color="auto" w:fill="F9FEE7" w:themeFill="accent5" w:themeFillTint="33"/>
      </w:tcPr>
    </w:tblStylePr>
  </w:style>
  <w:style w:type="table" w:styleId="GridTable4-Accent4">
    <w:name w:val="Grid Table 4 Accent 4"/>
    <w:aliases w:val="DISR banded - Table 2"/>
    <w:basedOn w:val="TableNormal"/>
    <w:uiPriority w:val="49"/>
    <w:rsid w:val="005777BC"/>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firstRow">
      <w:rPr>
        <w:b/>
        <w:bCs/>
        <w:color w:val="FFFFFF" w:themeColor="background1"/>
      </w:rPr>
      <w:tblPr/>
      <w:tcPr>
        <w:tcBorders>
          <w:top w:val="single" w:sz="4" w:space="0" w:color="15659B" w:themeColor="accent4"/>
          <w:left w:val="single" w:sz="4" w:space="0" w:color="15659B" w:themeColor="accent4"/>
          <w:bottom w:val="single" w:sz="4" w:space="0" w:color="15659B" w:themeColor="accent4"/>
          <w:right w:val="single" w:sz="4" w:space="0" w:color="15659B" w:themeColor="accent4"/>
          <w:insideH w:val="nil"/>
          <w:insideV w:val="nil"/>
        </w:tcBorders>
        <w:shd w:val="clear" w:color="auto" w:fill="15659B" w:themeFill="accent4"/>
      </w:tcPr>
    </w:tblStylePr>
    <w:tblStylePr w:type="lastRow">
      <w:rPr>
        <w:b/>
        <w:bCs/>
      </w:rPr>
      <w:tblPr/>
      <w:tcPr>
        <w:tcBorders>
          <w:top w:val="single" w:sz="18" w:space="0" w:color="15659B" w:themeColor="accent4"/>
        </w:tcBorders>
      </w:tcPr>
    </w:tblStylePr>
    <w:tblStylePr w:type="firstCol">
      <w:rPr>
        <w:b/>
        <w:bCs/>
      </w:rPr>
    </w:tblStylePr>
    <w:tblStylePr w:type="lastCol">
      <w:rPr>
        <w:b/>
        <w:bCs/>
      </w:rPr>
    </w:tblStylePr>
    <w:tblStylePr w:type="band1Vert">
      <w:tblPr/>
      <w:tcPr>
        <w:shd w:val="clear" w:color="auto" w:fill="C4E2F7" w:themeFill="accent4" w:themeFillTint="33"/>
      </w:tcPr>
    </w:tblStylePr>
    <w:tblStylePr w:type="band1Horz">
      <w:tblPr/>
      <w:tcPr>
        <w:shd w:val="clear" w:color="auto" w:fill="E7E6E6" w:themeFill="background2"/>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4BFFFC" w:themeColor="accent3" w:themeTint="99"/>
        <w:left w:val="single" w:sz="4" w:space="0" w:color="4BFFFC" w:themeColor="accent3" w:themeTint="99"/>
        <w:bottom w:val="single" w:sz="4" w:space="0" w:color="4BFFFC" w:themeColor="accent3" w:themeTint="99"/>
        <w:right w:val="single" w:sz="4" w:space="0" w:color="4BFFFC" w:themeColor="accent3" w:themeTint="99"/>
        <w:insideH w:val="single" w:sz="4" w:space="0" w:color="4BFFFC" w:themeColor="accent3" w:themeTint="99"/>
        <w:insideV w:val="single" w:sz="4" w:space="0" w:color="4BFFFC" w:themeColor="accent3" w:themeTint="99"/>
      </w:tblBorders>
    </w:tblPr>
    <w:tblStylePr w:type="firstRow">
      <w:rPr>
        <w:b/>
        <w:bCs/>
        <w:color w:val="FFFFFF" w:themeColor="background1"/>
      </w:rPr>
      <w:tblPr/>
      <w:tcPr>
        <w:tcBorders>
          <w:top w:val="single" w:sz="4" w:space="0" w:color="00D3D1" w:themeColor="accent3"/>
          <w:left w:val="single" w:sz="4" w:space="0" w:color="00D3D1" w:themeColor="accent3"/>
          <w:bottom w:val="single" w:sz="4" w:space="0" w:color="00D3D1" w:themeColor="accent3"/>
          <w:right w:val="single" w:sz="4" w:space="0" w:color="00D3D1" w:themeColor="accent3"/>
          <w:insideH w:val="nil"/>
          <w:insideV w:val="nil"/>
        </w:tcBorders>
        <w:shd w:val="clear" w:color="auto" w:fill="00D3D1" w:themeFill="accent3"/>
      </w:tcPr>
    </w:tblStylePr>
    <w:tblStylePr w:type="lastRow">
      <w:rPr>
        <w:b/>
        <w:bCs/>
      </w:rPr>
      <w:tblPr/>
      <w:tcPr>
        <w:tcBorders>
          <w:top w:val="double" w:sz="4" w:space="0" w:color="00D3D1" w:themeColor="accent3"/>
        </w:tcBorders>
      </w:tcPr>
    </w:tblStylePr>
    <w:tblStylePr w:type="firstCol">
      <w:rPr>
        <w:b/>
        <w:bCs/>
      </w:rPr>
    </w:tblStylePr>
    <w:tblStylePr w:type="lastCol">
      <w:rPr>
        <w:b/>
        <w:bCs/>
      </w:rPr>
    </w:tblStylePr>
    <w:tblStylePr w:type="band1Vert">
      <w:tblPr/>
      <w:tcPr>
        <w:shd w:val="clear" w:color="auto" w:fill="C3FFFE" w:themeFill="accent3" w:themeFillTint="33"/>
      </w:tcPr>
    </w:tblStylePr>
    <w:tblStylePr w:type="band1Horz">
      <w:tblPr/>
      <w:tcPr>
        <w:shd w:val="clear" w:color="auto" w:fill="C3FFFE" w:themeFill="accent3" w:themeFillTint="33"/>
      </w:tcPr>
    </w:tblStylePr>
  </w:style>
  <w:style w:type="paragraph" w:customStyle="1" w:styleId="Authoranddate">
    <w:name w:val="Author and date"/>
    <w:basedOn w:val="Subtitle"/>
    <w:link w:val="AuthoranddateChar"/>
    <w:rsid w:val="001D51DA"/>
    <w:rPr>
      <w:szCs w:val="40"/>
    </w:rPr>
  </w:style>
  <w:style w:type="character" w:customStyle="1" w:styleId="AuthoranddateChar">
    <w:name w:val="Author and date Char"/>
    <w:basedOn w:val="SubtitleChar"/>
    <w:link w:val="Authoranddate"/>
    <w:rsid w:val="001D51DA"/>
    <w:rPr>
      <w:rFonts w:ascii="Aptos" w:eastAsiaTheme="minorEastAsia" w:hAnsi="Aptos"/>
      <w:color w:val="E7E6E6" w:themeColor="background2"/>
      <w:sz w:val="40"/>
      <w:szCs w:val="40"/>
    </w:rPr>
  </w:style>
  <w:style w:type="character" w:customStyle="1" w:styleId="Heading7Char">
    <w:name w:val="Heading 7 Char"/>
    <w:basedOn w:val="DefaultParagraphFont"/>
    <w:link w:val="Heading7"/>
    <w:uiPriority w:val="9"/>
    <w:rsid w:val="00C50A9A"/>
    <w:rPr>
      <w:rFonts w:asciiTheme="majorHAnsi" w:eastAsiaTheme="majorEastAsia" w:hAnsiTheme="majorHAnsi" w:cstheme="majorBidi"/>
      <w:b/>
      <w:iCs/>
      <w:color w:val="001B35" w:themeColor="accent1"/>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tblBorders>
    </w:tblPr>
    <w:tblStylePr w:type="firstRow">
      <w:rPr>
        <w:b/>
        <w:bCs/>
        <w:color w:val="FFFFFF" w:themeColor="background1"/>
      </w:rPr>
      <w:tblPr/>
      <w:tcPr>
        <w:shd w:val="clear" w:color="auto" w:fill="15659B" w:themeFill="accent4"/>
      </w:tcPr>
    </w:tblStylePr>
    <w:tblStylePr w:type="lastRow">
      <w:rPr>
        <w:b/>
        <w:bCs/>
      </w:rPr>
      <w:tblPr/>
      <w:tcPr>
        <w:tcBorders>
          <w:top w:val="double" w:sz="4" w:space="0" w:color="1565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59B" w:themeColor="accent4"/>
          <w:right w:val="single" w:sz="4" w:space="0" w:color="15659B" w:themeColor="accent4"/>
        </w:tcBorders>
      </w:tcPr>
    </w:tblStylePr>
    <w:tblStylePr w:type="band1Horz">
      <w:tblPr/>
      <w:tcPr>
        <w:tcBorders>
          <w:top w:val="single" w:sz="4" w:space="0" w:color="15659B" w:themeColor="accent4"/>
          <w:bottom w:val="single" w:sz="4" w:space="0" w:color="1565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59B" w:themeColor="accent4"/>
          <w:left w:val="nil"/>
        </w:tcBorders>
      </w:tcPr>
    </w:tblStylePr>
    <w:tblStylePr w:type="swCell">
      <w:tblPr/>
      <w:tcPr>
        <w:tcBorders>
          <w:top w:val="double" w:sz="4" w:space="0" w:color="15659B" w:themeColor="accent4"/>
          <w:right w:val="nil"/>
        </w:tcBorders>
      </w:tcPr>
    </w:tblStylePr>
  </w:style>
  <w:style w:type="paragraph" w:styleId="TOC4">
    <w:name w:val="toc 4"/>
    <w:basedOn w:val="Normal"/>
    <w:next w:val="Normal"/>
    <w:autoRedefine/>
    <w:uiPriority w:val="39"/>
    <w:unhideWhenUsed/>
    <w:rsid w:val="0043720A"/>
    <w:pPr>
      <w:spacing w:after="100"/>
      <w:ind w:left="442"/>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basedOn w:val="Normal"/>
    <w:uiPriority w:val="99"/>
    <w:unhideWhenUsed/>
    <w:rsid w:val="00703734"/>
    <w:pPr>
      <w:numPr>
        <w:numId w:val="4"/>
      </w:numPr>
      <w:ind w:left="567" w:hanging="567"/>
      <w:contextualSpacing/>
    </w:pPr>
  </w:style>
  <w:style w:type="paragraph" w:styleId="ListBullet2">
    <w:name w:val="List Bullet 2"/>
    <w:basedOn w:val="Normal"/>
    <w:uiPriority w:val="99"/>
    <w:semiHidden/>
    <w:unhideWhenUsed/>
    <w:rsid w:val="00703734"/>
    <w:pPr>
      <w:numPr>
        <w:numId w:val="5"/>
      </w:numPr>
      <w:ind w:left="567" w:hanging="567"/>
      <w:contextualSpacing/>
    </w:pPr>
  </w:style>
  <w:style w:type="character" w:customStyle="1" w:styleId="Heading8Char">
    <w:name w:val="Heading 8 Char"/>
    <w:basedOn w:val="DefaultParagraphFont"/>
    <w:link w:val="Heading8"/>
    <w:uiPriority w:val="9"/>
    <w:rsid w:val="00C50A9A"/>
    <w:rPr>
      <w:rFonts w:asciiTheme="majorHAnsi" w:eastAsiaTheme="majorEastAsia" w:hAnsiTheme="majorHAnsi" w:cstheme="majorBidi"/>
      <w:color w:val="272727" w:themeColor="text1" w:themeTint="D8"/>
      <w:sz w:val="20"/>
      <w:szCs w:val="21"/>
    </w:rPr>
  </w:style>
  <w:style w:type="character" w:styleId="CommentReference">
    <w:name w:val="annotation reference"/>
    <w:basedOn w:val="DefaultParagraphFont"/>
    <w:uiPriority w:val="99"/>
    <w:semiHidden/>
    <w:unhideWhenUsed/>
    <w:rsid w:val="00FE4569"/>
    <w:rPr>
      <w:sz w:val="16"/>
      <w:szCs w:val="16"/>
    </w:rPr>
  </w:style>
  <w:style w:type="paragraph" w:styleId="CommentText">
    <w:name w:val="annotation text"/>
    <w:basedOn w:val="Normal"/>
    <w:link w:val="CommentTextChar"/>
    <w:uiPriority w:val="99"/>
    <w:unhideWhenUsed/>
    <w:rsid w:val="00FE4569"/>
    <w:rPr>
      <w:szCs w:val="20"/>
    </w:rPr>
  </w:style>
  <w:style w:type="character" w:customStyle="1" w:styleId="CommentTextChar">
    <w:name w:val="Comment Text Char"/>
    <w:basedOn w:val="DefaultParagraphFont"/>
    <w:link w:val="CommentText"/>
    <w:uiPriority w:val="99"/>
    <w:rsid w:val="00FE456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paragraph" w:styleId="Revision">
    <w:name w:val="Revision"/>
    <w:hidden/>
    <w:uiPriority w:val="99"/>
    <w:semiHidden/>
    <w:rsid w:val="00085A1E"/>
    <w:pPr>
      <w:spacing w:after="0" w:line="240" w:lineRule="auto"/>
    </w:pPr>
    <w:rPr>
      <w:sz w:val="20"/>
    </w:rPr>
  </w:style>
  <w:style w:type="character" w:customStyle="1" w:styleId="Heading9Char">
    <w:name w:val="Heading 9 Char"/>
    <w:basedOn w:val="DefaultParagraphFont"/>
    <w:link w:val="Heading9"/>
    <w:uiPriority w:val="9"/>
    <w:semiHidden/>
    <w:rsid w:val="0082544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ndustry.gov.au/mining-oil-and-gas/offshore-greenhouse-gas-storage/offshore-greenhouse-gas-storage-acreage-release-process" TargetMode="External"/><Relationship Id="rId26" Type="http://schemas.openxmlformats.org/officeDocument/2006/relationships/hyperlink" Target="https://www.nopta.gov.au/legislation-and-compliance/legislative-overview/relevant-decision-makers.html" TargetMode="External"/><Relationship Id="rId39" Type="http://schemas.openxmlformats.org/officeDocument/2006/relationships/theme" Target="theme/theme1.xml"/><Relationship Id="rId21" Type="http://schemas.openxmlformats.org/officeDocument/2006/relationships/hyperlink" Target="https://www.legislation.gov.au/F2023L00998/latest/text" TargetMode="External"/><Relationship Id="rId34" Type="http://schemas.openxmlformats.org/officeDocument/2006/relationships/hyperlink" Target="https://business.gov.au/expertise-and-advice/major-projects-facilitation-agency/help-too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nopta.gov.au/legislation-and-compliance/legislative-overview/greenhouse-gas-storage-titles.html" TargetMode="External"/><Relationship Id="rId25" Type="http://schemas.openxmlformats.org/officeDocument/2006/relationships/hyperlink" Target="https://www.nopta.gov.au/neats-info/neats-info.html" TargetMode="External"/><Relationship Id="rId33" Type="http://schemas.openxmlformats.org/officeDocument/2006/relationships/hyperlink" Target="mailto:environment@nopsema.gov.au"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legislation.gov.au/C2006A00014/latest/text" TargetMode="External"/><Relationship Id="rId20" Type="http://schemas.openxmlformats.org/officeDocument/2006/relationships/hyperlink" Target="https://www.nopsema.gov.au/offshore-industry/environmental-management/assessment-process" TargetMode="External"/><Relationship Id="rId29" Type="http://schemas.openxmlformats.org/officeDocument/2006/relationships/hyperlink" Target="https://www.nopsema.gov.au/offshore-industry/submitting-regulatory-docum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opta.gov.au/_documents/fact-sheets/Offshore-Carbon-Capture-and-Storage-Regulatory-Approvals-2023.pdf" TargetMode="External"/><Relationship Id="rId32" Type="http://schemas.openxmlformats.org/officeDocument/2006/relationships/hyperlink" Target="https://www.nopsema.gov.au/"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nopsema.gov.au/sites/default/files/documents/Guidance%20note%20-%20Petroleum%20Activities%20and%20Australian%20Marine%20Parks.pdf" TargetMode="External"/><Relationship Id="rId28" Type="http://schemas.openxmlformats.org/officeDocument/2006/relationships/hyperlink" Target="https://www.nopta.gov.au/forms/nopta-forms/nopta-forms-guidance/NOPTA-Forms-Guidance-Greenhouse-Gas.pdf"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nopta.gov.au/guidelines-and-factsheets/offshore-petroleum-guidelines.html" TargetMode="External"/><Relationship Id="rId31" Type="http://schemas.openxmlformats.org/officeDocument/2006/relationships/hyperlink" Target="mailto:titles@nopt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legislation.gov.au/F2011L00647/latest/text" TargetMode="External"/><Relationship Id="rId27" Type="http://schemas.openxmlformats.org/officeDocument/2006/relationships/hyperlink" Target="https://www.legislation.gov.au/C2006A00014/latest/authorises" TargetMode="External"/><Relationship Id="rId30" Type="http://schemas.openxmlformats.org/officeDocument/2006/relationships/hyperlink" Target="https://www.nopta.gov.au/application-processes/greenhouse-gas/index.html" TargetMode="External"/><Relationship Id="rId35" Type="http://schemas.openxmlformats.org/officeDocument/2006/relationships/hyperlink" Target="mailto:MPFA@industry.gov.au"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mailto:MPFA@industry.gov.au" TargetMode="External"/><Relationship Id="rId1" Type="http://schemas.openxmlformats.org/officeDocument/2006/relationships/hyperlink" Target="http://www.business.gov.au/MPF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PFA@industry.gov.au" TargetMode="External"/><Relationship Id="rId1" Type="http://schemas.openxmlformats.org/officeDocument/2006/relationships/hyperlink" Target="http://www.business.gov.au/MPF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protected.ind\Apps\APPS01\M365\Workgroup%20Templates\Departmental\DISR-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986B45844B4990BC6B7097CC6940AD"/>
        <w:category>
          <w:name w:val="General"/>
          <w:gallery w:val="placeholder"/>
        </w:category>
        <w:types>
          <w:type w:val="bbPlcHdr"/>
        </w:types>
        <w:behaviors>
          <w:behavior w:val="content"/>
        </w:behaviors>
        <w:guid w:val="{E5626C1E-BB8D-48A3-B98B-65F8F5A9C192}"/>
      </w:docPartPr>
      <w:docPartBody>
        <w:p w:rsidR="003A16B7" w:rsidRDefault="003A16B7">
          <w:pPr>
            <w:pStyle w:val="71986B45844B4990BC6B7097CC6940AD"/>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B7"/>
    <w:rsid w:val="00293BAA"/>
    <w:rsid w:val="003A1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1986B45844B4990BC6B7097CC6940AD">
    <w:name w:val="71986B45844B4990BC6B7097CC694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ISR 2023">
      <a:dk1>
        <a:srgbClr val="000000"/>
      </a:dk1>
      <a:lt1>
        <a:sysClr val="window" lastClr="FFFFFF"/>
      </a:lt1>
      <a:dk2>
        <a:srgbClr val="095258"/>
      </a:dk2>
      <a:lt2>
        <a:srgbClr val="E7E6E6"/>
      </a:lt2>
      <a:accent1>
        <a:srgbClr val="001B35"/>
      </a:accent1>
      <a:accent2>
        <a:srgbClr val="993533"/>
      </a:accent2>
      <a:accent3>
        <a:srgbClr val="00D3D1"/>
      </a:accent3>
      <a:accent4>
        <a:srgbClr val="15659B"/>
      </a:accent4>
      <a:accent5>
        <a:srgbClr val="E5FD8C"/>
      </a:accent5>
      <a:accent6>
        <a:srgbClr val="B7E4F7"/>
      </a:accent6>
      <a:hlink>
        <a:srgbClr val="15659B"/>
      </a:hlink>
      <a:folHlink>
        <a:srgbClr val="954F72"/>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6bd50b-1532-4c22-b385-5c082c960938">
      <Value>52</Value>
      <Value>4417</Value>
      <Value>4442</Value>
      <Value>3</Value>
      <Value>7</Value>
    </TaxCatchAll>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MPFA Fact sheet</TermName>
          <TermId xmlns="http://schemas.microsoft.com/office/infopath/2007/PartnerControls">ef30a2d5-478e-4e19-a26d-0cfa456562ed</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38af007d-6d80-4dd0-9833-ef17489d7c7e</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cd41d649-1e1a-44f5-b99b-946d42ce56d6</TermId>
        </TermInfo>
      </Terms>
    </g7bcb40ba23249a78edca7d43a67c1c9>
    <Comments xmlns="http://schemas.microsoft.com/sharepoint/v3">2024 updates</Comment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780164a7762156836e5a3c9042e9904e">
  <xsd:schema xmlns:xsd="http://www.w3.org/2001/XMLSchema" xmlns:xs="http://www.w3.org/2001/XMLSchema" xmlns:p="http://schemas.microsoft.com/office/2006/metadata/properties" xmlns:ns1="http://schemas.microsoft.com/sharepoint/v3" xmlns:ns2="a36bd50b-1532-4c22-b385-5c082c960938" xmlns:ns3="e950eb60-a35e-4b14-88a9-41f408f74491" xmlns:ns4="http://schemas.microsoft.com/sharepoint/v4" targetNamespace="http://schemas.microsoft.com/office/2006/metadata/properties" ma:root="true" ma:fieldsID="f47454887633ca44c0b54924b796084f" ns1:_="" ns2:_="" ns3:_="" ns4:_="">
    <xsd:import namespace="http://schemas.microsoft.com/sharepoint/v3"/>
    <xsd:import namespace="a36bd50b-1532-4c22-b385-5c082c960938"/>
    <xsd:import namespace="e950eb60-a35e-4b14-88a9-41f408f74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AE6EB-A8D4-4D9D-8D6C-A552C96C0E4C}">
  <ds:schemaRefs>
    <ds:schemaRef ds:uri="http://schemas.microsoft.com/sharepoint/v3/contenttype/forms"/>
  </ds:schemaRefs>
</ds:datastoreItem>
</file>

<file path=customXml/itemProps2.xml><?xml version="1.0" encoding="utf-8"?>
<ds:datastoreItem xmlns:ds="http://schemas.openxmlformats.org/officeDocument/2006/customXml" ds:itemID="{297BCF5D-ECED-40B9-848C-61973DAC72C5}">
  <ds:schemaRefs>
    <ds:schemaRef ds:uri="http://schemas.openxmlformats.org/package/2006/metadata/core-properties"/>
    <ds:schemaRef ds:uri="http://purl.org/dc/elements/1.1/"/>
    <ds:schemaRef ds:uri="http://purl.org/dc/dcmitype/"/>
    <ds:schemaRef ds:uri="e950eb60-a35e-4b14-88a9-41f408f74491"/>
    <ds:schemaRef ds:uri="http://purl.org/dc/terms/"/>
    <ds:schemaRef ds:uri="http://schemas.microsoft.com/office/infopath/2007/PartnerControls"/>
    <ds:schemaRef ds:uri="http://schemas.microsoft.com/sharepoint/v3"/>
    <ds:schemaRef ds:uri="http://schemas.microsoft.com/sharepoint/v4"/>
    <ds:schemaRef ds:uri="http://schemas.microsoft.com/office/2006/documentManagement/types"/>
    <ds:schemaRef ds:uri="a36bd50b-1532-4c22-b385-5c082c96093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customXml/itemProps4.xml><?xml version="1.0" encoding="utf-8"?>
<ds:datastoreItem xmlns:ds="http://schemas.openxmlformats.org/officeDocument/2006/customXml" ds:itemID="{D699A0F7-6319-4AD1-B49D-427DDF0B2EE6}">
  <ds:schemaRefs>
    <ds:schemaRef ds:uri="http://schemas.microsoft.com/sharepoint/events"/>
  </ds:schemaRefs>
</ds:datastoreItem>
</file>

<file path=customXml/itemProps5.xml><?xml version="1.0" encoding="utf-8"?>
<ds:datastoreItem xmlns:ds="http://schemas.openxmlformats.org/officeDocument/2006/customXml" ds:itemID="{EE1316EF-7C87-4A7E-A0BF-39BA30829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DISR-document</Template>
  <TotalTime>0</TotalTime>
  <Pages>2</Pages>
  <Words>851</Words>
  <Characters>5123</Characters>
  <DocSecurity>0</DocSecurity>
  <Lines>131</Lines>
  <Paragraphs>37</Paragraphs>
  <ScaleCrop>false</ScaleCrop>
  <HeadingPairs>
    <vt:vector size="2" baseType="variant">
      <vt:variant>
        <vt:lpstr>Title</vt:lpstr>
      </vt:variant>
      <vt:variant>
        <vt:i4>1</vt:i4>
      </vt:variant>
    </vt:vector>
  </HeadingPairs>
  <TitlesOfParts>
    <vt:vector size="1" baseType="lpstr">
      <vt:lpstr>Offshore Petroleum and Greenhouse Gas Storage Act 2006 (greenhouse gas storage activities)</vt:lpstr>
    </vt:vector>
  </TitlesOfParts>
  <Manager/>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Offshore Petroleum and Greenhouse Gas Storage Act 2006 (greenhouse gas storage activities)</dc:title>
  <dc:subject/>
  <dc:creator>MPFA@industry.gov.au</dc:creator>
  <cp:keywords/>
  <dc:description/>
  <cp:lastPrinted>2025-02-19T07:29:00Z</cp:lastPrinted>
  <dcterms:created xsi:type="dcterms:W3CDTF">2025-02-19T07:29:00Z</dcterms:created>
  <dcterms:modified xsi:type="dcterms:W3CDTF">2025-02-19T07:29:00Z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MediaServiceImageTags">
    <vt:lpwstr/>
  </property>
  <property fmtid="{D5CDD505-2E9C-101B-9397-08002B2CF9AE}" pid="4" name="DocHub_Year">
    <vt:lpwstr>4417;#2024|a9509632-5de2-45f9-9fc7-c24df7848880</vt:lpwstr>
  </property>
  <property fmtid="{D5CDD505-2E9C-101B-9397-08002B2CF9AE}" pid="5" name="DocHub_DocumentType">
    <vt:lpwstr>52;#Fact Sheet|38af007d-6d80-4dd0-9833-ef17489d7c7e</vt:lpwstr>
  </property>
  <property fmtid="{D5CDD505-2E9C-101B-9397-08002B2CF9AE}" pid="6" name="DocHub_SecurityClassification">
    <vt:lpwstr>3;#OFFICIAL|6106d03b-a1a0-4e30-9d91-d5e9fb4314f9</vt:lpwstr>
  </property>
  <property fmtid="{D5CDD505-2E9C-101B-9397-08002B2CF9AE}" pid="7" name="DocHub_Keywords">
    <vt:lpwstr>4442;#MPFA Fact sheet|ef30a2d5-478e-4e19-a26d-0cfa456562ed</vt:lpwstr>
  </property>
  <property fmtid="{D5CDD505-2E9C-101B-9397-08002B2CF9AE}" pid="8" name="DocHub_WorkActivity">
    <vt:lpwstr>7;#Communication|cd41d649-1e1a-44f5-b99b-946d42ce56d6</vt:lpwstr>
  </property>
</Properties>
</file>