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bookmarkStart w:id="3" w:name="_Hlk184712179" w:displacedByCustomXml="next"/>
    <w:bookmarkStart w:id="4" w:name="_Hlk184206081"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373D4C20041D4815ABFD4133E8849C01"/>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67513201" w:rsidR="0068286F" w:rsidRPr="00BC6C16" w:rsidRDefault="00834F81" w:rsidP="00BC6C16">
              <w:pPr>
                <w:pStyle w:val="Heading1"/>
              </w:pPr>
              <w:r w:rsidRPr="0089214C">
                <w:t>Therapeutic Goods Act 19</w:t>
              </w:r>
              <w:r>
                <w:t>8</w:t>
              </w:r>
              <w:r w:rsidRPr="0089214C">
                <w:t>9</w:t>
              </w:r>
            </w:p>
          </w:sdtContent>
        </w:sdt>
      </w:sdtContent>
    </w:sdt>
    <w:bookmarkEnd w:id="3"/>
    <w:p w14:paraId="5B9A198D" w14:textId="64D22F65" w:rsidR="00B400E0" w:rsidRPr="00BC6C16" w:rsidRDefault="00191FB4"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t>If your project involves the manufacture or supply of therapeutic goods in Australia,</w:t>
      </w:r>
      <w:r w:rsidR="00AC78AB">
        <w:t xml:space="preserve"> or export of therapeutic goods from Australia</w:t>
      </w:r>
      <w:r>
        <w:t xml:space="preserve"> </w:t>
      </w:r>
      <w:r w:rsidR="001E499A">
        <w:t xml:space="preserve">such as medicines, </w:t>
      </w:r>
      <w:r w:rsidR="006A1FCD">
        <w:t>biologicals, vaccines</w:t>
      </w:r>
      <w:r w:rsidR="001E499A">
        <w:t xml:space="preserve"> or medical devices, </w:t>
      </w:r>
      <w:r>
        <w:t>you must obtain approval</w:t>
      </w:r>
      <w:r w:rsidR="00503E4D">
        <w:t>s</w:t>
      </w:r>
      <w:r>
        <w:t xml:space="preserve"> in accordance with this Act.</w:t>
      </w:r>
      <w:r w:rsidR="007F5051" w:rsidRPr="00BC6C16">
        <w:t xml:space="preserve"> </w:t>
      </w:r>
    </w:p>
    <w:p w14:paraId="1E1085AC" w14:textId="0B407E83" w:rsidR="007F5051" w:rsidRPr="00BC6C16" w:rsidRDefault="007F5051" w:rsidP="00BC6C16">
      <w:pPr>
        <w:pStyle w:val="Heading2"/>
      </w:pPr>
      <w:r w:rsidRPr="00BC6C16">
        <w:t>1. What approvals do I need?</w:t>
      </w:r>
    </w:p>
    <w:p w14:paraId="5CF31B41" w14:textId="6AD7FEC6" w:rsidR="00B400E0" w:rsidRDefault="00195F77" w:rsidP="007F5051">
      <w:pPr>
        <w:rPr>
          <w:rFonts w:ascii="Aptos" w:hAnsi="Aptos"/>
          <w:szCs w:val="20"/>
        </w:rPr>
      </w:pPr>
      <w:r>
        <w:rPr>
          <w:rFonts w:ascii="Aptos" w:hAnsi="Aptos"/>
          <w:szCs w:val="20"/>
        </w:rPr>
        <w:t xml:space="preserve">Approval is required </w:t>
      </w:r>
      <w:r w:rsidR="00191FB4">
        <w:rPr>
          <w:rFonts w:ascii="Aptos" w:hAnsi="Aptos"/>
          <w:szCs w:val="20"/>
        </w:rPr>
        <w:t xml:space="preserve">to </w:t>
      </w:r>
      <w:r w:rsidR="00AA1377">
        <w:rPr>
          <w:rFonts w:ascii="Aptos" w:hAnsi="Aptos"/>
          <w:szCs w:val="20"/>
        </w:rPr>
        <w:t>import into, export from or</w:t>
      </w:r>
      <w:r w:rsidR="00191FB4">
        <w:rPr>
          <w:rFonts w:ascii="Aptos" w:hAnsi="Aptos"/>
          <w:szCs w:val="20"/>
        </w:rPr>
        <w:t xml:space="preserve"> supply</w:t>
      </w:r>
      <w:r w:rsidR="000A1511">
        <w:rPr>
          <w:rFonts w:ascii="Aptos" w:hAnsi="Aptos"/>
          <w:szCs w:val="20"/>
        </w:rPr>
        <w:t xml:space="preserve"> or manufacture</w:t>
      </w:r>
      <w:r w:rsidR="00191FB4">
        <w:rPr>
          <w:rFonts w:ascii="Aptos" w:hAnsi="Aptos"/>
          <w:szCs w:val="20"/>
        </w:rPr>
        <w:t xml:space="preserve"> therapeutic goods in</w:t>
      </w:r>
      <w:r w:rsidR="00AC78AB">
        <w:rPr>
          <w:rFonts w:ascii="Aptos" w:hAnsi="Aptos"/>
          <w:szCs w:val="20"/>
        </w:rPr>
        <w:t xml:space="preserve"> Australia</w:t>
      </w:r>
      <w:r w:rsidR="00191FB4">
        <w:rPr>
          <w:rFonts w:ascii="Aptos" w:hAnsi="Aptos"/>
          <w:szCs w:val="20"/>
        </w:rPr>
        <w:t xml:space="preserve"> </w:t>
      </w:r>
      <w:r>
        <w:rPr>
          <w:rFonts w:ascii="Aptos" w:hAnsi="Aptos"/>
          <w:szCs w:val="20"/>
        </w:rPr>
        <w:t xml:space="preserve">under the </w:t>
      </w:r>
      <w:hyperlink r:id="rId16" w:history="1">
        <w:r w:rsidRPr="00195F77">
          <w:rPr>
            <w:rStyle w:val="Hyperlink"/>
            <w:rFonts w:ascii="Aptos" w:hAnsi="Aptos"/>
            <w:i/>
            <w:iCs/>
            <w:szCs w:val="20"/>
          </w:rPr>
          <w:t>Therapeutic Goods Act 1989</w:t>
        </w:r>
      </w:hyperlink>
      <w:r w:rsidR="00191FB4">
        <w:rPr>
          <w:rFonts w:ascii="Aptos" w:hAnsi="Aptos"/>
          <w:szCs w:val="20"/>
        </w:rPr>
        <w:t xml:space="preserve"> (the Act).</w:t>
      </w:r>
    </w:p>
    <w:p w14:paraId="7FC086B4" w14:textId="5C4E9503" w:rsidR="005B0FD0" w:rsidRDefault="005B0FD0" w:rsidP="007F5051">
      <w:pPr>
        <w:rPr>
          <w:rFonts w:ascii="Aptos" w:hAnsi="Aptos"/>
          <w:szCs w:val="20"/>
        </w:rPr>
      </w:pPr>
      <w:r>
        <w:rPr>
          <w:rFonts w:ascii="Aptos" w:hAnsi="Aptos"/>
          <w:szCs w:val="20"/>
        </w:rPr>
        <w:t>Therapeutic goods are broadly defined as products for use in humans in connection with:</w:t>
      </w:r>
    </w:p>
    <w:p w14:paraId="1C384A4F" w14:textId="316058C8" w:rsidR="0090454C" w:rsidRPr="0090454C" w:rsidRDefault="0090454C" w:rsidP="0090454C">
      <w:pPr>
        <w:pStyle w:val="ListParagraph"/>
      </w:pPr>
      <w:r w:rsidRPr="0090454C">
        <w:t>preventing, diagnosing, curing or alleviating a disease, ailment, defect or injury</w:t>
      </w:r>
    </w:p>
    <w:p w14:paraId="05F45903" w14:textId="21CEA92E" w:rsidR="0090454C" w:rsidRPr="0090454C" w:rsidRDefault="0090454C" w:rsidP="0090454C">
      <w:pPr>
        <w:pStyle w:val="ListParagraph"/>
      </w:pPr>
      <w:r w:rsidRPr="0090454C">
        <w:t>influencing, inhibiting or modifying a physiological process</w:t>
      </w:r>
    </w:p>
    <w:p w14:paraId="5D3E8E49" w14:textId="63C5125A" w:rsidR="0090454C" w:rsidRPr="0090454C" w:rsidRDefault="0090454C" w:rsidP="0090454C">
      <w:pPr>
        <w:pStyle w:val="ListParagraph"/>
      </w:pPr>
      <w:r w:rsidRPr="0090454C">
        <w:t>testing susceptibility to a disease or ailment</w:t>
      </w:r>
    </w:p>
    <w:p w14:paraId="527A91E9" w14:textId="5CF0F5C1" w:rsidR="0090454C" w:rsidRPr="0090454C" w:rsidRDefault="0090454C" w:rsidP="0090454C">
      <w:pPr>
        <w:pStyle w:val="ListParagraph"/>
      </w:pPr>
      <w:r w:rsidRPr="0090454C">
        <w:t>influencing, controlling or preventing conception</w:t>
      </w:r>
    </w:p>
    <w:p w14:paraId="12A4F2B1" w14:textId="5F2B8BD4" w:rsidR="005B0FD0" w:rsidRDefault="0090454C" w:rsidP="005B0FD0">
      <w:pPr>
        <w:pStyle w:val="ListParagraph"/>
      </w:pPr>
      <w:r w:rsidRPr="0090454C">
        <w:t>testing for pregnancy</w:t>
      </w:r>
      <w:r w:rsidR="005B0FD0">
        <w:t>.</w:t>
      </w:r>
    </w:p>
    <w:p w14:paraId="504982C0" w14:textId="570C4D06" w:rsidR="005B0FD0" w:rsidRPr="00E35B2F" w:rsidRDefault="005B0FD0" w:rsidP="005B0FD0">
      <w:r w:rsidRPr="00ED498D">
        <w:rPr>
          <w:rFonts w:ascii="Aptos" w:hAnsi="Aptos"/>
          <w:szCs w:val="20"/>
        </w:rPr>
        <w:t>Therap</w:t>
      </w:r>
      <w:r>
        <w:rPr>
          <w:rFonts w:ascii="Aptos" w:hAnsi="Aptos"/>
          <w:szCs w:val="20"/>
        </w:rPr>
        <w:t xml:space="preserve">eutic goods </w:t>
      </w:r>
      <w:r w:rsidRPr="00E35B2F">
        <w:t>include things that are:</w:t>
      </w:r>
    </w:p>
    <w:p w14:paraId="2F29D5C5" w14:textId="77777777" w:rsidR="005B0FD0" w:rsidRPr="00E35B2F" w:rsidRDefault="005B0FD0" w:rsidP="005B0FD0">
      <w:pPr>
        <w:pStyle w:val="ListParagraph"/>
      </w:pPr>
      <w:r w:rsidRPr="00E35B2F">
        <w:t>used as an ingredient or component in the manufacture of therapeutic goods</w:t>
      </w:r>
    </w:p>
    <w:p w14:paraId="72FAAE1F" w14:textId="0DF3D160" w:rsidR="005B0FD0" w:rsidRPr="00E35B2F" w:rsidRDefault="005B0FD0" w:rsidP="005B0FD0">
      <w:pPr>
        <w:pStyle w:val="ListParagraph"/>
      </w:pPr>
      <w:r w:rsidRPr="00E35B2F">
        <w:t>used to replace or modify parts of the anatomy</w:t>
      </w:r>
      <w:r>
        <w:t>.</w:t>
      </w:r>
    </w:p>
    <w:p w14:paraId="48286222" w14:textId="3F2D91A7" w:rsidR="005B0FD0" w:rsidRDefault="005B0FD0" w:rsidP="005B0FD0">
      <w:r w:rsidRPr="00E631E0">
        <w:t xml:space="preserve">The </w:t>
      </w:r>
      <w:r w:rsidR="00B57233" w:rsidRPr="00026849">
        <w:rPr>
          <w:rFonts w:ascii="Aptos" w:hAnsi="Aptos"/>
          <w:szCs w:val="20"/>
        </w:rPr>
        <w:t>Therapeutic Goods Administration (TGA</w:t>
      </w:r>
      <w:r w:rsidR="00B57233">
        <w:t xml:space="preserve">) </w:t>
      </w:r>
      <w:r w:rsidRPr="00E631E0">
        <w:t xml:space="preserve">website hosts online tools to help determine if your product is a therapeutic good. Tools are available for </w:t>
      </w:r>
      <w:hyperlink r:id="rId17" w:history="1">
        <w:r w:rsidRPr="00C542E1">
          <w:rPr>
            <w:rStyle w:val="Hyperlink"/>
          </w:rPr>
          <w:t>medical devices</w:t>
        </w:r>
      </w:hyperlink>
      <w:r w:rsidRPr="00E631E0">
        <w:t xml:space="preserve">, and </w:t>
      </w:r>
      <w:hyperlink r:id="rId18" w:history="1">
        <w:r w:rsidRPr="00C542E1">
          <w:rPr>
            <w:rStyle w:val="Hyperlink"/>
          </w:rPr>
          <w:t>other therapeutic goods</w:t>
        </w:r>
      </w:hyperlink>
      <w:r>
        <w:t>.</w:t>
      </w:r>
    </w:p>
    <w:p w14:paraId="06B7349D" w14:textId="2E068C5A" w:rsidR="00026849" w:rsidRDefault="00026849" w:rsidP="002F4710">
      <w:r w:rsidRPr="00B446AE">
        <w:t xml:space="preserve">Generally, before </w:t>
      </w:r>
      <w:r>
        <w:t>a sponsor (‘product owner’) can supply a therapeutic good</w:t>
      </w:r>
      <w:r w:rsidRPr="00B446AE">
        <w:t xml:space="preserve"> in Australia</w:t>
      </w:r>
      <w:r>
        <w:t>, the product</w:t>
      </w:r>
      <w:r w:rsidRPr="00B446AE">
        <w:t xml:space="preserve"> must be authorised for that purpose by being listed, registered or included in the </w:t>
      </w:r>
      <w:hyperlink r:id="rId19" w:history="1">
        <w:r w:rsidRPr="00A66746">
          <w:rPr>
            <w:rStyle w:val="Hyperlink"/>
            <w:b/>
            <w:bCs/>
          </w:rPr>
          <w:t>Australian Register of Therapeutic Goods</w:t>
        </w:r>
      </w:hyperlink>
      <w:r>
        <w:t xml:space="preserve"> </w:t>
      </w:r>
      <w:r w:rsidRPr="00E54A59">
        <w:t>(ARTG</w:t>
      </w:r>
      <w:r>
        <w:t xml:space="preserve">). Requirements for entry </w:t>
      </w:r>
      <w:r w:rsidR="0071362D">
        <w:t>on</w:t>
      </w:r>
      <w:r>
        <w:t xml:space="preserve"> the ARTG </w:t>
      </w:r>
      <w:r>
        <w:t xml:space="preserve">depend on the type of therapeutic good and its risk level. Within the following categories, there are different classifications of therapeutic goods regulated according to their </w:t>
      </w:r>
      <w:hyperlink r:id="rId20" w:history="1">
        <w:r w:rsidRPr="001A7459">
          <w:rPr>
            <w:rStyle w:val="Hyperlink"/>
          </w:rPr>
          <w:t>level of risk</w:t>
        </w:r>
      </w:hyperlink>
      <w:r>
        <w:t>:</w:t>
      </w:r>
    </w:p>
    <w:p w14:paraId="0ED2277F" w14:textId="78F002CD" w:rsidR="00135CCE" w:rsidRDefault="00135CCE" w:rsidP="003E2F60">
      <w:pPr>
        <w:pStyle w:val="ListParagraph"/>
        <w:spacing w:after="0"/>
      </w:pPr>
      <w:r>
        <w:t>medicines</w:t>
      </w:r>
    </w:p>
    <w:p w14:paraId="6667EFB0" w14:textId="3A5FD14C" w:rsidR="00026849" w:rsidRDefault="00026849" w:rsidP="00026849">
      <w:pPr>
        <w:pStyle w:val="ListParagraph"/>
        <w:spacing w:after="0"/>
      </w:pPr>
      <w:r>
        <w:t xml:space="preserve">medical devices (including </w:t>
      </w:r>
      <w:r w:rsidR="00426033">
        <w:t>i</w:t>
      </w:r>
      <w:r>
        <w:t>n-vitro diagnostic medical devices)</w:t>
      </w:r>
    </w:p>
    <w:p w14:paraId="2786532F" w14:textId="0C15B0A7" w:rsidR="00135CCE" w:rsidRDefault="001A7459" w:rsidP="003E2F60">
      <w:pPr>
        <w:pStyle w:val="ListParagraph"/>
        <w:spacing w:after="0"/>
      </w:pPr>
      <w:r>
        <w:t>biologicals</w:t>
      </w:r>
    </w:p>
    <w:p w14:paraId="767B4F48" w14:textId="2F6A0661" w:rsidR="001A7459" w:rsidRDefault="001A7459" w:rsidP="003E2F60">
      <w:pPr>
        <w:pStyle w:val="ListParagraph"/>
        <w:spacing w:after="0"/>
      </w:pPr>
      <w:r>
        <w:t>other therapeutic goods.</w:t>
      </w:r>
    </w:p>
    <w:p w14:paraId="536B9520" w14:textId="45532D58" w:rsidR="00026849" w:rsidRDefault="00026849" w:rsidP="00026849">
      <w:r>
        <w:t xml:space="preserve">The </w:t>
      </w:r>
      <w:hyperlink r:id="rId21" w:history="1">
        <w:r w:rsidRPr="00026849">
          <w:rPr>
            <w:rStyle w:val="Hyperlink"/>
            <w:b/>
            <w:bCs/>
          </w:rPr>
          <w:t>sponsor</w:t>
        </w:r>
      </w:hyperlink>
      <w:r>
        <w:t xml:space="preserve"> of a product is responsible for applying to have their therapeutic good included in the ARTG. The sponsor is the person or organisation who exports, imports or manufactures, or arranges the exportation, importation or manufacture of </w:t>
      </w:r>
      <w:r w:rsidRPr="00C42AE4">
        <w:t xml:space="preserve">therapeutic </w:t>
      </w:r>
      <w:r>
        <w:t>goods from or in Australia.</w:t>
      </w:r>
    </w:p>
    <w:p w14:paraId="6144C710" w14:textId="4C6BA288" w:rsidR="00026849" w:rsidRDefault="00026849" w:rsidP="00026849">
      <w:r>
        <w:t xml:space="preserve">If the product you wish to supply is already entered on the ARTG under another </w:t>
      </w:r>
      <w:proofErr w:type="gramStart"/>
      <w:r>
        <w:t>sponsor</w:t>
      </w:r>
      <w:proofErr w:type="gramEnd"/>
      <w:r>
        <w:t xml:space="preserve"> but you wish to import the product directly from the overseas manufacturer yourself, you will need to apply to the</w:t>
      </w:r>
      <w:r w:rsidR="00B57233">
        <w:t xml:space="preserve"> </w:t>
      </w:r>
      <w:r w:rsidR="00B57233" w:rsidRPr="00026849">
        <w:rPr>
          <w:rFonts w:ascii="Aptos" w:hAnsi="Aptos"/>
          <w:szCs w:val="20"/>
        </w:rPr>
        <w:t>TGA</w:t>
      </w:r>
      <w:r w:rsidR="00B57233">
        <w:t xml:space="preserve"> </w:t>
      </w:r>
      <w:r>
        <w:t>to have your</w:t>
      </w:r>
      <w:r w:rsidR="000B45EF">
        <w:t xml:space="preserve"> </w:t>
      </w:r>
      <w:r>
        <w:t>therapeutic good included separately in the ARTG. Otherwise, you will need to contact the existing sponsor to make a retail arrangement to sell the product.</w:t>
      </w:r>
    </w:p>
    <w:p w14:paraId="02D69E8F" w14:textId="6226FEF1" w:rsidR="00340083" w:rsidRDefault="00340083" w:rsidP="00026849">
      <w:r>
        <w:t>O</w:t>
      </w:r>
      <w:r w:rsidRPr="000B45EF">
        <w:t>nce a product is entered in the ARTG, sponsors also have a range of post</w:t>
      </w:r>
      <w:r>
        <w:t>-</w:t>
      </w:r>
      <w:r w:rsidRPr="000B45EF">
        <w:t>market obligations including post</w:t>
      </w:r>
      <w:r w:rsidR="00B57233">
        <w:t>-</w:t>
      </w:r>
      <w:r w:rsidRPr="000B45EF">
        <w:t>market monitoring and surveillance activities, mandatory adverse event reporting and undertaking product recalls when required.</w:t>
      </w:r>
      <w:r>
        <w:t xml:space="preserve"> </w:t>
      </w:r>
      <w:r w:rsidR="008F3E7C">
        <w:t>Guidance on</w:t>
      </w:r>
      <w:r>
        <w:t xml:space="preserve"> these </w:t>
      </w:r>
      <w:r w:rsidR="008F3E7C">
        <w:t>obligations</w:t>
      </w:r>
      <w:r>
        <w:t xml:space="preserve"> </w:t>
      </w:r>
      <w:r w:rsidR="00B57233">
        <w:t xml:space="preserve">in relation to </w:t>
      </w:r>
      <w:hyperlink r:id="rId22" w:history="1">
        <w:r w:rsidR="00B57233" w:rsidRPr="00340083">
          <w:rPr>
            <w:rStyle w:val="Hyperlink"/>
          </w:rPr>
          <w:t>medical devices</w:t>
        </w:r>
      </w:hyperlink>
      <w:r w:rsidR="00B57233">
        <w:t xml:space="preserve"> and </w:t>
      </w:r>
      <w:hyperlink r:id="rId23" w:history="1">
        <w:r w:rsidR="00B57233" w:rsidRPr="00340083">
          <w:rPr>
            <w:rStyle w:val="Hyperlink"/>
          </w:rPr>
          <w:t>biologicals</w:t>
        </w:r>
      </w:hyperlink>
      <w:r w:rsidR="00B57233">
        <w:t xml:space="preserve"> </w:t>
      </w:r>
      <w:r w:rsidR="008F3E7C">
        <w:t>is available on the</w:t>
      </w:r>
      <w:r w:rsidR="00B57233">
        <w:t xml:space="preserve"> </w:t>
      </w:r>
      <w:r w:rsidR="008F3E7C" w:rsidRPr="00026849">
        <w:rPr>
          <w:rFonts w:ascii="Aptos" w:hAnsi="Aptos"/>
          <w:szCs w:val="20"/>
        </w:rPr>
        <w:t xml:space="preserve">TGA </w:t>
      </w:r>
      <w:r w:rsidR="008F3E7C">
        <w:t>website</w:t>
      </w:r>
      <w:r>
        <w:t>.</w:t>
      </w:r>
    </w:p>
    <w:p w14:paraId="01FE11E2" w14:textId="4814572B" w:rsidR="00026849" w:rsidRDefault="00026849" w:rsidP="00026849">
      <w:r w:rsidRPr="0004035F">
        <w:lastRenderedPageBreak/>
        <w:t xml:space="preserve">Exempt </w:t>
      </w:r>
      <w:r>
        <w:t xml:space="preserve">and excluded </w:t>
      </w:r>
      <w:r w:rsidRPr="0004035F">
        <w:t>therapeutic goods</w:t>
      </w:r>
      <w:r>
        <w:t xml:space="preserve"> </w:t>
      </w:r>
      <w:r w:rsidRPr="0004035F">
        <w:t>do not need to be included in the ARTG</w:t>
      </w:r>
      <w:r>
        <w:t xml:space="preserve">. Exempt goods are listed within the </w:t>
      </w:r>
      <w:hyperlink r:id="rId24" w:history="1">
        <w:r w:rsidRPr="00BA5F77">
          <w:rPr>
            <w:rStyle w:val="Hyperlink"/>
          </w:rPr>
          <w:t>Therapeutic Goods Regulations 1990</w:t>
        </w:r>
      </w:hyperlink>
      <w:r w:rsidRPr="00026849">
        <w:rPr>
          <w:rStyle w:val="Hyperlink"/>
          <w:u w:val="none"/>
        </w:rPr>
        <w:t xml:space="preserve"> </w:t>
      </w:r>
      <w:r>
        <w:t>and information on excluded goods is available on the</w:t>
      </w:r>
      <w:r w:rsidR="00426033">
        <w:t xml:space="preserve"> </w:t>
      </w:r>
      <w:r w:rsidRPr="00026849">
        <w:rPr>
          <w:rFonts w:ascii="Aptos" w:hAnsi="Aptos"/>
          <w:szCs w:val="20"/>
        </w:rPr>
        <w:t xml:space="preserve">TGA </w:t>
      </w:r>
      <w:hyperlink r:id="rId25" w:anchor="excluded-vs-exempt" w:history="1">
        <w:r w:rsidRPr="00694FE0">
          <w:rPr>
            <w:rStyle w:val="Hyperlink"/>
          </w:rPr>
          <w:t>website</w:t>
        </w:r>
      </w:hyperlink>
      <w:r>
        <w:t>.</w:t>
      </w:r>
    </w:p>
    <w:p w14:paraId="2F208C33" w14:textId="36E4C8F4" w:rsidR="00026849" w:rsidRDefault="00026849" w:rsidP="00026849">
      <w:r>
        <w:t>Under the Act, a</w:t>
      </w:r>
      <w:r w:rsidRPr="00E631E0">
        <w:t xml:space="preserve"> </w:t>
      </w:r>
      <w:hyperlink r:id="rId26" w:history="1">
        <w:r w:rsidRPr="00026849">
          <w:rPr>
            <w:rStyle w:val="Hyperlink"/>
            <w:b/>
            <w:bCs/>
          </w:rPr>
          <w:t>manufacturing licence</w:t>
        </w:r>
      </w:hyperlink>
      <w:r w:rsidRPr="00E631E0">
        <w:t xml:space="preserve"> </w:t>
      </w:r>
      <w:r>
        <w:t xml:space="preserve">is needed </w:t>
      </w:r>
      <w:r w:rsidRPr="00E631E0">
        <w:t>to manufacture</w:t>
      </w:r>
      <w:r>
        <w:t xml:space="preserve"> medicines and biologicals i</w:t>
      </w:r>
      <w:r w:rsidRPr="00E631E0">
        <w:t>n Australia for supply in or export from Australia unless otherwise exemp</w:t>
      </w:r>
      <w:r>
        <w:t xml:space="preserve">t. To obtain a licence, a manufacturer must demonstrate compliance with the applicable code of </w:t>
      </w:r>
      <w:hyperlink r:id="rId27" w:history="1">
        <w:r w:rsidRPr="00FF3FD4">
          <w:rPr>
            <w:rStyle w:val="Hyperlink"/>
          </w:rPr>
          <w:t>good manufacturing practice</w:t>
        </w:r>
      </w:hyperlink>
      <w:r>
        <w:t xml:space="preserve"> (GMP).</w:t>
      </w:r>
    </w:p>
    <w:p w14:paraId="0EAF5AD2" w14:textId="77777777" w:rsidR="00026849" w:rsidRDefault="00C81DF2" w:rsidP="00026849">
      <w:hyperlink r:id="rId28" w:history="1">
        <w:r w:rsidR="00026849" w:rsidRPr="00A66746">
          <w:rPr>
            <w:rStyle w:val="Hyperlink"/>
            <w:b/>
            <w:bCs/>
          </w:rPr>
          <w:t>GMP certification</w:t>
        </w:r>
      </w:hyperlink>
      <w:r w:rsidR="00026849" w:rsidRPr="002C177E">
        <w:t xml:space="preserve"> or </w:t>
      </w:r>
      <w:hyperlink r:id="rId29" w:history="1">
        <w:r w:rsidR="00026849" w:rsidRPr="00A66746">
          <w:rPr>
            <w:rStyle w:val="Hyperlink"/>
            <w:b/>
            <w:bCs/>
          </w:rPr>
          <w:t>GMP clearance</w:t>
        </w:r>
      </w:hyperlink>
      <w:r w:rsidR="00026849">
        <w:t xml:space="preserve"> is required to manufacture therapeutic goods other than class 1 biologicals and medical devices at an overseas manufacturing site for supply to Australia.</w:t>
      </w:r>
    </w:p>
    <w:p w14:paraId="0B0BA63B" w14:textId="60EBB4D6" w:rsidR="0071362D" w:rsidRPr="00A03A63" w:rsidRDefault="0071362D" w:rsidP="0071362D">
      <w:r w:rsidRPr="0071362D">
        <w:t xml:space="preserve">A </w:t>
      </w:r>
      <w:r w:rsidRPr="00E07C50">
        <w:rPr>
          <w:b/>
          <w:bCs/>
        </w:rPr>
        <w:t>conformity assessment certificate</w:t>
      </w:r>
      <w:r w:rsidRPr="0071362D">
        <w:t xml:space="preserve">, issued by the </w:t>
      </w:r>
      <w:hyperlink r:id="rId30" w:history="1">
        <w:r w:rsidRPr="0071362D">
          <w:rPr>
            <w:rStyle w:val="Hyperlink"/>
            <w:color w:val="auto"/>
          </w:rPr>
          <w:t>TGA</w:t>
        </w:r>
      </w:hyperlink>
      <w:r w:rsidRPr="0071362D">
        <w:t xml:space="preserve"> or</w:t>
      </w:r>
      <w:r w:rsidR="00B57233">
        <w:t xml:space="preserve"> a</w:t>
      </w:r>
      <w:r w:rsidRPr="0071362D">
        <w:t xml:space="preserve"> </w:t>
      </w:r>
      <w:hyperlink r:id="rId31" w:history="1">
        <w:r w:rsidRPr="0071362D">
          <w:rPr>
            <w:rStyle w:val="Hyperlink"/>
            <w:color w:val="auto"/>
          </w:rPr>
          <w:t>comparable overseas regulator</w:t>
        </w:r>
      </w:hyperlink>
      <w:r w:rsidRPr="0071362D">
        <w:t>, is required to manufacture a medical device, including an instrument, apparatus, appliance, software, implant, reagent, material or other article intended for therapeutic use.</w:t>
      </w:r>
    </w:p>
    <w:p w14:paraId="2B026206" w14:textId="77777777" w:rsidR="00026849" w:rsidRDefault="00026849" w:rsidP="00026849">
      <w:r>
        <w:t xml:space="preserve">Manufacturers of therapeutic goods must also meet requirements for </w:t>
      </w:r>
      <w:hyperlink r:id="rId32" w:history="1">
        <w:r w:rsidRPr="00834F81">
          <w:rPr>
            <w:rStyle w:val="Hyperlink"/>
          </w:rPr>
          <w:t>labelling and packaging</w:t>
        </w:r>
      </w:hyperlink>
      <w:r>
        <w:t xml:space="preserve">. </w:t>
      </w:r>
    </w:p>
    <w:p w14:paraId="12AB5F16" w14:textId="26FC2368" w:rsidR="00026849" w:rsidRDefault="00026849" w:rsidP="002F4710">
      <w:r>
        <w:t xml:space="preserve">Advertising of goods, including through product names, must comply with the </w:t>
      </w:r>
      <w:hyperlink r:id="rId33" w:history="1">
        <w:r w:rsidRPr="00A66B84">
          <w:rPr>
            <w:rStyle w:val="Hyperlink"/>
          </w:rPr>
          <w:t>Therapeutic Goods (Therapeutic Goods Advertising Code) Instrument 2021</w:t>
        </w:r>
      </w:hyperlink>
      <w:r>
        <w:t xml:space="preserve"> (Advertising Code). </w:t>
      </w:r>
      <w:hyperlink r:id="rId34" w:history="1">
        <w:r w:rsidRPr="007B1F0D">
          <w:rPr>
            <w:rStyle w:val="Hyperlink"/>
          </w:rPr>
          <w:t>Guidance</w:t>
        </w:r>
      </w:hyperlink>
      <w:r>
        <w:t xml:space="preserve"> on applying the Advertising Code rules is available from the </w:t>
      </w:r>
      <w:r w:rsidRPr="009155CC">
        <w:rPr>
          <w:rFonts w:ascii="Aptos" w:hAnsi="Aptos"/>
          <w:szCs w:val="20"/>
        </w:rPr>
        <w:t>TGA</w:t>
      </w:r>
      <w:r>
        <w:rPr>
          <w:rFonts w:ascii="Aptos" w:hAnsi="Aptos"/>
          <w:szCs w:val="20"/>
        </w:rPr>
        <w:t>.</w:t>
      </w:r>
    </w:p>
    <w:p w14:paraId="65E07AF2" w14:textId="5CD67D61" w:rsidR="007F5051" w:rsidRPr="00B400E0" w:rsidRDefault="007F5051" w:rsidP="00BC6C16">
      <w:pPr>
        <w:pStyle w:val="Heading2"/>
      </w:pPr>
      <w:r w:rsidRPr="00B400E0">
        <w:t>2. Who provides the approvals?</w:t>
      </w:r>
    </w:p>
    <w:p w14:paraId="751BF9DD" w14:textId="72E25A1D" w:rsidR="0071362D" w:rsidRDefault="000B45EF" w:rsidP="0071362D">
      <w:pPr>
        <w:rPr>
          <w:rFonts w:ascii="Aptos" w:hAnsi="Aptos"/>
          <w:szCs w:val="20"/>
        </w:rPr>
      </w:pPr>
      <w:r>
        <w:rPr>
          <w:rFonts w:ascii="Aptos" w:hAnsi="Aptos"/>
          <w:szCs w:val="20"/>
        </w:rPr>
        <w:t>A</w:t>
      </w:r>
      <w:r w:rsidR="0071362D">
        <w:rPr>
          <w:rFonts w:ascii="Aptos" w:hAnsi="Aptos"/>
          <w:szCs w:val="20"/>
        </w:rPr>
        <w:t xml:space="preserve"> delegate of the</w:t>
      </w:r>
      <w:r w:rsidR="0071362D" w:rsidRPr="00B02001">
        <w:rPr>
          <w:rFonts w:ascii="Aptos" w:hAnsi="Aptos"/>
          <w:szCs w:val="20"/>
        </w:rPr>
        <w:t xml:space="preserve"> Secretary of the Department of Health and Aged Care </w:t>
      </w:r>
      <w:r w:rsidR="00E07C50">
        <w:rPr>
          <w:rFonts w:ascii="Aptos" w:hAnsi="Aptos"/>
          <w:szCs w:val="20"/>
        </w:rPr>
        <w:t xml:space="preserve">authorises the inclusion of goods in the ARTG and </w:t>
      </w:r>
      <w:r w:rsidR="0071362D" w:rsidRPr="00B02001">
        <w:rPr>
          <w:rFonts w:ascii="Aptos" w:hAnsi="Aptos"/>
          <w:szCs w:val="20"/>
        </w:rPr>
        <w:t>makes decisions on whether to grant manufacturing licences and conformity assessment certificates.</w:t>
      </w:r>
    </w:p>
    <w:p w14:paraId="265DD00B" w14:textId="77777777" w:rsidR="00E07C50" w:rsidRDefault="0071362D" w:rsidP="00E07C50">
      <w:pPr>
        <w:rPr>
          <w:rFonts w:ascii="Aptos" w:hAnsi="Aptos"/>
          <w:szCs w:val="20"/>
        </w:rPr>
      </w:pPr>
      <w:r>
        <w:rPr>
          <w:rFonts w:ascii="Aptos" w:hAnsi="Aptos"/>
          <w:szCs w:val="20"/>
        </w:rPr>
        <w:t>The TGA, within the Department of Health and Aged Care, is responsible for processing applications for manufacturing licences</w:t>
      </w:r>
      <w:r w:rsidR="00E07C50">
        <w:rPr>
          <w:rFonts w:ascii="Aptos" w:hAnsi="Aptos"/>
          <w:szCs w:val="20"/>
        </w:rPr>
        <w:t xml:space="preserve"> </w:t>
      </w:r>
      <w:r>
        <w:rPr>
          <w:rFonts w:ascii="Aptos" w:hAnsi="Aptos"/>
          <w:szCs w:val="20"/>
        </w:rPr>
        <w:t xml:space="preserve">and entries on the ARTG. </w:t>
      </w:r>
      <w:r w:rsidR="00E07C50">
        <w:rPr>
          <w:rFonts w:ascii="Aptos" w:hAnsi="Aptos"/>
          <w:szCs w:val="20"/>
        </w:rPr>
        <w:t>The TGA undertakes desktop assessments and makes decisions on issuing conformity assessment certificates to medical device manufacturers and including medical devices in the ARTG.</w:t>
      </w:r>
    </w:p>
    <w:p w14:paraId="3BA24CA1" w14:textId="7802FB87" w:rsidR="0071362D" w:rsidRDefault="0071362D" w:rsidP="0071362D">
      <w:pPr>
        <w:rPr>
          <w:rFonts w:ascii="Aptos" w:hAnsi="Aptos"/>
          <w:szCs w:val="20"/>
        </w:rPr>
      </w:pPr>
      <w:r>
        <w:rPr>
          <w:rFonts w:ascii="Aptos" w:hAnsi="Aptos"/>
          <w:szCs w:val="20"/>
        </w:rPr>
        <w:t>The TGA also makes decisions on issuing GMP clearance to sponsors of therapeutic goods manufactured overseas.</w:t>
      </w:r>
    </w:p>
    <w:p w14:paraId="1883C6AF" w14:textId="6CAB8C82" w:rsidR="007F5051" w:rsidRPr="00B400E0" w:rsidRDefault="007F5051" w:rsidP="00BC6C16">
      <w:pPr>
        <w:pStyle w:val="Heading2"/>
      </w:pPr>
      <w:r w:rsidRPr="00B400E0">
        <w:t>3. How do I apply for the approvals?</w:t>
      </w:r>
    </w:p>
    <w:p w14:paraId="037AC2D7" w14:textId="4C431A42" w:rsidR="0071362D" w:rsidRDefault="0071362D" w:rsidP="0071362D">
      <w:pPr>
        <w:rPr>
          <w:rFonts w:ascii="Aptos" w:hAnsi="Aptos"/>
          <w:szCs w:val="20"/>
        </w:rPr>
      </w:pPr>
      <w:r>
        <w:rPr>
          <w:rFonts w:ascii="Aptos" w:hAnsi="Aptos"/>
          <w:szCs w:val="20"/>
        </w:rPr>
        <w:t xml:space="preserve">Applications for manufacturing licences, GMP certification, GMP clearance and conformity assessment certificates are made online in the </w:t>
      </w:r>
      <w:hyperlink r:id="rId35" w:history="1">
        <w:r w:rsidRPr="000C0201">
          <w:rPr>
            <w:rStyle w:val="Hyperlink"/>
            <w:rFonts w:ascii="Aptos" w:hAnsi="Aptos"/>
            <w:szCs w:val="20"/>
          </w:rPr>
          <w:t>TGA Business Services portal</w:t>
        </w:r>
      </w:hyperlink>
      <w:r>
        <w:rPr>
          <w:rFonts w:ascii="Aptos" w:hAnsi="Aptos"/>
          <w:szCs w:val="20"/>
        </w:rPr>
        <w:t>. This portal is also used to apply for product entry on the ARTG.</w:t>
      </w:r>
    </w:p>
    <w:p w14:paraId="3C7C673D" w14:textId="77777777" w:rsidR="00B57233" w:rsidRDefault="00B57233" w:rsidP="0071362D"/>
    <w:p w14:paraId="6C4378D2" w14:textId="584725A7" w:rsidR="0071362D" w:rsidRDefault="0071362D" w:rsidP="0071362D">
      <w:r>
        <w:t xml:space="preserve">Please refer to the TGA website for step-by-step </w:t>
      </w:r>
      <w:r w:rsidRPr="00007047">
        <w:t>instructions</w:t>
      </w:r>
      <w:r>
        <w:t xml:space="preserve"> on the individual application processes for:</w:t>
      </w:r>
    </w:p>
    <w:p w14:paraId="737F0C5E" w14:textId="480BDEC5" w:rsidR="0071362D" w:rsidRDefault="00C81DF2" w:rsidP="0071362D">
      <w:pPr>
        <w:pStyle w:val="ListParagraph"/>
        <w:spacing w:after="0"/>
      </w:pPr>
      <w:hyperlink r:id="rId36" w:history="1">
        <w:r w:rsidR="0071362D" w:rsidRPr="00F40CC7">
          <w:rPr>
            <w:rStyle w:val="Hyperlink"/>
            <w:rFonts w:ascii="Aptos" w:hAnsi="Aptos"/>
            <w:szCs w:val="20"/>
          </w:rPr>
          <w:t>manufacturing licences and overseas GMP certification</w:t>
        </w:r>
      </w:hyperlink>
    </w:p>
    <w:p w14:paraId="6C0A6A8E" w14:textId="77777777" w:rsidR="0071362D" w:rsidRDefault="00C81DF2" w:rsidP="0071362D">
      <w:pPr>
        <w:pStyle w:val="ListParagraph"/>
        <w:spacing w:after="0"/>
      </w:pPr>
      <w:hyperlink r:id="rId37" w:history="1">
        <w:r w:rsidR="0071362D" w:rsidRPr="007F29F2">
          <w:rPr>
            <w:rStyle w:val="Hyperlink"/>
          </w:rPr>
          <w:t>GMP clearance</w:t>
        </w:r>
      </w:hyperlink>
    </w:p>
    <w:p w14:paraId="66A6C5E4" w14:textId="31A1B9A4" w:rsidR="0071362D" w:rsidRDefault="00C81DF2" w:rsidP="0071362D">
      <w:pPr>
        <w:pStyle w:val="ListParagraph"/>
        <w:spacing w:after="0"/>
      </w:pPr>
      <w:hyperlink r:id="rId38" w:history="1">
        <w:r w:rsidR="0071362D" w:rsidRPr="007F29F2">
          <w:rPr>
            <w:rStyle w:val="Hyperlink"/>
          </w:rPr>
          <w:t xml:space="preserve">conformity assessment </w:t>
        </w:r>
        <w:r w:rsidR="0071362D" w:rsidRPr="007F29F2">
          <w:rPr>
            <w:rStyle w:val="Hyperlink"/>
            <w:rFonts w:ascii="Aptos" w:hAnsi="Aptos"/>
            <w:szCs w:val="20"/>
          </w:rPr>
          <w:t>certificates</w:t>
        </w:r>
      </w:hyperlink>
    </w:p>
    <w:p w14:paraId="2C550C33" w14:textId="67666731" w:rsidR="0034725F" w:rsidRDefault="00C81DF2" w:rsidP="0071362D">
      <w:pPr>
        <w:pStyle w:val="ListParagraph"/>
        <w:spacing w:after="0"/>
      </w:pPr>
      <w:hyperlink r:id="rId39" w:history="1">
        <w:r w:rsidR="0034725F" w:rsidRPr="0034725F">
          <w:rPr>
            <w:rStyle w:val="Hyperlink"/>
          </w:rPr>
          <w:t>ARTG inclusion of a prescription medicine</w:t>
        </w:r>
      </w:hyperlink>
    </w:p>
    <w:p w14:paraId="7091C418" w14:textId="6757B39B" w:rsidR="0034725F" w:rsidRDefault="00C81DF2" w:rsidP="0034725F">
      <w:pPr>
        <w:pStyle w:val="ListParagraph"/>
        <w:spacing w:after="0"/>
      </w:pPr>
      <w:hyperlink r:id="rId40" w:history="1">
        <w:r w:rsidR="0034725F" w:rsidRPr="0034725F">
          <w:rPr>
            <w:rStyle w:val="Hyperlink"/>
          </w:rPr>
          <w:t>ARTG inclusion of a non-prescription medicine</w:t>
        </w:r>
      </w:hyperlink>
    </w:p>
    <w:p w14:paraId="40574345" w14:textId="7895F7EC" w:rsidR="00C2423D" w:rsidRDefault="00C81DF2" w:rsidP="0071362D">
      <w:pPr>
        <w:pStyle w:val="ListParagraph"/>
        <w:spacing w:after="0"/>
      </w:pPr>
      <w:hyperlink r:id="rId41" w:history="1">
        <w:r w:rsidR="00C2423D" w:rsidRPr="00C2423D">
          <w:rPr>
            <w:rStyle w:val="Hyperlink"/>
          </w:rPr>
          <w:t>ARTG inclusion of a medical device</w:t>
        </w:r>
      </w:hyperlink>
    </w:p>
    <w:p w14:paraId="11AF63AB" w14:textId="54312CAF" w:rsidR="00C2423D" w:rsidRDefault="00C81DF2" w:rsidP="00C2423D">
      <w:pPr>
        <w:pStyle w:val="ListParagraph"/>
        <w:spacing w:after="0"/>
      </w:pPr>
      <w:hyperlink r:id="rId42" w:history="1">
        <w:r w:rsidR="00C2423D" w:rsidRPr="00C2423D">
          <w:rPr>
            <w:rStyle w:val="Hyperlink"/>
          </w:rPr>
          <w:t xml:space="preserve">ARTG inclusion of a class </w:t>
        </w:r>
        <w:r w:rsidR="00C2423D">
          <w:rPr>
            <w:rStyle w:val="Hyperlink"/>
          </w:rPr>
          <w:t xml:space="preserve">1 </w:t>
        </w:r>
        <w:r w:rsidR="00C2423D" w:rsidRPr="00C2423D">
          <w:rPr>
            <w:rStyle w:val="Hyperlink"/>
          </w:rPr>
          <w:t>biological</w:t>
        </w:r>
      </w:hyperlink>
    </w:p>
    <w:p w14:paraId="0F5E48DB" w14:textId="1DBDDBA3" w:rsidR="00C2423D" w:rsidRDefault="00C81DF2" w:rsidP="00C2423D">
      <w:pPr>
        <w:pStyle w:val="ListParagraph"/>
        <w:spacing w:after="0"/>
      </w:pPr>
      <w:hyperlink r:id="rId43" w:history="1">
        <w:r w:rsidR="00C2423D" w:rsidRPr="00C2423D">
          <w:rPr>
            <w:rStyle w:val="Hyperlink"/>
          </w:rPr>
          <w:t xml:space="preserve">ARTG inclusion of a class 2, 3 or 4 </w:t>
        </w:r>
        <w:proofErr w:type="gramStart"/>
        <w:r w:rsidR="00C2423D" w:rsidRPr="00C2423D">
          <w:rPr>
            <w:rStyle w:val="Hyperlink"/>
          </w:rPr>
          <w:t>biological</w:t>
        </w:r>
        <w:proofErr w:type="gramEnd"/>
      </w:hyperlink>
    </w:p>
    <w:p w14:paraId="1CDA641B" w14:textId="46C16D90" w:rsidR="007F5051" w:rsidRPr="00B400E0" w:rsidRDefault="007F5051" w:rsidP="00BC6C16">
      <w:pPr>
        <w:pStyle w:val="Heading2"/>
      </w:pPr>
      <w:r w:rsidRPr="00B400E0">
        <w:t>4. More information</w:t>
      </w:r>
    </w:p>
    <w:p w14:paraId="48CE903B" w14:textId="3CA77F24" w:rsidR="007F5051" w:rsidRPr="00B400E0" w:rsidRDefault="00191FB4" w:rsidP="00BC6C16">
      <w:pPr>
        <w:pStyle w:val="Heading3"/>
      </w:pPr>
      <w:r w:rsidRPr="00191FB4">
        <w:t>Therapeutic Goods Administration</w:t>
      </w:r>
    </w:p>
    <w:p w14:paraId="6D6900C6" w14:textId="5D6838CF" w:rsidR="009C28F0" w:rsidRDefault="009C28F0" w:rsidP="007F5051">
      <w:pPr>
        <w:rPr>
          <w:rFonts w:ascii="Aptos" w:hAnsi="Aptos"/>
          <w:bCs/>
          <w:szCs w:val="20"/>
        </w:rPr>
      </w:pPr>
      <w:r>
        <w:rPr>
          <w:rFonts w:ascii="Aptos" w:hAnsi="Aptos"/>
          <w:bCs/>
          <w:szCs w:val="20"/>
        </w:rPr>
        <w:t xml:space="preserve">Further information on </w:t>
      </w:r>
      <w:hyperlink r:id="rId44" w:history="1">
        <w:r w:rsidRPr="006A1FCD">
          <w:rPr>
            <w:rStyle w:val="Hyperlink"/>
            <w:rFonts w:ascii="Aptos" w:hAnsi="Aptos"/>
            <w:bCs/>
            <w:szCs w:val="20"/>
          </w:rPr>
          <w:t>manufacturing</w:t>
        </w:r>
      </w:hyperlink>
      <w:r w:rsidR="006C107C">
        <w:rPr>
          <w:rFonts w:ascii="Aptos" w:hAnsi="Aptos"/>
          <w:bCs/>
          <w:szCs w:val="20"/>
        </w:rPr>
        <w:t xml:space="preserve"> and </w:t>
      </w:r>
      <w:hyperlink r:id="rId45" w:history="1">
        <w:r w:rsidR="006C107C" w:rsidRPr="006A1FCD">
          <w:rPr>
            <w:rStyle w:val="Hyperlink"/>
            <w:rFonts w:ascii="Aptos" w:hAnsi="Aptos"/>
            <w:bCs/>
            <w:szCs w:val="20"/>
          </w:rPr>
          <w:t>supplying</w:t>
        </w:r>
      </w:hyperlink>
      <w:r>
        <w:rPr>
          <w:rFonts w:ascii="Aptos" w:hAnsi="Aptos"/>
          <w:bCs/>
          <w:szCs w:val="20"/>
        </w:rPr>
        <w:t xml:space="preserve"> therapeutic goods in Australia is available on the TGA </w:t>
      </w:r>
      <w:r w:rsidRPr="003279BC">
        <w:rPr>
          <w:rFonts w:ascii="Aptos" w:hAnsi="Aptos"/>
          <w:bCs/>
          <w:szCs w:val="20"/>
        </w:rPr>
        <w:t>website</w:t>
      </w:r>
      <w:r>
        <w:rPr>
          <w:rFonts w:ascii="Aptos" w:hAnsi="Aptos"/>
          <w:bCs/>
          <w:szCs w:val="20"/>
        </w:rPr>
        <w:t>.</w:t>
      </w:r>
    </w:p>
    <w:p w14:paraId="24C32037" w14:textId="13F1F9DE" w:rsidR="0071362D" w:rsidRPr="007F5051" w:rsidRDefault="0071362D" w:rsidP="0071362D">
      <w:pPr>
        <w:rPr>
          <w:rFonts w:ascii="Aptos" w:hAnsi="Aptos"/>
          <w:bCs/>
          <w:szCs w:val="20"/>
        </w:rPr>
      </w:pPr>
      <w:r>
        <w:rPr>
          <w:rFonts w:ascii="Aptos" w:hAnsi="Aptos"/>
          <w:bCs/>
          <w:szCs w:val="20"/>
        </w:rPr>
        <w:t>The TGA can be contacted by email at</w:t>
      </w:r>
      <w:r w:rsidRPr="008E3F4A">
        <w:t xml:space="preserve"> </w:t>
      </w:r>
      <w:hyperlink r:id="rId46" w:history="1">
        <w:r w:rsidR="000B45EF" w:rsidRPr="00631297">
          <w:rPr>
            <w:rStyle w:val="Hyperlink"/>
            <w:rFonts w:ascii="Aptos" w:hAnsi="Aptos"/>
            <w:bCs/>
            <w:szCs w:val="20"/>
          </w:rPr>
          <w:t>info@tga.gov.au</w:t>
        </w:r>
      </w:hyperlink>
      <w:r>
        <w:rPr>
          <w:rFonts w:ascii="Aptos" w:hAnsi="Aptos"/>
          <w:bCs/>
          <w:szCs w:val="20"/>
        </w:rPr>
        <w:t>.</w:t>
      </w:r>
    </w:p>
    <w:p w14:paraId="661A6371" w14:textId="77777777" w:rsidR="007F5051" w:rsidRPr="00BC6C16" w:rsidRDefault="007F5051" w:rsidP="00BC6C16">
      <w:pPr>
        <w:pStyle w:val="Heading3"/>
      </w:pPr>
      <w:bookmarkStart w:id="5" w:name="_Hlk152160540"/>
      <w:r w:rsidRPr="00BC6C16">
        <w:t>Major Projects Facilitation Agency</w:t>
      </w:r>
    </w:p>
    <w:bookmarkEnd w:id="5"/>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47"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3111176E" w14:textId="42B25751" w:rsidR="00131B90"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48" w:history="1">
        <w:r w:rsidRPr="00AA2CDA">
          <w:rPr>
            <w:rStyle w:val="Hyperlink"/>
            <w:rFonts w:ascii="Aptos" w:eastAsia="Arial" w:hAnsi="Aptos"/>
            <w:szCs w:val="20"/>
          </w:rPr>
          <w:t>MPFA@industry.gov.au</w:t>
        </w:r>
      </w:hyperlink>
      <w:r w:rsidRPr="00F52791">
        <w:rPr>
          <w:rFonts w:ascii="Aptos" w:eastAsia="Arial" w:hAnsi="Aptos" w:cs="Arial"/>
          <w:szCs w:val="20"/>
        </w:rPr>
        <w:t>.</w:t>
      </w:r>
      <w:bookmarkEnd w:id="4"/>
    </w:p>
    <w:sectPr w:rsidR="00131B90" w:rsidRPr="00BC6C16" w:rsidSect="00B400E0">
      <w:headerReference w:type="default" r:id="rId49"/>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70DF" w14:textId="77777777" w:rsidR="007F5051" w:rsidRDefault="007F5051" w:rsidP="00B251DB">
      <w:pPr>
        <w:spacing w:after="0"/>
      </w:pPr>
      <w:r>
        <w:separator/>
      </w:r>
    </w:p>
  </w:endnote>
  <w:endnote w:type="continuationSeparator" w:id="0">
    <w:p w14:paraId="58A14004" w14:textId="77777777" w:rsidR="007F5051" w:rsidRDefault="007F5051" w:rsidP="00B251DB">
      <w:pPr>
        <w:spacing w:after="0"/>
      </w:pPr>
      <w:r>
        <w:continuationSeparator/>
      </w:r>
    </w:p>
  </w:endnote>
  <w:endnote w:type="continuationNotice" w:id="1">
    <w:p w14:paraId="66D6039D" w14:textId="77777777" w:rsidR="00090109" w:rsidRDefault="000901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1BC97F61" w:rsidR="00B400E0" w:rsidRPr="00B400E0" w:rsidRDefault="00C81DF2"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026849">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C81DF2"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4CE1" w14:textId="77777777" w:rsidR="007F5051" w:rsidRDefault="007F5051" w:rsidP="00B251DB">
      <w:pPr>
        <w:spacing w:after="0"/>
      </w:pPr>
      <w:r>
        <w:separator/>
      </w:r>
    </w:p>
  </w:footnote>
  <w:footnote w:type="continuationSeparator" w:id="0">
    <w:p w14:paraId="29384BF8" w14:textId="77777777" w:rsidR="007F5051" w:rsidRDefault="007F5051" w:rsidP="00B251DB">
      <w:pPr>
        <w:spacing w:after="0"/>
      </w:pPr>
      <w:r>
        <w:continuationSeparator/>
      </w:r>
    </w:p>
  </w:footnote>
  <w:footnote w:type="continuationNotice" w:id="1">
    <w:p w14:paraId="29AD7F00" w14:textId="77777777" w:rsidR="00090109" w:rsidRDefault="000901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71815C8"/>
    <w:multiLevelType w:val="multilevel"/>
    <w:tmpl w:val="AD84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3C1640"/>
    <w:multiLevelType w:val="hybridMultilevel"/>
    <w:tmpl w:val="99F4AB72"/>
    <w:lvl w:ilvl="0" w:tplc="BA2840C4">
      <w:start w:val="1"/>
      <w:numFmt w:val="bullet"/>
      <w:lvlText w:val=""/>
      <w:lvlJc w:val="left"/>
      <w:pPr>
        <w:ind w:left="1080" w:hanging="360"/>
      </w:pPr>
      <w:rPr>
        <w:rFonts w:ascii="Symbol" w:hAnsi="Symbol"/>
      </w:rPr>
    </w:lvl>
    <w:lvl w:ilvl="1" w:tplc="00F874F8">
      <w:start w:val="1"/>
      <w:numFmt w:val="bullet"/>
      <w:lvlText w:val=""/>
      <w:lvlJc w:val="left"/>
      <w:pPr>
        <w:ind w:left="1080" w:hanging="360"/>
      </w:pPr>
      <w:rPr>
        <w:rFonts w:ascii="Symbol" w:hAnsi="Symbol"/>
      </w:rPr>
    </w:lvl>
    <w:lvl w:ilvl="2" w:tplc="C226E236">
      <w:start w:val="1"/>
      <w:numFmt w:val="bullet"/>
      <w:lvlText w:val=""/>
      <w:lvlJc w:val="left"/>
      <w:pPr>
        <w:ind w:left="1080" w:hanging="360"/>
      </w:pPr>
      <w:rPr>
        <w:rFonts w:ascii="Symbol" w:hAnsi="Symbol"/>
      </w:rPr>
    </w:lvl>
    <w:lvl w:ilvl="3" w:tplc="E4A4FFFC">
      <w:start w:val="1"/>
      <w:numFmt w:val="bullet"/>
      <w:lvlText w:val=""/>
      <w:lvlJc w:val="left"/>
      <w:pPr>
        <w:ind w:left="1080" w:hanging="360"/>
      </w:pPr>
      <w:rPr>
        <w:rFonts w:ascii="Symbol" w:hAnsi="Symbol"/>
      </w:rPr>
    </w:lvl>
    <w:lvl w:ilvl="4" w:tplc="2B7C798E">
      <w:start w:val="1"/>
      <w:numFmt w:val="bullet"/>
      <w:lvlText w:val=""/>
      <w:lvlJc w:val="left"/>
      <w:pPr>
        <w:ind w:left="1080" w:hanging="360"/>
      </w:pPr>
      <w:rPr>
        <w:rFonts w:ascii="Symbol" w:hAnsi="Symbol"/>
      </w:rPr>
    </w:lvl>
    <w:lvl w:ilvl="5" w:tplc="DDA23C6C">
      <w:start w:val="1"/>
      <w:numFmt w:val="bullet"/>
      <w:lvlText w:val=""/>
      <w:lvlJc w:val="left"/>
      <w:pPr>
        <w:ind w:left="1080" w:hanging="360"/>
      </w:pPr>
      <w:rPr>
        <w:rFonts w:ascii="Symbol" w:hAnsi="Symbol"/>
      </w:rPr>
    </w:lvl>
    <w:lvl w:ilvl="6" w:tplc="51C8CCDE">
      <w:start w:val="1"/>
      <w:numFmt w:val="bullet"/>
      <w:lvlText w:val=""/>
      <w:lvlJc w:val="left"/>
      <w:pPr>
        <w:ind w:left="1080" w:hanging="360"/>
      </w:pPr>
      <w:rPr>
        <w:rFonts w:ascii="Symbol" w:hAnsi="Symbol"/>
      </w:rPr>
    </w:lvl>
    <w:lvl w:ilvl="7" w:tplc="19205F7C">
      <w:start w:val="1"/>
      <w:numFmt w:val="bullet"/>
      <w:lvlText w:val=""/>
      <w:lvlJc w:val="left"/>
      <w:pPr>
        <w:ind w:left="1080" w:hanging="360"/>
      </w:pPr>
      <w:rPr>
        <w:rFonts w:ascii="Symbol" w:hAnsi="Symbol"/>
      </w:rPr>
    </w:lvl>
    <w:lvl w:ilvl="8" w:tplc="7996F764">
      <w:start w:val="1"/>
      <w:numFmt w:val="bullet"/>
      <w:lvlText w:val=""/>
      <w:lvlJc w:val="left"/>
      <w:pPr>
        <w:ind w:left="1080" w:hanging="360"/>
      </w:pPr>
      <w:rPr>
        <w:rFonts w:ascii="Symbol" w:hAnsi="Symbol"/>
      </w:rPr>
    </w:lvl>
  </w:abstractNum>
  <w:abstractNum w:abstractNumId="11" w15:restartNumberingAfterBreak="0">
    <w:nsid w:val="7BEB2D0C"/>
    <w:multiLevelType w:val="hybridMultilevel"/>
    <w:tmpl w:val="E1C839B8"/>
    <w:lvl w:ilvl="0" w:tplc="A6B05FE6">
      <w:start w:val="1"/>
      <w:numFmt w:val="bullet"/>
      <w:lvlText w:val=""/>
      <w:lvlJc w:val="left"/>
      <w:pPr>
        <w:ind w:left="1080" w:hanging="360"/>
      </w:pPr>
      <w:rPr>
        <w:rFonts w:ascii="Symbol" w:hAnsi="Symbol"/>
      </w:rPr>
    </w:lvl>
    <w:lvl w:ilvl="1" w:tplc="91640FEA">
      <w:start w:val="1"/>
      <w:numFmt w:val="bullet"/>
      <w:lvlText w:val=""/>
      <w:lvlJc w:val="left"/>
      <w:pPr>
        <w:ind w:left="1080" w:hanging="360"/>
      </w:pPr>
      <w:rPr>
        <w:rFonts w:ascii="Symbol" w:hAnsi="Symbol"/>
      </w:rPr>
    </w:lvl>
    <w:lvl w:ilvl="2" w:tplc="E0523460">
      <w:start w:val="1"/>
      <w:numFmt w:val="bullet"/>
      <w:lvlText w:val=""/>
      <w:lvlJc w:val="left"/>
      <w:pPr>
        <w:ind w:left="1080" w:hanging="360"/>
      </w:pPr>
      <w:rPr>
        <w:rFonts w:ascii="Symbol" w:hAnsi="Symbol"/>
      </w:rPr>
    </w:lvl>
    <w:lvl w:ilvl="3" w:tplc="BFA8056E">
      <w:start w:val="1"/>
      <w:numFmt w:val="bullet"/>
      <w:lvlText w:val=""/>
      <w:lvlJc w:val="left"/>
      <w:pPr>
        <w:ind w:left="1080" w:hanging="360"/>
      </w:pPr>
      <w:rPr>
        <w:rFonts w:ascii="Symbol" w:hAnsi="Symbol"/>
      </w:rPr>
    </w:lvl>
    <w:lvl w:ilvl="4" w:tplc="9B86F3CC">
      <w:start w:val="1"/>
      <w:numFmt w:val="bullet"/>
      <w:lvlText w:val=""/>
      <w:lvlJc w:val="left"/>
      <w:pPr>
        <w:ind w:left="1080" w:hanging="360"/>
      </w:pPr>
      <w:rPr>
        <w:rFonts w:ascii="Symbol" w:hAnsi="Symbol"/>
      </w:rPr>
    </w:lvl>
    <w:lvl w:ilvl="5" w:tplc="953206CC">
      <w:start w:val="1"/>
      <w:numFmt w:val="bullet"/>
      <w:lvlText w:val=""/>
      <w:lvlJc w:val="left"/>
      <w:pPr>
        <w:ind w:left="1080" w:hanging="360"/>
      </w:pPr>
      <w:rPr>
        <w:rFonts w:ascii="Symbol" w:hAnsi="Symbol"/>
      </w:rPr>
    </w:lvl>
    <w:lvl w:ilvl="6" w:tplc="0D920BC0">
      <w:start w:val="1"/>
      <w:numFmt w:val="bullet"/>
      <w:lvlText w:val=""/>
      <w:lvlJc w:val="left"/>
      <w:pPr>
        <w:ind w:left="1080" w:hanging="360"/>
      </w:pPr>
      <w:rPr>
        <w:rFonts w:ascii="Symbol" w:hAnsi="Symbol"/>
      </w:rPr>
    </w:lvl>
    <w:lvl w:ilvl="7" w:tplc="2E525190">
      <w:start w:val="1"/>
      <w:numFmt w:val="bullet"/>
      <w:lvlText w:val=""/>
      <w:lvlJc w:val="left"/>
      <w:pPr>
        <w:ind w:left="1080" w:hanging="360"/>
      </w:pPr>
      <w:rPr>
        <w:rFonts w:ascii="Symbol" w:hAnsi="Symbol"/>
      </w:rPr>
    </w:lvl>
    <w:lvl w:ilvl="8" w:tplc="84C05B12">
      <w:start w:val="1"/>
      <w:numFmt w:val="bullet"/>
      <w:lvlText w:val=""/>
      <w:lvlJc w:val="left"/>
      <w:pPr>
        <w:ind w:left="1080" w:hanging="360"/>
      </w:pPr>
      <w:rPr>
        <w:rFonts w:ascii="Symbol" w:hAnsi="Symbol"/>
      </w:rPr>
    </w:lvl>
  </w:abstractNum>
  <w:num w:numId="1" w16cid:durableId="1422605387">
    <w:abstractNumId w:val="7"/>
  </w:num>
  <w:num w:numId="2" w16cid:durableId="648444589">
    <w:abstractNumId w:val="9"/>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8"/>
  </w:num>
  <w:num w:numId="9" w16cid:durableId="1919442051">
    <w:abstractNumId w:val="5"/>
  </w:num>
  <w:num w:numId="10" w16cid:durableId="480511290">
    <w:abstractNumId w:val="10"/>
  </w:num>
  <w:num w:numId="11" w16cid:durableId="700978409">
    <w:abstractNumId w:val="11"/>
  </w:num>
  <w:num w:numId="12" w16cid:durableId="206860786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07047"/>
    <w:rsid w:val="0001334A"/>
    <w:rsid w:val="00026849"/>
    <w:rsid w:val="00032995"/>
    <w:rsid w:val="00034867"/>
    <w:rsid w:val="0004035F"/>
    <w:rsid w:val="00043F36"/>
    <w:rsid w:val="000552B3"/>
    <w:rsid w:val="0007067B"/>
    <w:rsid w:val="0008167B"/>
    <w:rsid w:val="00081D07"/>
    <w:rsid w:val="0008677E"/>
    <w:rsid w:val="00090109"/>
    <w:rsid w:val="00090DDB"/>
    <w:rsid w:val="000A1511"/>
    <w:rsid w:val="000A75CB"/>
    <w:rsid w:val="000B45EF"/>
    <w:rsid w:val="000B6C60"/>
    <w:rsid w:val="000C0201"/>
    <w:rsid w:val="000C3494"/>
    <w:rsid w:val="000D561A"/>
    <w:rsid w:val="000E0F53"/>
    <w:rsid w:val="000E599A"/>
    <w:rsid w:val="000E5C60"/>
    <w:rsid w:val="000F2564"/>
    <w:rsid w:val="00131B90"/>
    <w:rsid w:val="00135CCE"/>
    <w:rsid w:val="00143323"/>
    <w:rsid w:val="00153C15"/>
    <w:rsid w:val="00155C4B"/>
    <w:rsid w:val="00171757"/>
    <w:rsid w:val="0018753C"/>
    <w:rsid w:val="00191FB4"/>
    <w:rsid w:val="00194586"/>
    <w:rsid w:val="00195F77"/>
    <w:rsid w:val="001A38CC"/>
    <w:rsid w:val="001A7459"/>
    <w:rsid w:val="001B314C"/>
    <w:rsid w:val="001D216A"/>
    <w:rsid w:val="001D2E82"/>
    <w:rsid w:val="001D51DA"/>
    <w:rsid w:val="001E499A"/>
    <w:rsid w:val="001F5AB1"/>
    <w:rsid w:val="00205DF3"/>
    <w:rsid w:val="0022083E"/>
    <w:rsid w:val="00222D0B"/>
    <w:rsid w:val="0022473A"/>
    <w:rsid w:val="00241D3D"/>
    <w:rsid w:val="002447BD"/>
    <w:rsid w:val="00252967"/>
    <w:rsid w:val="00254DA8"/>
    <w:rsid w:val="00263A66"/>
    <w:rsid w:val="00266F7C"/>
    <w:rsid w:val="00272B04"/>
    <w:rsid w:val="00274C94"/>
    <w:rsid w:val="00282ED3"/>
    <w:rsid w:val="00287EE0"/>
    <w:rsid w:val="00293BAA"/>
    <w:rsid w:val="002A0F89"/>
    <w:rsid w:val="002A101F"/>
    <w:rsid w:val="002A337A"/>
    <w:rsid w:val="002B3A3A"/>
    <w:rsid w:val="002B5C69"/>
    <w:rsid w:val="002C177E"/>
    <w:rsid w:val="002D230B"/>
    <w:rsid w:val="002F2DF8"/>
    <w:rsid w:val="002F4710"/>
    <w:rsid w:val="002F5485"/>
    <w:rsid w:val="002F60C0"/>
    <w:rsid w:val="0031048E"/>
    <w:rsid w:val="0031654A"/>
    <w:rsid w:val="003279BC"/>
    <w:rsid w:val="00330C0B"/>
    <w:rsid w:val="00336F31"/>
    <w:rsid w:val="00340083"/>
    <w:rsid w:val="0034725F"/>
    <w:rsid w:val="0035140F"/>
    <w:rsid w:val="00367D18"/>
    <w:rsid w:val="00367DE8"/>
    <w:rsid w:val="00385563"/>
    <w:rsid w:val="00393784"/>
    <w:rsid w:val="003A0E7F"/>
    <w:rsid w:val="003A5FBD"/>
    <w:rsid w:val="003B2FFA"/>
    <w:rsid w:val="003D38ED"/>
    <w:rsid w:val="003D49DF"/>
    <w:rsid w:val="003D747D"/>
    <w:rsid w:val="003E2F60"/>
    <w:rsid w:val="003E34E6"/>
    <w:rsid w:val="00406032"/>
    <w:rsid w:val="00423B2E"/>
    <w:rsid w:val="00423D13"/>
    <w:rsid w:val="00426033"/>
    <w:rsid w:val="0043720A"/>
    <w:rsid w:val="00440764"/>
    <w:rsid w:val="004632E9"/>
    <w:rsid w:val="0046678C"/>
    <w:rsid w:val="00477AF1"/>
    <w:rsid w:val="0048236F"/>
    <w:rsid w:val="00483AB6"/>
    <w:rsid w:val="0048730F"/>
    <w:rsid w:val="004A38EB"/>
    <w:rsid w:val="004A7856"/>
    <w:rsid w:val="004B4254"/>
    <w:rsid w:val="004D3B0F"/>
    <w:rsid w:val="004E23A9"/>
    <w:rsid w:val="004E5181"/>
    <w:rsid w:val="004E75D2"/>
    <w:rsid w:val="004F5BB1"/>
    <w:rsid w:val="00503E4D"/>
    <w:rsid w:val="00512647"/>
    <w:rsid w:val="00512C17"/>
    <w:rsid w:val="00514BCC"/>
    <w:rsid w:val="00516B0E"/>
    <w:rsid w:val="00527381"/>
    <w:rsid w:val="00530527"/>
    <w:rsid w:val="005419C2"/>
    <w:rsid w:val="005706FD"/>
    <w:rsid w:val="00572521"/>
    <w:rsid w:val="005777BC"/>
    <w:rsid w:val="00584B74"/>
    <w:rsid w:val="00585C14"/>
    <w:rsid w:val="005A1B5C"/>
    <w:rsid w:val="005A640E"/>
    <w:rsid w:val="005B0FD0"/>
    <w:rsid w:val="005D27F7"/>
    <w:rsid w:val="005E3B5F"/>
    <w:rsid w:val="005E5F5F"/>
    <w:rsid w:val="00603DDF"/>
    <w:rsid w:val="00607188"/>
    <w:rsid w:val="00620E86"/>
    <w:rsid w:val="00621E70"/>
    <w:rsid w:val="006337C7"/>
    <w:rsid w:val="006502A7"/>
    <w:rsid w:val="00671D1D"/>
    <w:rsid w:val="00671FC8"/>
    <w:rsid w:val="0068286F"/>
    <w:rsid w:val="00694FE0"/>
    <w:rsid w:val="00695B12"/>
    <w:rsid w:val="00697567"/>
    <w:rsid w:val="00697C73"/>
    <w:rsid w:val="006A1FCD"/>
    <w:rsid w:val="006C0ECF"/>
    <w:rsid w:val="006C107C"/>
    <w:rsid w:val="006C4C9C"/>
    <w:rsid w:val="006C66F0"/>
    <w:rsid w:val="006D2221"/>
    <w:rsid w:val="006E1636"/>
    <w:rsid w:val="006E1E6A"/>
    <w:rsid w:val="006E383C"/>
    <w:rsid w:val="006E4001"/>
    <w:rsid w:val="006F58A5"/>
    <w:rsid w:val="00703734"/>
    <w:rsid w:val="0070744E"/>
    <w:rsid w:val="00711349"/>
    <w:rsid w:val="0071362D"/>
    <w:rsid w:val="00721F7B"/>
    <w:rsid w:val="00723C5D"/>
    <w:rsid w:val="0073362E"/>
    <w:rsid w:val="007374FC"/>
    <w:rsid w:val="00754993"/>
    <w:rsid w:val="007833EE"/>
    <w:rsid w:val="0079081E"/>
    <w:rsid w:val="0079703E"/>
    <w:rsid w:val="007B1F0D"/>
    <w:rsid w:val="007B489F"/>
    <w:rsid w:val="007B553F"/>
    <w:rsid w:val="007F29F2"/>
    <w:rsid w:val="007F5051"/>
    <w:rsid w:val="00804443"/>
    <w:rsid w:val="00806473"/>
    <w:rsid w:val="00823CA4"/>
    <w:rsid w:val="0082552D"/>
    <w:rsid w:val="00826293"/>
    <w:rsid w:val="00834F81"/>
    <w:rsid w:val="00843C6F"/>
    <w:rsid w:val="00844B4C"/>
    <w:rsid w:val="00853A7A"/>
    <w:rsid w:val="008653E9"/>
    <w:rsid w:val="00866097"/>
    <w:rsid w:val="00872DFF"/>
    <w:rsid w:val="0089214C"/>
    <w:rsid w:val="00892B6E"/>
    <w:rsid w:val="0089619C"/>
    <w:rsid w:val="008B7B1E"/>
    <w:rsid w:val="008C2718"/>
    <w:rsid w:val="008C3B21"/>
    <w:rsid w:val="008D244C"/>
    <w:rsid w:val="008E1B04"/>
    <w:rsid w:val="008E3C31"/>
    <w:rsid w:val="008E3F4A"/>
    <w:rsid w:val="008E5E4B"/>
    <w:rsid w:val="008F3E7C"/>
    <w:rsid w:val="0090454C"/>
    <w:rsid w:val="009059E9"/>
    <w:rsid w:val="0091556D"/>
    <w:rsid w:val="009155CC"/>
    <w:rsid w:val="00917329"/>
    <w:rsid w:val="00930804"/>
    <w:rsid w:val="00934A4A"/>
    <w:rsid w:val="0095006B"/>
    <w:rsid w:val="00950964"/>
    <w:rsid w:val="00960D98"/>
    <w:rsid w:val="00977AD6"/>
    <w:rsid w:val="009830D1"/>
    <w:rsid w:val="00992F03"/>
    <w:rsid w:val="009A549D"/>
    <w:rsid w:val="009A64AF"/>
    <w:rsid w:val="009C28F0"/>
    <w:rsid w:val="009C60B9"/>
    <w:rsid w:val="009D76C2"/>
    <w:rsid w:val="009E1281"/>
    <w:rsid w:val="009E39E6"/>
    <w:rsid w:val="009E3E8F"/>
    <w:rsid w:val="00A20D90"/>
    <w:rsid w:val="00A35301"/>
    <w:rsid w:val="00A375FD"/>
    <w:rsid w:val="00A37D87"/>
    <w:rsid w:val="00A43EF4"/>
    <w:rsid w:val="00A50954"/>
    <w:rsid w:val="00A52F3D"/>
    <w:rsid w:val="00A61699"/>
    <w:rsid w:val="00A62B1B"/>
    <w:rsid w:val="00A6365B"/>
    <w:rsid w:val="00A66746"/>
    <w:rsid w:val="00A66B84"/>
    <w:rsid w:val="00A731BB"/>
    <w:rsid w:val="00AA1377"/>
    <w:rsid w:val="00AA740C"/>
    <w:rsid w:val="00AC78AB"/>
    <w:rsid w:val="00AD22BA"/>
    <w:rsid w:val="00AD2A64"/>
    <w:rsid w:val="00AD5236"/>
    <w:rsid w:val="00B02001"/>
    <w:rsid w:val="00B0715B"/>
    <w:rsid w:val="00B15C01"/>
    <w:rsid w:val="00B17B99"/>
    <w:rsid w:val="00B2116A"/>
    <w:rsid w:val="00B251DB"/>
    <w:rsid w:val="00B26C25"/>
    <w:rsid w:val="00B35C0C"/>
    <w:rsid w:val="00B400E0"/>
    <w:rsid w:val="00B40A60"/>
    <w:rsid w:val="00B446AE"/>
    <w:rsid w:val="00B45B98"/>
    <w:rsid w:val="00B57233"/>
    <w:rsid w:val="00B83D50"/>
    <w:rsid w:val="00BA1190"/>
    <w:rsid w:val="00BA5F77"/>
    <w:rsid w:val="00BB350F"/>
    <w:rsid w:val="00BC6C16"/>
    <w:rsid w:val="00BD0F8A"/>
    <w:rsid w:val="00BE1CB4"/>
    <w:rsid w:val="00BE53C7"/>
    <w:rsid w:val="00BE6EEA"/>
    <w:rsid w:val="00C2423D"/>
    <w:rsid w:val="00C27CB3"/>
    <w:rsid w:val="00C34FCC"/>
    <w:rsid w:val="00C42AE4"/>
    <w:rsid w:val="00C42F09"/>
    <w:rsid w:val="00C43D48"/>
    <w:rsid w:val="00C45D0C"/>
    <w:rsid w:val="00C50A9A"/>
    <w:rsid w:val="00C542E1"/>
    <w:rsid w:val="00C65E4E"/>
    <w:rsid w:val="00C7342A"/>
    <w:rsid w:val="00C81DF2"/>
    <w:rsid w:val="00C859DE"/>
    <w:rsid w:val="00CA45BE"/>
    <w:rsid w:val="00CA45E3"/>
    <w:rsid w:val="00CA539E"/>
    <w:rsid w:val="00CA7F88"/>
    <w:rsid w:val="00CB2DE1"/>
    <w:rsid w:val="00CB7499"/>
    <w:rsid w:val="00CE4789"/>
    <w:rsid w:val="00CE6BBD"/>
    <w:rsid w:val="00CE7F17"/>
    <w:rsid w:val="00CF3D70"/>
    <w:rsid w:val="00CF5B8A"/>
    <w:rsid w:val="00D16D29"/>
    <w:rsid w:val="00D220CF"/>
    <w:rsid w:val="00D22424"/>
    <w:rsid w:val="00D23C30"/>
    <w:rsid w:val="00D27B99"/>
    <w:rsid w:val="00D53DCE"/>
    <w:rsid w:val="00D64BFA"/>
    <w:rsid w:val="00D841E9"/>
    <w:rsid w:val="00D9122B"/>
    <w:rsid w:val="00DB270D"/>
    <w:rsid w:val="00DB6DFB"/>
    <w:rsid w:val="00DD5F5C"/>
    <w:rsid w:val="00DE04A8"/>
    <w:rsid w:val="00DE1060"/>
    <w:rsid w:val="00DF7287"/>
    <w:rsid w:val="00E01D7D"/>
    <w:rsid w:val="00E04DA0"/>
    <w:rsid w:val="00E07C50"/>
    <w:rsid w:val="00E11B00"/>
    <w:rsid w:val="00E13162"/>
    <w:rsid w:val="00E3027E"/>
    <w:rsid w:val="00E35012"/>
    <w:rsid w:val="00E37443"/>
    <w:rsid w:val="00E51EC5"/>
    <w:rsid w:val="00E54A59"/>
    <w:rsid w:val="00E95372"/>
    <w:rsid w:val="00EA0739"/>
    <w:rsid w:val="00EB2A69"/>
    <w:rsid w:val="00ED173E"/>
    <w:rsid w:val="00EE1F4B"/>
    <w:rsid w:val="00F1441E"/>
    <w:rsid w:val="00F15623"/>
    <w:rsid w:val="00F16FE0"/>
    <w:rsid w:val="00F20211"/>
    <w:rsid w:val="00F22BB9"/>
    <w:rsid w:val="00F24BC5"/>
    <w:rsid w:val="00F32757"/>
    <w:rsid w:val="00F3409A"/>
    <w:rsid w:val="00F40CC7"/>
    <w:rsid w:val="00F50378"/>
    <w:rsid w:val="00F50FA6"/>
    <w:rsid w:val="00F61B65"/>
    <w:rsid w:val="00F62B4E"/>
    <w:rsid w:val="00F669E4"/>
    <w:rsid w:val="00F66A4B"/>
    <w:rsid w:val="00F736D2"/>
    <w:rsid w:val="00FD4042"/>
    <w:rsid w:val="00FE4569"/>
    <w:rsid w:val="00FE7DB2"/>
    <w:rsid w:val="00FF3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C81D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Revision">
    <w:name w:val="Revision"/>
    <w:hidden/>
    <w:uiPriority w:val="99"/>
    <w:semiHidden/>
    <w:rsid w:val="009155CC"/>
    <w:pPr>
      <w:spacing w:after="0" w:line="240" w:lineRule="auto"/>
    </w:pPr>
    <w:rPr>
      <w:sz w:val="20"/>
    </w:rPr>
  </w:style>
  <w:style w:type="character" w:customStyle="1" w:styleId="cf01">
    <w:name w:val="cf01"/>
    <w:basedOn w:val="DefaultParagraphFont"/>
    <w:rsid w:val="004A38EB"/>
    <w:rPr>
      <w:rFonts w:ascii="Segoe UI" w:hAnsi="Segoe UI" w:cs="Segoe UI" w:hint="default"/>
      <w:sz w:val="18"/>
      <w:szCs w:val="18"/>
    </w:rPr>
  </w:style>
  <w:style w:type="character" w:customStyle="1" w:styleId="Heading9Char">
    <w:name w:val="Heading 9 Char"/>
    <w:basedOn w:val="DefaultParagraphFont"/>
    <w:link w:val="Heading9"/>
    <w:uiPriority w:val="9"/>
    <w:semiHidden/>
    <w:rsid w:val="00C81DF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216167805">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ga.gov.au/resources/my-product-therapeutic-good" TargetMode="External"/><Relationship Id="rId26" Type="http://schemas.openxmlformats.org/officeDocument/2006/relationships/hyperlink" Target="https://www.tga.gov.au/resources/resource/reference-material/australian-manufacturing-licences-and-overseas-gmp-certification" TargetMode="External"/><Relationship Id="rId39" Type="http://schemas.openxmlformats.org/officeDocument/2006/relationships/hyperlink" Target="https://www.tga.gov.au/how-we-regulate/supply-therapeutic-good/supply-prescription-medicine" TargetMode="External"/><Relationship Id="rId21" Type="http://schemas.openxmlformats.org/officeDocument/2006/relationships/hyperlink" Target="https://www.tga.gov.au/role-sponsor" TargetMode="External"/><Relationship Id="rId34" Type="http://schemas.openxmlformats.org/officeDocument/2006/relationships/hyperlink" Target="https://www.tga.gov.au/how-we-regulate/advertising/how-advertise/advertising-guidance/guidance-applying-advertising-code-rules" TargetMode="External"/><Relationship Id="rId42" Type="http://schemas.openxmlformats.org/officeDocument/2006/relationships/hyperlink" Target="https://www.tga.gov.au/resources/guidance/applying-class-1-biological-be-added-australian-register-therapeutic-goods-artg" TargetMode="External"/><Relationship Id="rId47" Type="http://schemas.openxmlformats.org/officeDocument/2006/relationships/hyperlink" Target="https://business.gov.au/expertise-and-advice/major-projects-facilitation-agency/help-tool"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au/C2004A03952/latest/text" TargetMode="External"/><Relationship Id="rId29" Type="http://schemas.openxmlformats.org/officeDocument/2006/relationships/hyperlink" Target="https://www.tga.gov.au/how-we-regulate/manufacturing/manufacture-medicine/good-manufacturing-practice-gmp/overseas-manufacturers/how-obtain-gmp-clearance-through-inspection-reliance" TargetMode="External"/><Relationship Id="rId11" Type="http://schemas.openxmlformats.org/officeDocument/2006/relationships/endnotes" Target="endnotes.xml"/><Relationship Id="rId24" Type="http://schemas.openxmlformats.org/officeDocument/2006/relationships/hyperlink" Target="https://www.legislation.gov.au/F1996B00406/latest/text" TargetMode="External"/><Relationship Id="rId32" Type="http://schemas.openxmlformats.org/officeDocument/2006/relationships/hyperlink" Target="https://www.tga.gov.au/how-we-regulate/labelling-and-packaging" TargetMode="External"/><Relationship Id="rId37" Type="http://schemas.openxmlformats.org/officeDocument/2006/relationships/hyperlink" Target="https://www.tga.gov.au/resources/resource/user-guide/gmp-clearance-application-and-submission-user-guide" TargetMode="External"/><Relationship Id="rId40" Type="http://schemas.openxmlformats.org/officeDocument/2006/relationships/hyperlink" Target="https://www.tga.gov.au/services/entering-non-prescription-medicine-australian-register-therapeutic-goods" TargetMode="External"/><Relationship Id="rId45" Type="http://schemas.openxmlformats.org/officeDocument/2006/relationships/hyperlink" Target="https://www.tga.gov.au/how-we-regulate/supply-therapeutic-good"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ga.gov.au/resources/guidance/understanding-your-post-market-responsibilities-biologicals" TargetMode="External"/><Relationship Id="rId28" Type="http://schemas.openxmlformats.org/officeDocument/2006/relationships/hyperlink" Target="https://www.tga.gov.au/resources/resource/reference-material/australian-manufacturing-licences-and-overseas-gmp-certification" TargetMode="External"/><Relationship Id="rId36" Type="http://schemas.openxmlformats.org/officeDocument/2006/relationships/hyperlink" Target="https://www.tga.gov.au/resources/resource/reference-material/australian-manufacturing-licences-and-overseas-gmp-certification/licensing-and-certification-process"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tga.gov.au/products/australian-register-therapeutic-goods-artg" TargetMode="External"/><Relationship Id="rId31" Type="http://schemas.openxmlformats.org/officeDocument/2006/relationships/hyperlink" Target="https://www.tga.gov.au/resources/guidance/use-market-authorisation-evidence-comparable-overseas-regulators-and-assessment-bodies-medical-devices-including-ivds" TargetMode="External"/><Relationship Id="rId44" Type="http://schemas.openxmlformats.org/officeDocument/2006/relationships/hyperlink" Target="https://www.tga.gov.au/how-we-regulate/manufacturin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tga.gov.au/resources/guidance/understanding-your-post-market-responsibilities-medical-devices" TargetMode="External"/><Relationship Id="rId27" Type="http://schemas.openxmlformats.org/officeDocument/2006/relationships/hyperlink" Target="https://www.tga.gov.au/good-manufacturing-practice-overview" TargetMode="External"/><Relationship Id="rId30" Type="http://schemas.openxmlformats.org/officeDocument/2006/relationships/hyperlink" Target="https://www.tga.gov.au/how-we-regulate/manufacturing/medical-devices/conformity-assessment/conformity-assessment-bodies/tga-conformity-assessment-certification/application-conformity-assessment-certificates-medical-devices" TargetMode="External"/><Relationship Id="rId35" Type="http://schemas.openxmlformats.org/officeDocument/2006/relationships/hyperlink" Target="https://adfs.tga.gov.au/adfs/ls/?wtrealm=https%3a%2f%2fbusiness.tga.gov.au&amp;wctx=WsFedOwinState%3dXR3txgWE80oKqR2y6ah3abt9JePt1Yb427nh-Sdf2mb8zDV1WBOKfBFkGol8I8ixhuhpWPsc0DmIulfWNjbRtvkMshv4YssSiu2Lx9lMibdkAYOpmJoSbr3CXR6L7-W5&amp;wa=wsignin1.0" TargetMode="External"/><Relationship Id="rId43" Type="http://schemas.openxmlformats.org/officeDocument/2006/relationships/hyperlink" Target="https://www.tga.gov.au/resources/resource/reference-material/applying-inclusion-class-2-3-or-4-biological-artg-step-step-guide" TargetMode="External"/><Relationship Id="rId48" Type="http://schemas.openxmlformats.org/officeDocument/2006/relationships/hyperlink" Target="mailto:MPFA@industry.gov.au" TargetMode="External"/><Relationship Id="rId8" Type="http://schemas.openxmlformats.org/officeDocument/2006/relationships/settings" Target="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tga.gov.au/resources/my-product-medical-device" TargetMode="External"/><Relationship Id="rId25" Type="http://schemas.openxmlformats.org/officeDocument/2006/relationships/hyperlink" Target="https://www.tga.gov.au/resources/guidance/determining-if-your-medical-device-should-be-australian-register-therapeutic-goods-artg" TargetMode="External"/><Relationship Id="rId33" Type="http://schemas.openxmlformats.org/officeDocument/2006/relationships/hyperlink" Target="https://www.legislation.gov.au/F2021L01661/latest/text" TargetMode="External"/><Relationship Id="rId38" Type="http://schemas.openxmlformats.org/officeDocument/2006/relationships/hyperlink" Target="https://www.tga.gov.au/how-we-regulate/manufacturing/manufacture-medical-device/obtain-and-maintain-regulatory-evidence/australian-regulatory-evidence-options-medical-device-application/tga-conformity-assessment-certification/application-instructions-conformity-assessment" TargetMode="External"/><Relationship Id="rId46" Type="http://schemas.openxmlformats.org/officeDocument/2006/relationships/hyperlink" Target="mailto:info@tga.gov.au" TargetMode="External"/><Relationship Id="rId20" Type="http://schemas.openxmlformats.org/officeDocument/2006/relationships/hyperlink" Target="https://www.tga.gov.au/product-regulation-according-risk" TargetMode="External"/><Relationship Id="rId41" Type="http://schemas.openxmlformats.org/officeDocument/2006/relationships/hyperlink" Target="https://www.tga.gov.au/how-we-regulate/supply-therapeutic-good/supply-medical-device/medical-device-inclusion-process"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D4C20041D4815ABFD4133E8849C01"/>
        <w:category>
          <w:name w:val="General"/>
          <w:gallery w:val="placeholder"/>
        </w:category>
        <w:types>
          <w:type w:val="bbPlcHdr"/>
        </w:types>
        <w:behaviors>
          <w:behavior w:val="content"/>
        </w:behaviors>
        <w:guid w:val="{F8313D61-67C7-49CF-AD52-FFA112FF073A}"/>
      </w:docPartPr>
      <w:docPartBody>
        <w:p w:rsidR="00401570" w:rsidRDefault="00401570" w:rsidP="00401570">
          <w:pPr>
            <w:pStyle w:val="373D4C20041D4815ABFD4133E8849C01"/>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 w:val="00401570"/>
    <w:rsid w:val="00812B31"/>
    <w:rsid w:val="009D76C2"/>
    <w:rsid w:val="00D23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570"/>
    <w:rPr>
      <w:color w:val="808080"/>
    </w:rPr>
  </w:style>
  <w:style w:type="paragraph" w:customStyle="1" w:styleId="373D4C20041D4815ABFD4133E8849C01">
    <w:name w:val="373D4C20041D4815ABFD4133E8849C01"/>
    <w:rsid w:val="0040157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4442</Value>
      <Value>3</Value>
      <Value>4475</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New fact sheet created November 2024</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2.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3.xml><?xml version="1.0" encoding="utf-8"?>
<ds:datastoreItem xmlns:ds="http://schemas.openxmlformats.org/officeDocument/2006/customXml" ds:itemID="{297BCF5D-ECED-40B9-848C-61973DAC72C5}">
  <ds:schemaRefs>
    <ds:schemaRef ds:uri="http://schemas.microsoft.com/office/2006/metadata/properties"/>
    <ds:schemaRef ds:uri="http://schemas.openxmlformats.org/package/2006/metadata/core-properties"/>
    <ds:schemaRef ds:uri="http://schemas.microsoft.com/office/2006/documentManagement/types"/>
    <ds:schemaRef ds:uri="http://schemas.microsoft.com/sharepoint/v4"/>
    <ds:schemaRef ds:uri="http://schemas.microsoft.com/office/infopath/2007/PartnerControls"/>
    <ds:schemaRef ds:uri="e950eb60-a35e-4b14-88a9-41f408f74491"/>
    <ds:schemaRef ds:uri="a36bd50b-1532-4c22-b385-5c082c960938"/>
    <ds:schemaRef ds:uri="http://schemas.microsoft.com/sharepoint/v3"/>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5.xml><?xml version="1.0" encoding="utf-8"?>
<ds:datastoreItem xmlns:ds="http://schemas.openxmlformats.org/officeDocument/2006/customXml" ds:itemID="{5BD56E0B-CF4E-4B12-8DC5-2ED7395A1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DISR-document</Template>
  <TotalTime>2</TotalTime>
  <Pages>2</Pages>
  <Words>1460</Words>
  <Characters>8460</Characters>
  <DocSecurity>0</DocSecurity>
  <Lines>228</Lines>
  <Paragraphs>97</Paragraphs>
  <ScaleCrop>false</ScaleCrop>
  <HeadingPairs>
    <vt:vector size="2" baseType="variant">
      <vt:variant>
        <vt:lpstr>Title</vt:lpstr>
      </vt:variant>
      <vt:variant>
        <vt:i4>1</vt:i4>
      </vt:variant>
    </vt:vector>
  </HeadingPairs>
  <TitlesOfParts>
    <vt:vector size="1" baseType="lpstr">
      <vt:lpstr>Therapeutic Goods Act 1989</vt:lpstr>
    </vt:vector>
  </TitlesOfParts>
  <Manager/>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Act 1989</dc:title>
  <dc:subject/>
  <dc:creator>MPFA@industry.gov.au</dc:creator>
  <cp:keywords/>
  <dc:description/>
  <cp:lastPrinted>2025-02-19T07:58:00Z</cp:lastPrinted>
  <dcterms:created xsi:type="dcterms:W3CDTF">2025-02-19T07:57:00Z</dcterms:created>
  <dcterms:modified xsi:type="dcterms:W3CDTF">2025-02-19T07:58:00Z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4475;#2024-25|50f77124-5f6f-4d5f-9f1c-76c5bde65257</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