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777777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56440C" w14:textId="77777777" w:rsidR="0097777E" w:rsidRDefault="003A7799">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7D628C" w14:textId="77777777" w:rsidR="0097777E" w:rsidRDefault="003A7799">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2F3A7BD0" w14:textId="77777777" w:rsidR="0097777E" w:rsidRDefault="003A7799">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97777E">
          <w:rPr>
            <w:noProof/>
            <w:webHidden/>
          </w:rPr>
          <w:t>4</w:t>
        </w:r>
        <w:r w:rsidR="0097777E">
          <w:rPr>
            <w:noProof/>
            <w:webHidden/>
          </w:rPr>
          <w:fldChar w:fldCharType="end"/>
        </w:r>
      </w:hyperlink>
    </w:p>
    <w:p w14:paraId="71ACA410" w14:textId="77777777" w:rsidR="0097777E" w:rsidRDefault="003A7799">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071F0149" w14:textId="77777777" w:rsidR="0097777E" w:rsidRDefault="003A7799">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4B811094" w14:textId="77777777" w:rsidR="0097777E" w:rsidRDefault="003A7799">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3165ED69" w14:textId="77777777" w:rsidR="0097777E" w:rsidRDefault="003A7799">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2E51A159" w14:textId="77777777" w:rsidR="0097777E" w:rsidRDefault="003A7799">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97777E">
          <w:rPr>
            <w:noProof/>
            <w:webHidden/>
          </w:rPr>
          <w:t>6</w:t>
        </w:r>
        <w:r w:rsidR="0097777E">
          <w:rPr>
            <w:noProof/>
            <w:webHidden/>
          </w:rPr>
          <w:fldChar w:fldCharType="end"/>
        </w:r>
      </w:hyperlink>
    </w:p>
    <w:p w14:paraId="0CA7A2C2" w14:textId="77777777" w:rsidR="0097777E" w:rsidRDefault="003A7799">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161BB4A3" w14:textId="77777777" w:rsidR="0097777E" w:rsidRDefault="003A7799">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3FED819E" w14:textId="77777777" w:rsidR="0097777E" w:rsidRDefault="003A7799">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97777E">
          <w:rPr>
            <w:noProof/>
            <w:webHidden/>
          </w:rPr>
          <w:t>8</w:t>
        </w:r>
        <w:r w:rsidR="0097777E">
          <w:rPr>
            <w:noProof/>
            <w:webHidden/>
          </w:rPr>
          <w:fldChar w:fldCharType="end"/>
        </w:r>
      </w:hyperlink>
    </w:p>
    <w:p w14:paraId="15927147" w14:textId="77777777" w:rsidR="0097777E" w:rsidRDefault="003A7799">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97777E">
          <w:rPr>
            <w:noProof/>
            <w:webHidden/>
          </w:rPr>
          <w:t>9</w:t>
        </w:r>
        <w:r w:rsidR="0097777E">
          <w:rPr>
            <w:noProof/>
            <w:webHidden/>
          </w:rPr>
          <w:fldChar w:fldCharType="end"/>
        </w:r>
      </w:hyperlink>
    </w:p>
    <w:p w14:paraId="2E107355" w14:textId="77777777" w:rsidR="0097777E" w:rsidRDefault="003A7799">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97777E">
          <w:rPr>
            <w:noProof/>
            <w:webHidden/>
          </w:rPr>
          <w:t>25</w:t>
        </w:r>
        <w:r w:rsidR="0097777E">
          <w:rPr>
            <w:noProof/>
            <w:webHidden/>
          </w:rPr>
          <w:fldChar w:fldCharType="end"/>
        </w:r>
      </w:hyperlink>
    </w:p>
    <w:p w14:paraId="482542BE" w14:textId="77777777" w:rsidR="0097777E" w:rsidRDefault="003A7799">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587E5C12" w14:textId="77777777" w:rsidR="0097777E" w:rsidRDefault="003A7799">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029F11B5" w14:textId="77777777" w:rsidR="0097777E" w:rsidRDefault="003A7799">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2B770733" w14:textId="77777777" w:rsidR="0097777E" w:rsidRDefault="003A7799">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97777E">
          <w:rPr>
            <w:noProof/>
            <w:webHidden/>
          </w:rPr>
          <w:t>37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09C44A0E"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225F22">
        <w:t>Department of Climate Change, Energy, the Environment and Water.</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539ADA0A" w14:textId="6AA8273D" w:rsidR="00496622" w:rsidRPr="00D43373" w:rsidRDefault="00496622" w:rsidP="00496622">
      <w:pPr>
        <w:spacing w:before="120"/>
        <w:rPr>
          <w:color w:val="000000"/>
        </w:rPr>
      </w:pP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51232B5F" w14:textId="1A6B19C6" w:rsidR="00225F22" w:rsidRDefault="00225F22" w:rsidP="00225F22">
      <w:pPr>
        <w:rPr>
          <w:b/>
          <w:bCs/>
        </w:rPr>
      </w:pPr>
      <w:r>
        <w:rPr>
          <w:b/>
          <w:bCs/>
        </w:rPr>
        <w:t>Required Data</w:t>
      </w:r>
    </w:p>
    <w:p w14:paraId="4D43C47D" w14:textId="77777777" w:rsidR="00225F22" w:rsidRDefault="00225F22" w:rsidP="00225F22">
      <w:pPr>
        <w:pStyle w:val="ListNumber"/>
        <w:numPr>
          <w:ilvl w:val="0"/>
          <w:numId w:val="0"/>
        </w:numPr>
        <w:tabs>
          <w:tab w:val="left" w:pos="720"/>
        </w:tabs>
      </w:pPr>
      <w:r>
        <w:t>In addition to any other Activity Material, the Grantee must provide to the Commonwealth the following data (</w:t>
      </w:r>
      <w:r>
        <w:rPr>
          <w:b/>
          <w:bCs/>
        </w:rPr>
        <w:t>Required Data</w:t>
      </w:r>
      <w:r>
        <w:t xml:space="preserve">): </w:t>
      </w:r>
    </w:p>
    <w:p w14:paraId="3BD5C3A1" w14:textId="77777777" w:rsidR="00225F22" w:rsidRDefault="00225F22" w:rsidP="00225F22">
      <w:pPr>
        <w:pStyle w:val="NormalIndent"/>
        <w:ind w:left="567" w:hanging="567"/>
      </w:pPr>
      <w:r>
        <w:t>(a)</w:t>
      </w:r>
      <w:r>
        <w:tab/>
        <w:t xml:space="preserve">soil organic carbon stock measurements at a particular location, as determined by the Commonwealth and notified to the Grantee from time to time  </w:t>
      </w:r>
    </w:p>
    <w:p w14:paraId="12BED7A0" w14:textId="77777777" w:rsidR="00225F22" w:rsidRPr="006106FC" w:rsidRDefault="00225F22" w:rsidP="00225F22">
      <w:pPr>
        <w:pStyle w:val="NormalIndent"/>
        <w:ind w:left="567" w:hanging="567"/>
      </w:pPr>
      <w:r w:rsidRPr="008D2256">
        <w:t xml:space="preserve">(b) </w:t>
      </w:r>
      <w:r>
        <w:tab/>
      </w:r>
      <w:r w:rsidRPr="008D2256">
        <w:t xml:space="preserve">copies of submission request form for submission of soil specimens to the CSIRO National Soil Archive </w:t>
      </w:r>
    </w:p>
    <w:p w14:paraId="6EF8AAA4" w14:textId="7D32A183" w:rsidR="00225F22" w:rsidRDefault="00225F22" w:rsidP="00225F22">
      <w:pPr>
        <w:pStyle w:val="NormalIndent"/>
        <w:ind w:left="567" w:hanging="567"/>
      </w:pPr>
      <w:r>
        <w:t xml:space="preserve">in accordance with the following terms: </w:t>
      </w:r>
    </w:p>
    <w:p w14:paraId="54B74346" w14:textId="77777777" w:rsidR="00225F22" w:rsidRDefault="00225F22" w:rsidP="00225F22">
      <w:pPr>
        <w:pStyle w:val="NormalIndent"/>
        <w:numPr>
          <w:ilvl w:val="0"/>
          <w:numId w:val="46"/>
        </w:numPr>
      </w:pPr>
      <w:r>
        <w:t>The Grantee must, in the format and at the times specified by the Commonwealth from time to time, and in any case at the same time it is required to provide any Reporting Material:</w:t>
      </w:r>
    </w:p>
    <w:p w14:paraId="159CAB46" w14:textId="77777777" w:rsidR="00225F22" w:rsidRDefault="00225F22" w:rsidP="00225F22">
      <w:pPr>
        <w:pStyle w:val="NormalIndent"/>
        <w:ind w:left="993" w:hanging="567"/>
      </w:pPr>
      <w:r>
        <w:t>(a)</w:t>
      </w:r>
      <w:r>
        <w:tab/>
        <w:t xml:space="preserve">provide the Required Data to the Commonwealth; and </w:t>
      </w:r>
    </w:p>
    <w:p w14:paraId="366363EA" w14:textId="77777777" w:rsidR="00225F22" w:rsidRDefault="00225F22" w:rsidP="00225F22">
      <w:pPr>
        <w:pStyle w:val="NormalIndent"/>
        <w:ind w:left="993" w:hanging="567"/>
      </w:pPr>
      <w:r>
        <w:t>(b)</w:t>
      </w:r>
      <w:r>
        <w:tab/>
      </w:r>
      <w:bookmarkStart w:id="19" w:name="_Hlk87375768"/>
      <w:r>
        <w:t>provide sufficient information on how the Required Data was derived and the methods, standards, and procedures followed and used</w:t>
      </w:r>
      <w:bookmarkEnd w:id="19"/>
      <w:r>
        <w:t xml:space="preserve">. </w:t>
      </w:r>
    </w:p>
    <w:p w14:paraId="1DFCC66D" w14:textId="77777777" w:rsidR="00225F22" w:rsidRDefault="00225F22" w:rsidP="00225F22">
      <w:pPr>
        <w:pStyle w:val="NormalIndent"/>
        <w:numPr>
          <w:ilvl w:val="0"/>
          <w:numId w:val="46"/>
        </w:numPr>
      </w:pPr>
      <w:r>
        <w:t>The Grantee must also ensure that the Required Data that is provided is compliant with the relevant Australian standards and guidelines and supplied following the FAIR (findable, accessible, interoperable and reusable) data principles and any other standard the Commonwealth may advise as being applicable to the Required Data.</w:t>
      </w:r>
    </w:p>
    <w:p w14:paraId="055502D7" w14:textId="77777777" w:rsidR="00225F22" w:rsidRDefault="00225F22" w:rsidP="00225F22">
      <w:pPr>
        <w:pStyle w:val="NormalIndent"/>
        <w:numPr>
          <w:ilvl w:val="0"/>
          <w:numId w:val="46"/>
        </w:numPr>
      </w:pPr>
      <w:r>
        <w:t>In addition to the licence granted to the Commonwealth under ST 3.2 of this Agreement in respect of Activity Material, to the extent that any Intellectual Property Rights subsist in the Required Data:</w:t>
      </w:r>
    </w:p>
    <w:p w14:paraId="295AB146" w14:textId="77777777" w:rsidR="00225F22" w:rsidRDefault="00225F22" w:rsidP="00225F22">
      <w:pPr>
        <w:pStyle w:val="NormalIndent"/>
        <w:ind w:left="993" w:hanging="567"/>
      </w:pPr>
      <w:r>
        <w:t>(a)</w:t>
      </w:r>
      <w:r>
        <w:tab/>
        <w:t xml:space="preserve">the Grantee will retain ownership of those rights; and </w:t>
      </w:r>
    </w:p>
    <w:p w14:paraId="174F82A1" w14:textId="77777777" w:rsidR="00225F22" w:rsidRDefault="00225F22" w:rsidP="00225F22">
      <w:pPr>
        <w:pStyle w:val="NormalIndent"/>
        <w:ind w:left="993" w:hanging="567"/>
      </w:pPr>
      <w:r>
        <w:t>(b)</w:t>
      </w:r>
      <w:r>
        <w:tab/>
        <w:t>the Grantee must grant, and by executing this Agreement does grant, to the Commonwealth, and to any other potential user of the Required Data, an irrevocable, worldwide licence (including a right to sublicense) to use, publish, modify, access, communicate, exploit and commercialise the Required Data for any purpose.</w:t>
      </w:r>
    </w:p>
    <w:p w14:paraId="605316CE" w14:textId="77777777" w:rsidR="00225F22" w:rsidRDefault="00225F22" w:rsidP="00225F22">
      <w:pPr>
        <w:pStyle w:val="NormalIndent"/>
        <w:numPr>
          <w:ilvl w:val="0"/>
          <w:numId w:val="46"/>
        </w:numPr>
      </w:pPr>
      <w:r>
        <w:t>For clarity, the Grantee agrees that the Commonwealth may provide the Required Data to any subcontractor or nominee to host on, and provide access to, the Required Data through the Australian Soil Resource Information System (</w:t>
      </w:r>
      <w:r>
        <w:rPr>
          <w:b/>
          <w:bCs/>
        </w:rPr>
        <w:t>ASRIS</w:t>
      </w:r>
      <w:r>
        <w:t>) or any other system that may be notified by the Commonwealth to the Grantee from time to time.</w:t>
      </w:r>
    </w:p>
    <w:p w14:paraId="6E9EBF24" w14:textId="77777777" w:rsidR="00225F22" w:rsidRPr="00777031" w:rsidRDefault="00225F22" w:rsidP="00225F22">
      <w:pPr>
        <w:rPr>
          <w:b/>
          <w:bCs/>
          <w:color w:val="000000"/>
          <w:szCs w:val="20"/>
        </w:rPr>
      </w:pPr>
      <w:r w:rsidRPr="00777031">
        <w:rPr>
          <w:b/>
          <w:bCs/>
          <w:color w:val="000000"/>
          <w:szCs w:val="20"/>
        </w:rPr>
        <w:t>Data Collection and Use Agreement</w:t>
      </w:r>
    </w:p>
    <w:p w14:paraId="5B17ADE8" w14:textId="77777777" w:rsidR="00225F22" w:rsidRPr="00777031" w:rsidRDefault="00225F22" w:rsidP="00225F22">
      <w:pPr>
        <w:pStyle w:val="NormalIndent"/>
        <w:numPr>
          <w:ilvl w:val="0"/>
          <w:numId w:val="46"/>
        </w:numPr>
        <w:rPr>
          <w:color w:val="000000"/>
          <w:szCs w:val="20"/>
        </w:rPr>
      </w:pPr>
      <w:r w:rsidRPr="00777031">
        <w:rPr>
          <w:color w:val="000000"/>
          <w:szCs w:val="20"/>
        </w:rPr>
        <w:lastRenderedPageBreak/>
        <w:t>The Grantee must enter into a Data Collection and Use Agreement with each landowner on whose property any part of the Activity is to be performed.</w:t>
      </w:r>
    </w:p>
    <w:p w14:paraId="003A217B" w14:textId="3677716D" w:rsidR="00225F22" w:rsidRDefault="00225F22" w:rsidP="00225F22">
      <w:r w:rsidRPr="00777031">
        <w:rPr>
          <w:color w:val="000000"/>
          <w:szCs w:val="20"/>
        </w:rPr>
        <w:t>The Grantee may amend the form of the Data Collection and Use Agreement but the terms must be materially the same as those contained in the template agreement provided by the Commonwealth, unless otherwise approved in writing by the Commonwealth.</w:t>
      </w:r>
    </w:p>
    <w:p w14:paraId="2DDCC0CD" w14:textId="2F0AFAD3" w:rsidR="000E7D88" w:rsidRDefault="00496622" w:rsidP="000E7D88">
      <w:pPr>
        <w:pStyle w:val="Heading2"/>
      </w:pPr>
      <w:r w:rsidRPr="00D43373">
        <w:rPr>
          <w:color w:val="000000"/>
          <w:sz w:val="24"/>
        </w:rPr>
        <w:br w:type="page"/>
      </w:r>
      <w:bookmarkStart w:id="20" w:name="_Toc107307956"/>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715ED1C6" w:rsidR="000E7D88" w:rsidRPr="00BF7835" w:rsidRDefault="00BF7835" w:rsidP="00BF7835">
      <w:pPr>
        <w:pStyle w:val="NormalIndent"/>
        <w:ind w:left="1247" w:hanging="567"/>
        <w:rPr>
          <w:rFonts w:eastAsiaTheme="minorHAnsi"/>
        </w:rPr>
      </w:pPr>
      <w:r w:rsidRPr="001A380E">
        <w:t>(a)</w:t>
      </w:r>
      <w:r w:rsidRPr="001A380E">
        <w:tab/>
      </w:r>
      <w:r w:rsidR="00B42D3C" w:rsidRPr="001A380E">
        <w:t>by</w:t>
      </w:r>
      <w:r w:rsidR="00B42D3C" w:rsidRPr="001A380E">
        <w:rPr>
          <w:rFonts w:eastAsiaTheme="minorHAnsi"/>
        </w:rPr>
        <w:t xml:space="preserve"> </w:t>
      </w:r>
      <w:r w:rsidR="000E7D88" w:rsidRPr="001A380E">
        <w:rPr>
          <w:rFonts w:eastAsiaTheme="minorHAnsi"/>
        </w:rPr>
        <w:t xml:space="preserve">1 February each </w:t>
      </w:r>
      <w:r w:rsidR="00EF282A" w:rsidRPr="001A380E">
        <w:rPr>
          <w:rFonts w:eastAsiaTheme="minorHAnsi"/>
        </w:rPr>
        <w:t>financial year</w:t>
      </w:r>
      <w:r w:rsidR="000E7D88" w:rsidRPr="001A380E">
        <w:rPr>
          <w:rFonts w:eastAsiaTheme="minorHAnsi"/>
        </w:rPr>
        <w:t>; or</w:t>
      </w:r>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6"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6"/>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5C079F9E" w14:textId="37DA983B" w:rsidR="00DF59EB" w:rsidRPr="003C7A51" w:rsidRDefault="00DF59EB" w:rsidP="00EA7036">
      <w:r w:rsidRPr="00610C77">
        <w:rPr>
          <w:highlight w:val="yellow"/>
        </w:rPr>
        <w:t xml:space="preserve"> </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1F326CA7"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5B79C9">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BA33C44" w:rsidR="000E7D88" w:rsidRPr="00303FDE" w:rsidRDefault="00A63FFF" w:rsidP="00EA7036">
      <w:r>
        <w:t>ST5.</w:t>
      </w:r>
      <w:r w:rsidR="0070580E">
        <w:t>5</w:t>
      </w:r>
      <w:r>
        <w:tab/>
      </w:r>
      <w:r w:rsidR="000E7D88" w:rsidRPr="00303FDE">
        <w:t xml:space="preserve">The Grantee agrees to maintain a register of all Assets </w:t>
      </w:r>
      <w:r w:rsidR="0070580E">
        <w:t xml:space="preserve">with a value </w:t>
      </w:r>
      <w:r w:rsidR="0070580E" w:rsidRPr="001A380E">
        <w:t>of</w:t>
      </w:r>
      <w:r w:rsidR="000E7D88" w:rsidRPr="001A380E">
        <w:t xml:space="preserve"> $</w:t>
      </w:r>
      <w:r w:rsidR="005B79C9" w:rsidRPr="001A380E">
        <w:t>10,</w:t>
      </w:r>
      <w:r w:rsidR="005B79C9">
        <w:t xml:space="preserve">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0A62327" w14:textId="3AABFA8C" w:rsidR="000E7D88" w:rsidRPr="00C169C3" w:rsidRDefault="000054D4" w:rsidP="00EA7036">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6B9FF54A" w14:textId="4EFF6D00" w:rsidR="009D0F05" w:rsidRPr="00C36EA6" w:rsidRDefault="009D0F05" w:rsidP="00E10824">
      <w:pPr>
        <w:pStyle w:val="NormalIndent"/>
        <w:ind w:left="1247" w:hanging="567"/>
      </w:pPr>
    </w:p>
    <w:p w14:paraId="56115A9E" w14:textId="2F547A78" w:rsidR="001E0426" w:rsidRDefault="001E0426" w:rsidP="001E0426">
      <w:pPr>
        <w:pStyle w:val="Heading3ST"/>
      </w:pPr>
      <w:r>
        <w:t>Vulnerable Persons</w:t>
      </w:r>
    </w:p>
    <w:p w14:paraId="73EBAC24" w14:textId="2DBC4AA5" w:rsidR="009E266F" w:rsidRDefault="001E0426" w:rsidP="001A380E">
      <w:r>
        <w:t>Not applicable</w:t>
      </w:r>
      <w:r w:rsidR="009E266F">
        <w:t xml:space="preserve"> </w:t>
      </w:r>
    </w:p>
    <w:p w14:paraId="2D2950F9" w14:textId="3AEFB84C" w:rsidR="009E266F" w:rsidRDefault="009E266F" w:rsidP="009E266F">
      <w:pPr>
        <w:pStyle w:val="Heading3ST"/>
      </w:pPr>
      <w:r>
        <w:lastRenderedPageBreak/>
        <w:t xml:space="preserve">Child </w:t>
      </w:r>
      <w:r w:rsidR="00A261A3">
        <w:t>s</w:t>
      </w:r>
      <w:r>
        <w:t>afety</w:t>
      </w:r>
    </w:p>
    <w:p w14:paraId="201500CB" w14:textId="312F5C1E" w:rsidR="00EC0635" w:rsidRDefault="009E266F" w:rsidP="001A380E">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6086C0A2" w14:textId="3470135F"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lastRenderedPageBreak/>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74425A1F" w14:textId="1E3AAB03" w:rsidR="000E7D88" w:rsidRPr="002411BD" w:rsidRDefault="00902777" w:rsidP="001A380E">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1A062669" w:rsidR="000E7D88" w:rsidRPr="0022024C" w:rsidRDefault="00DA589E" w:rsidP="00EA7036">
      <w:r w:rsidRPr="001F2FCF">
        <w:rPr>
          <w:lang w:eastAsia="en-AU"/>
        </w:rPr>
        <w:t>Not a</w:t>
      </w:r>
      <w:r w:rsidR="003769CD" w:rsidRPr="001F2FCF">
        <w:rPr>
          <w:lang w:eastAsia="en-AU"/>
        </w:rPr>
        <w:t>pplicable</w:t>
      </w:r>
      <w:r w:rsidR="000E7D88"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0029A775" w:rsidR="000E7D88" w:rsidRPr="001716A3" w:rsidRDefault="00A168A7" w:rsidP="00EA7036">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4EECEFAF" w:rsidR="002E2049" w:rsidRDefault="00225F22" w:rsidP="006148ED">
      <w:pPr>
        <w:pStyle w:val="NormalIndent"/>
        <w:ind w:left="1247" w:hanging="567"/>
      </w:pPr>
      <w:r w:rsidRPr="006078DA" w:rsidDel="00225F22">
        <w:t xml:space="preserve"> </w:t>
      </w:r>
      <w:r w:rsidR="002B791B" w:rsidRPr="00225F22">
        <w:t>(</w:t>
      </w:r>
      <w:r w:rsidRPr="00225F22">
        <w:t>a</w:t>
      </w:r>
      <w:r w:rsidR="002B791B" w:rsidRPr="00225F22">
        <w:t>)</w:t>
      </w:r>
      <w:r w:rsidR="002B791B"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6DBFF88" w14:textId="7A5652EB" w:rsidR="00225F22" w:rsidRPr="00C83E13" w:rsidRDefault="00225F22" w:rsidP="00225F22">
      <w:pPr>
        <w:pStyle w:val="ListBullet"/>
        <w:ind w:left="680"/>
      </w:pPr>
      <w:r>
        <w:t>(b)</w:t>
      </w:r>
      <w:r w:rsidR="005F0D90">
        <w:t xml:space="preserve">      </w:t>
      </w:r>
      <w:r w:rsidR="005F0D90" w:rsidRPr="001A380E">
        <w:rPr>
          <w:rStyle w:val="Hyperlink"/>
          <w:color w:val="auto"/>
          <w:u w:val="none"/>
        </w:rPr>
        <w:t>Australian Code for the Responsible Conduct of Research 2018</w:t>
      </w:r>
      <w:r w:rsidRPr="005F0D90">
        <w:t xml:space="preserve"> </w:t>
      </w:r>
    </w:p>
    <w:p w14:paraId="50E6EF8E" w14:textId="4B890C66" w:rsidR="00225F22" w:rsidRPr="00A9215B" w:rsidRDefault="00225F22" w:rsidP="00225F22">
      <w:pPr>
        <w:pStyle w:val="NormalIndent"/>
        <w:ind w:left="1247" w:hanging="567"/>
      </w:pPr>
      <w:r>
        <w:t>(c)</w:t>
      </w:r>
      <w:r>
        <w:tab/>
      </w:r>
      <w:r w:rsidRPr="00A9215B">
        <w:t>Commonwealth State/Territory laws applicable including:</w:t>
      </w:r>
    </w:p>
    <w:p w14:paraId="4680EAAF" w14:textId="77777777" w:rsidR="00225F22" w:rsidRPr="00C3370A" w:rsidRDefault="00225F22" w:rsidP="001A380E">
      <w:pPr>
        <w:pStyle w:val="ListBullet"/>
        <w:numPr>
          <w:ilvl w:val="0"/>
          <w:numId w:val="49"/>
        </w:numPr>
      </w:pPr>
      <w:r w:rsidRPr="00213431">
        <w:lastRenderedPageBreak/>
        <w:t>environmental protection</w:t>
      </w:r>
    </w:p>
    <w:p w14:paraId="5AB81C15" w14:textId="77777777" w:rsidR="00225F22" w:rsidRPr="00DD0D98" w:rsidRDefault="00225F22" w:rsidP="001A380E">
      <w:pPr>
        <w:pStyle w:val="ListBullet"/>
        <w:numPr>
          <w:ilvl w:val="0"/>
          <w:numId w:val="49"/>
        </w:numPr>
      </w:pPr>
      <w:r w:rsidRPr="00F31C9F">
        <w:t>management of wildlife and listed threatened species</w:t>
      </w:r>
    </w:p>
    <w:p w14:paraId="641A29AB" w14:textId="77777777" w:rsidR="00225F22" w:rsidRPr="00F93469" w:rsidRDefault="00225F22" w:rsidP="001A380E">
      <w:pPr>
        <w:pStyle w:val="ListBullet"/>
        <w:numPr>
          <w:ilvl w:val="0"/>
          <w:numId w:val="49"/>
        </w:numPr>
      </w:pPr>
      <w:r w:rsidRPr="00F93469">
        <w:t>agricultural and veterinary chemicals use, including the AgVet Codes</w:t>
      </w:r>
    </w:p>
    <w:p w14:paraId="5ABD6F5E" w14:textId="77777777" w:rsidR="00225F22" w:rsidRDefault="00225F22" w:rsidP="001A380E">
      <w:pPr>
        <w:pStyle w:val="ListBullet"/>
        <w:numPr>
          <w:ilvl w:val="0"/>
          <w:numId w:val="49"/>
        </w:numPr>
      </w:pPr>
      <w:r w:rsidRPr="00F93469">
        <w:t>biosecurity, to prevent the spread of weeds, pests and diseases</w:t>
      </w:r>
    </w:p>
    <w:p w14:paraId="306658B8" w14:textId="77777777" w:rsidR="00225F22" w:rsidRPr="00A9215B" w:rsidRDefault="00225F22" w:rsidP="001A380E">
      <w:pPr>
        <w:pStyle w:val="ListBullet"/>
        <w:numPr>
          <w:ilvl w:val="0"/>
          <w:numId w:val="49"/>
        </w:numPr>
      </w:pPr>
      <w:r w:rsidRPr="00213431">
        <w:t xml:space="preserve">animal care and protection, </w:t>
      </w:r>
      <w:r w:rsidRPr="00C3370A">
        <w:t>i</w:t>
      </w:r>
      <w:r w:rsidRPr="00F31C9F">
        <w:t>ncluding the ethical treatment of and prevention of cruelty to animals</w:t>
      </w:r>
      <w:r w:rsidRPr="00DD0D98">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70B4D132" w14:textId="56A01736" w:rsidR="001629D0" w:rsidRDefault="003D4226" w:rsidP="00EA7036">
      <w:bookmarkStart w:id="32" w:name="_Ref480366732"/>
      <w:r w:rsidRPr="001F2FCF">
        <w:rPr>
          <w:lang w:eastAsia="en-AU"/>
        </w:rPr>
        <w:t>Not a</w:t>
      </w:r>
      <w:r w:rsidR="003769CD" w:rsidRPr="001F2FCF">
        <w:rPr>
          <w:lang w:eastAsia="en-AU"/>
        </w:rPr>
        <w:t>pplicable</w:t>
      </w:r>
      <w:bookmarkEnd w:id="32"/>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37F19192" w:rsidR="00135E78" w:rsidRPr="00135E78" w:rsidRDefault="00135E78" w:rsidP="00B848F4"/>
    <w:p w14:paraId="6DE9D98E" w14:textId="45F8D8E4" w:rsidR="0083039E" w:rsidRPr="00D43373" w:rsidRDefault="000E7D88" w:rsidP="001629D0">
      <w:pPr>
        <w:pStyle w:val="Heading2"/>
      </w:pPr>
      <w:r w:rsidRPr="00D43373">
        <w:br w:type="page"/>
      </w:r>
      <w:bookmarkStart w:id="33" w:name="_Toc107307957"/>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r w:rsidR="0083039E" w:rsidRPr="00D43373">
        <w:t>are registered for GST purposes;</w:t>
      </w:r>
      <w:bookmarkEnd w:id="45"/>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142C0385" w14:textId="0F7B9F70" w:rsidR="0083039E" w:rsidRPr="00D43373" w:rsidRDefault="00352760"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85BABFB" w14:textId="5F2F1600" w:rsidR="00BF0DFC" w:rsidRPr="00D43373"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4FE4451E" w:rsidR="00062738" w:rsidRPr="001A380E" w:rsidRDefault="00062738" w:rsidP="005E2CB6">
      <w:pPr>
        <w:pStyle w:val="ListBullet3"/>
      </w:pPr>
      <w:r w:rsidRPr="001A380E">
        <w:t>ST3 (Intellectual property in Activity Materia</w:t>
      </w:r>
      <w:r w:rsidR="00B42D3C" w:rsidRPr="001A380E">
        <w:t>l</w:t>
      </w:r>
      <w:r w:rsidRPr="001A380E">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730796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EE2A348" w14:textId="77777777" w:rsidR="00147E4E" w:rsidRPr="00E00538" w:rsidRDefault="00147E4E" w:rsidP="00147E4E">
      <w:pPr>
        <w:pStyle w:val="ListNumber4"/>
      </w:pPr>
      <w:bookmarkStart w:id="86" w:name="_Toc436041540"/>
      <w:r w:rsidRPr="00E00538">
        <w:t xml:space="preserve">Outline </w:t>
      </w:r>
      <w:r>
        <w:t>your</w:t>
      </w:r>
      <w:r w:rsidRPr="00E00538">
        <w:t xml:space="preserve"> project’s progress towards completing the objectives </w:t>
      </w:r>
      <w:r>
        <w:t xml:space="preserve">and outcomes </w:t>
      </w:r>
      <w:r w:rsidRPr="00E00538">
        <w:t>of the grant opportunity, in line with section 2.1 of the Grant Opportunity Guidelines.</w:t>
      </w:r>
    </w:p>
    <w:p w14:paraId="079EF107" w14:textId="77777777" w:rsidR="00147E4E" w:rsidRDefault="00147E4E" w:rsidP="00147E4E">
      <w:pPr>
        <w:pStyle w:val="ListNumber4"/>
        <w:numPr>
          <w:ilvl w:val="0"/>
          <w:numId w:val="0"/>
        </w:numPr>
        <w:ind w:left="720"/>
      </w:pPr>
      <w:r w:rsidRPr="00E00538">
        <w:t xml:space="preserve">Provide </w:t>
      </w:r>
      <w:r>
        <w:t xml:space="preserve">a </w:t>
      </w:r>
      <w:r w:rsidRPr="00E00538">
        <w:t>summary of results to date</w:t>
      </w:r>
      <w:r>
        <w:t xml:space="preserve"> and outline results from testing and demonstrating your technology</w:t>
      </w:r>
      <w:r w:rsidRPr="00E00538">
        <w:t>.</w:t>
      </w:r>
    </w:p>
    <w:p w14:paraId="05222CE0" w14:textId="77777777" w:rsidR="00147E4E" w:rsidRDefault="00147E4E" w:rsidP="00147E4E">
      <w:pPr>
        <w:pStyle w:val="ListNumber4"/>
      </w:pPr>
      <w:r w:rsidRPr="00213431">
        <w:t>How much (dollar value) co-investment and any additional investment has been leveraged by the grant?</w:t>
      </w:r>
    </w:p>
    <w:p w14:paraId="0B203C49" w14:textId="77777777" w:rsidR="00147E4E" w:rsidRDefault="00147E4E" w:rsidP="00147E4E">
      <w:pPr>
        <w:pStyle w:val="ListNumber4"/>
      </w:pPr>
      <w:r>
        <w:t>H</w:t>
      </w:r>
      <w:r w:rsidRPr="00BC2056">
        <w:t xml:space="preserve">ow has this </w:t>
      </w:r>
      <w:r>
        <w:t>co-investment and additional investment supported</w:t>
      </w:r>
      <w:r w:rsidRPr="00BC2056">
        <w:t xml:space="preserve"> your project?</w:t>
      </w:r>
    </w:p>
    <w:p w14:paraId="6EB564C1" w14:textId="77777777" w:rsidR="00147E4E" w:rsidRDefault="00147E4E" w:rsidP="00147E4E">
      <w:pPr>
        <w:pStyle w:val="ListNumber4"/>
      </w:pPr>
      <w:r>
        <w:t xml:space="preserve">Describe your engagement and collaboration with any external stakeholders during your project. </w:t>
      </w:r>
    </w:p>
    <w:p w14:paraId="3FE72EB5" w14:textId="77777777" w:rsidR="00147E4E" w:rsidRDefault="00147E4E" w:rsidP="00147E4E">
      <w:pPr>
        <w:pStyle w:val="ListNumber4"/>
        <w:numPr>
          <w:ilvl w:val="0"/>
          <w:numId w:val="0"/>
        </w:numPr>
        <w:ind w:left="720"/>
      </w:pPr>
      <w:r>
        <w:lastRenderedPageBreak/>
        <w:t>If relevant, describe level of stakeholder interest in your solution and its use.</w:t>
      </w:r>
    </w:p>
    <w:p w14:paraId="3CEC9A7E" w14:textId="22F7B37E" w:rsidR="00147E4E" w:rsidRDefault="00147E4E" w:rsidP="00147E4E">
      <w:pPr>
        <w:pStyle w:val="ListNumber4"/>
        <w:numPr>
          <w:ilvl w:val="0"/>
          <w:numId w:val="0"/>
        </w:numPr>
        <w:ind w:left="720"/>
        <w:rPr>
          <w:highlight w:val="yellow"/>
        </w:rPr>
      </w:pPr>
      <w:r>
        <w:t>If relevant, from your engagement and/or collaboration with land holders describe the extent of engagement, outcomes, feedback and interest expressed in using the technology.</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7"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5BB8F7D" w14:textId="77777777" w:rsidR="005F1A9F" w:rsidRPr="00C3370A" w:rsidRDefault="005F1A9F" w:rsidP="005F1A9F">
      <w:pPr>
        <w:pStyle w:val="ListNumber4"/>
      </w:pPr>
      <w:r w:rsidRPr="00C3370A">
        <w:t>How many employees do you currently employ (headcount)?</w:t>
      </w:r>
    </w:p>
    <w:p w14:paraId="377C9942" w14:textId="77777777" w:rsidR="005F1A9F" w:rsidRPr="005E74E6" w:rsidRDefault="005F1A9F" w:rsidP="005F1A9F">
      <w:pPr>
        <w:pStyle w:val="ListParagraph"/>
        <w:numPr>
          <w:ilvl w:val="0"/>
          <w:numId w:val="52"/>
        </w:numPr>
        <w:spacing w:after="0" w:line="240" w:lineRule="auto"/>
        <w:contextualSpacing/>
        <w:rPr>
          <w:rFonts w:cs="Arial"/>
          <w:szCs w:val="20"/>
        </w:rPr>
      </w:pPr>
      <w:r w:rsidRPr="005E74E6">
        <w:rPr>
          <w:rFonts w:cs="Arial"/>
          <w:szCs w:val="20"/>
        </w:rPr>
        <w:t>Full-time employees</w:t>
      </w:r>
    </w:p>
    <w:p w14:paraId="421053B7" w14:textId="77777777" w:rsidR="005F1A9F" w:rsidRPr="005E74E6" w:rsidRDefault="005F1A9F" w:rsidP="005F1A9F">
      <w:pPr>
        <w:pStyle w:val="ListParagraph"/>
        <w:numPr>
          <w:ilvl w:val="0"/>
          <w:numId w:val="52"/>
        </w:numPr>
        <w:spacing w:after="0" w:line="240" w:lineRule="auto"/>
        <w:contextualSpacing/>
        <w:rPr>
          <w:rFonts w:cs="Arial"/>
          <w:szCs w:val="20"/>
        </w:rPr>
      </w:pPr>
      <w:r w:rsidRPr="005E74E6">
        <w:rPr>
          <w:rFonts w:cs="Arial"/>
          <w:szCs w:val="20"/>
        </w:rPr>
        <w:t>Part-time employees</w:t>
      </w:r>
    </w:p>
    <w:p w14:paraId="07686C0D" w14:textId="77777777" w:rsidR="005F1A9F" w:rsidRDefault="005F1A9F" w:rsidP="005F1A9F">
      <w:pPr>
        <w:pStyle w:val="ListParagraph"/>
        <w:numPr>
          <w:ilvl w:val="0"/>
          <w:numId w:val="52"/>
        </w:numPr>
        <w:spacing w:after="0" w:line="240" w:lineRule="auto"/>
        <w:contextualSpacing/>
        <w:rPr>
          <w:rFonts w:cs="Arial"/>
          <w:szCs w:val="20"/>
        </w:rPr>
      </w:pPr>
      <w:r w:rsidRPr="005E74E6">
        <w:rPr>
          <w:rFonts w:cs="Arial"/>
          <w:szCs w:val="20"/>
        </w:rPr>
        <w:t>Casual employees or contractors</w:t>
      </w:r>
    </w:p>
    <w:p w14:paraId="4C05D6A9" w14:textId="77777777" w:rsidR="005F1A9F" w:rsidRPr="008765AA" w:rsidRDefault="005F1A9F" w:rsidP="005F1A9F">
      <w:pPr>
        <w:spacing w:after="0" w:line="240" w:lineRule="auto"/>
        <w:rPr>
          <w:rFonts w:cs="Arial"/>
          <w:szCs w:val="20"/>
        </w:rPr>
      </w:pPr>
    </w:p>
    <w:p w14:paraId="1708E41E" w14:textId="77777777" w:rsidR="005F1A9F" w:rsidRPr="008765AA" w:rsidRDefault="005F1A9F" w:rsidP="005F1A9F">
      <w:pPr>
        <w:spacing w:after="0" w:line="240" w:lineRule="auto"/>
        <w:ind w:left="720"/>
        <w:rPr>
          <w:rFonts w:cs="Arial"/>
          <w:szCs w:val="20"/>
        </w:rPr>
      </w:pPr>
      <w:r w:rsidRPr="004636D2">
        <w:rPr>
          <w:rFonts w:cs="Arial"/>
          <w:szCs w:val="20"/>
        </w:rPr>
        <w:t>Of the above</w:t>
      </w:r>
      <w:r>
        <w:rPr>
          <w:rFonts w:cs="Arial"/>
          <w:szCs w:val="20"/>
        </w:rPr>
        <w:t xml:space="preserve"> employees</w:t>
      </w:r>
      <w:r w:rsidRPr="004636D2">
        <w:rPr>
          <w:rFonts w:cs="Arial"/>
          <w:szCs w:val="20"/>
        </w:rPr>
        <w:t>, how many Indigenous employees do you currently employ (headcount)?</w:t>
      </w:r>
    </w:p>
    <w:p w14:paraId="6CF97FC2" w14:textId="77777777" w:rsidR="00147E4E" w:rsidRPr="00C3370A" w:rsidRDefault="00147E4E" w:rsidP="00147E4E">
      <w:pPr>
        <w:pStyle w:val="ListNumber4"/>
      </w:pPr>
      <w:r w:rsidRPr="00213431">
        <w:t xml:space="preserve">How many new employees (headcount) have you hired as a result of your organisation’s participation in this project?   </w:t>
      </w:r>
    </w:p>
    <w:p w14:paraId="3AA72858" w14:textId="77777777" w:rsidR="00147E4E" w:rsidRPr="005E74E6" w:rsidRDefault="00147E4E" w:rsidP="00147E4E">
      <w:pPr>
        <w:pStyle w:val="ListParagraph"/>
        <w:numPr>
          <w:ilvl w:val="0"/>
          <w:numId w:val="51"/>
        </w:numPr>
        <w:spacing w:after="0" w:line="240" w:lineRule="auto"/>
        <w:contextualSpacing/>
        <w:rPr>
          <w:rFonts w:cs="Arial"/>
          <w:szCs w:val="20"/>
        </w:rPr>
      </w:pPr>
      <w:r w:rsidRPr="005E74E6">
        <w:rPr>
          <w:rFonts w:cs="Arial"/>
          <w:szCs w:val="20"/>
        </w:rPr>
        <w:t>Full-time employees</w:t>
      </w:r>
    </w:p>
    <w:p w14:paraId="39C37CFA" w14:textId="77777777" w:rsidR="00147E4E" w:rsidRPr="005E74E6" w:rsidRDefault="00147E4E" w:rsidP="00147E4E">
      <w:pPr>
        <w:pStyle w:val="ListParagraph"/>
        <w:numPr>
          <w:ilvl w:val="0"/>
          <w:numId w:val="51"/>
        </w:numPr>
        <w:spacing w:after="0" w:line="240" w:lineRule="auto"/>
        <w:contextualSpacing/>
        <w:rPr>
          <w:rFonts w:cs="Arial"/>
          <w:szCs w:val="20"/>
        </w:rPr>
      </w:pPr>
      <w:r w:rsidRPr="005E74E6">
        <w:rPr>
          <w:rFonts w:cs="Arial"/>
          <w:szCs w:val="20"/>
        </w:rPr>
        <w:t>Part-time employees</w:t>
      </w:r>
    </w:p>
    <w:p w14:paraId="1B9E67D4" w14:textId="77777777" w:rsidR="00147E4E" w:rsidRDefault="00147E4E" w:rsidP="00147E4E">
      <w:pPr>
        <w:pStyle w:val="ListParagraph"/>
        <w:numPr>
          <w:ilvl w:val="0"/>
          <w:numId w:val="51"/>
        </w:numPr>
        <w:spacing w:after="0" w:line="240" w:lineRule="auto"/>
        <w:contextualSpacing/>
        <w:rPr>
          <w:rFonts w:cs="Arial"/>
          <w:szCs w:val="20"/>
        </w:rPr>
      </w:pPr>
      <w:r w:rsidRPr="005E74E6">
        <w:rPr>
          <w:rFonts w:cs="Arial"/>
          <w:szCs w:val="20"/>
        </w:rPr>
        <w:t>Casual employees or contractors</w:t>
      </w:r>
    </w:p>
    <w:p w14:paraId="2701DDCC" w14:textId="77777777" w:rsidR="00147E4E" w:rsidRPr="008765AA" w:rsidRDefault="00147E4E" w:rsidP="00147E4E">
      <w:pPr>
        <w:spacing w:after="0" w:line="240" w:lineRule="auto"/>
        <w:rPr>
          <w:rFonts w:cs="Arial"/>
          <w:szCs w:val="20"/>
        </w:rPr>
      </w:pPr>
    </w:p>
    <w:p w14:paraId="0DA6B447" w14:textId="77777777" w:rsidR="00147E4E" w:rsidRPr="00213431" w:rsidRDefault="00147E4E" w:rsidP="00147E4E">
      <w:pPr>
        <w:pStyle w:val="ListNumber4"/>
        <w:numPr>
          <w:ilvl w:val="0"/>
          <w:numId w:val="0"/>
        </w:numPr>
        <w:ind w:left="720"/>
      </w:pPr>
      <w:r w:rsidRPr="00213431">
        <w:t>Of the above employees, how many new Indigenous employees do you currently employ (headcount)?</w:t>
      </w:r>
    </w:p>
    <w:p w14:paraId="1381F70C" w14:textId="77777777" w:rsidR="00147E4E" w:rsidRDefault="00147E4E" w:rsidP="00147E4E">
      <w:pPr>
        <w:pStyle w:val="ListNumber4"/>
      </w:pPr>
      <w:r w:rsidRPr="005E74E6">
        <w:t>How much (dollar value) co-investment and any additional investment has been leveraged by the grant?</w:t>
      </w:r>
    </w:p>
    <w:p w14:paraId="7BEF47DF" w14:textId="77777777" w:rsidR="00147E4E" w:rsidRDefault="00147E4E" w:rsidP="00147E4E">
      <w:pPr>
        <w:pStyle w:val="ListNumber4"/>
      </w:pPr>
      <w:r>
        <w:t>H</w:t>
      </w:r>
      <w:r w:rsidRPr="00BC2056">
        <w:t xml:space="preserve">ow has this </w:t>
      </w:r>
      <w:r>
        <w:t>co-investment and additional investment supported</w:t>
      </w:r>
      <w:r w:rsidRPr="00BC2056">
        <w:t xml:space="preserve"> your project?</w:t>
      </w:r>
    </w:p>
    <w:p w14:paraId="25A51EEA" w14:textId="77777777" w:rsidR="00147E4E" w:rsidRDefault="00147E4E" w:rsidP="00147E4E">
      <w:pPr>
        <w:framePr w:hSpace="180" w:wrap="around" w:vAnchor="text" w:hAnchor="text" w:y="1"/>
        <w:spacing w:after="0" w:line="240" w:lineRule="auto"/>
        <w:ind w:left="720"/>
        <w:contextualSpacing/>
        <w:suppressOverlap/>
        <w:rPr>
          <w:rFonts w:cs="Arial"/>
          <w:szCs w:val="20"/>
        </w:rPr>
      </w:pPr>
    </w:p>
    <w:p w14:paraId="4A9FB5DF" w14:textId="77777777" w:rsidR="00147E4E" w:rsidRDefault="00147E4E" w:rsidP="00147E4E">
      <w:pPr>
        <w:pStyle w:val="ListNumber4"/>
        <w:framePr w:hSpace="180" w:wrap="around" w:vAnchor="text" w:hAnchor="text" w:y="1"/>
        <w:suppressOverlap/>
      </w:pPr>
      <w:r w:rsidRPr="00213431">
        <w:t>Describe how your soil carbon technology will improve or ha</w:t>
      </w:r>
      <w:r>
        <w:t>s</w:t>
      </w:r>
      <w:r w:rsidRPr="00213431">
        <w:t xml:space="preserve"> improved soil carbon accounting and knowledge. </w:t>
      </w:r>
    </w:p>
    <w:p w14:paraId="6C11150F" w14:textId="77777777" w:rsidR="00147E4E" w:rsidRDefault="00147E4E" w:rsidP="00147E4E">
      <w:pPr>
        <w:pStyle w:val="ListNumber4"/>
        <w:framePr w:hSpace="180" w:wrap="around" w:vAnchor="text" w:hAnchor="text" w:y="1"/>
        <w:suppressOverlap/>
        <w:rPr>
          <w:rFonts w:cs="Arial"/>
          <w:szCs w:val="20"/>
        </w:rPr>
      </w:pPr>
      <w:r w:rsidRPr="00213431">
        <w:t xml:space="preserve">Describe your engagement and collaboration with any external stakeholders during your project. </w:t>
      </w:r>
    </w:p>
    <w:p w14:paraId="6661D39D" w14:textId="77777777" w:rsidR="00147E4E" w:rsidRDefault="00147E4E" w:rsidP="00147E4E">
      <w:pPr>
        <w:pStyle w:val="ListNumber4"/>
        <w:framePr w:hSpace="180" w:wrap="around" w:vAnchor="text" w:hAnchor="text" w:y="1"/>
        <w:numPr>
          <w:ilvl w:val="0"/>
          <w:numId w:val="0"/>
        </w:numPr>
        <w:ind w:left="720"/>
        <w:suppressOverlap/>
      </w:pPr>
      <w:r>
        <w:t>If relevant, describe level of stakeholder interest in your solution and its use.</w:t>
      </w:r>
    </w:p>
    <w:p w14:paraId="52000EEB" w14:textId="77777777" w:rsidR="00147E4E" w:rsidRDefault="00147E4E" w:rsidP="00147E4E">
      <w:pPr>
        <w:pStyle w:val="ListNumber4"/>
        <w:framePr w:hSpace="180" w:wrap="around" w:vAnchor="text" w:hAnchor="text" w:y="1"/>
        <w:numPr>
          <w:ilvl w:val="0"/>
          <w:numId w:val="0"/>
        </w:numPr>
        <w:ind w:left="720"/>
        <w:suppressOverlap/>
      </w:pPr>
      <w:r>
        <w:t xml:space="preserve">If relevant, from your engagement and/or collaboration with land holders describe the extent of engagement, outcomes, feedback and interest expressed in using the technology. </w:t>
      </w:r>
    </w:p>
    <w:p w14:paraId="674921E3" w14:textId="4A236BD5" w:rsidR="00147E4E" w:rsidRDefault="00147E4E" w:rsidP="00C46774">
      <w:pPr>
        <w:pStyle w:val="ListNumber4"/>
      </w:pPr>
      <w:r w:rsidRPr="00B01667">
        <w:t xml:space="preserve">Based on your </w:t>
      </w:r>
      <w:r>
        <w:t>activities</w:t>
      </w:r>
      <w:r w:rsidRPr="00B01667">
        <w:t xml:space="preserve">, </w:t>
      </w:r>
      <w:r>
        <w:t xml:space="preserve">provide evidence of </w:t>
      </w:r>
      <w:r w:rsidRPr="00B01667">
        <w:t xml:space="preserve">how your proposed solution demonstrates progress towards </w:t>
      </w:r>
      <w:r w:rsidR="00C46774" w:rsidRPr="00C46774">
        <w:t>lowering the cost of accurately measuring soil carbon.</w:t>
      </w:r>
      <w:r w:rsidR="00C46774">
        <w:t xml:space="preserve"> </w:t>
      </w:r>
    </w:p>
    <w:p w14:paraId="7BA5FD78" w14:textId="77777777" w:rsidR="00147E4E" w:rsidRDefault="00147E4E" w:rsidP="00147E4E">
      <w:pPr>
        <w:pStyle w:val="ListNumber4"/>
        <w:framePr w:hSpace="180" w:wrap="around" w:vAnchor="text" w:hAnchor="text" w:y="1"/>
        <w:suppressOverlap/>
      </w:pPr>
      <w:r>
        <w:t>If relevant for your project, how would your technology solution be scaled up and brought to market?</w:t>
      </w:r>
    </w:p>
    <w:p w14:paraId="29F9D609" w14:textId="6EB28345" w:rsidR="00147E4E" w:rsidRPr="00860677" w:rsidRDefault="00147E4E" w:rsidP="00147E4E">
      <w:pPr>
        <w:pStyle w:val="ListNumber4"/>
        <w:framePr w:hSpace="180" w:wrap="around" w:vAnchor="text" w:hAnchor="text" w:y="1"/>
        <w:suppressOverlap/>
        <w:rPr>
          <w:rFonts w:cs="Arial"/>
          <w:szCs w:val="20"/>
        </w:rPr>
      </w:pPr>
      <w:r w:rsidRPr="00EB5C60">
        <w:t>If relevant for your project, please attach a copy</w:t>
      </w:r>
      <w:r w:rsidR="00860677">
        <w:t xml:space="preserve"> later in this application</w:t>
      </w:r>
      <w:r w:rsidRPr="00EB5C60">
        <w:t xml:space="preserve"> (or otherwise provide evidence) of</w:t>
      </w:r>
      <w:r>
        <w:t xml:space="preserve"> project data and publications.</w:t>
      </w:r>
    </w:p>
    <w:p w14:paraId="5162CE20" w14:textId="630E5132" w:rsidR="00860677" w:rsidRPr="00860677" w:rsidRDefault="00860677" w:rsidP="00860677">
      <w:pPr>
        <w:pStyle w:val="ListNumber4"/>
        <w:framePr w:hSpace="180" w:wrap="around" w:vAnchor="text" w:hAnchor="text" w:y="1"/>
        <w:suppressOverlap/>
        <w:rPr>
          <w:rFonts w:cs="Arial"/>
          <w:szCs w:val="20"/>
        </w:rPr>
      </w:pPr>
      <w:r w:rsidRPr="00857E20">
        <w:t>Please</w:t>
      </w:r>
      <w:r>
        <w:t xml:space="preserve"> briefly</w:t>
      </w:r>
      <w:r w:rsidRPr="00857E20">
        <w:t xml:space="preserve"> describe what you are providing and any contextual information on status.</w:t>
      </w:r>
    </w:p>
    <w:p w14:paraId="7094F168" w14:textId="54893562" w:rsidR="00147E4E" w:rsidRDefault="00147E4E" w:rsidP="00147E4E">
      <w:pPr>
        <w:pStyle w:val="ListNumber4"/>
        <w:framePr w:hSpace="180" w:wrap="around" w:vAnchor="text" w:hAnchor="text" w:y="1"/>
        <w:numPr>
          <w:ilvl w:val="0"/>
          <w:numId w:val="0"/>
        </w:numPr>
        <w:spacing w:after="0" w:line="240" w:lineRule="auto"/>
        <w:ind w:left="720" w:hanging="720"/>
        <w:contextualSpacing/>
        <w:suppressOverlap/>
        <w:rPr>
          <w:rFonts w:cs="Arial"/>
          <w:szCs w:val="20"/>
        </w:rPr>
      </w:pP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0A2051B" w14:textId="77777777" w:rsidR="00147E4E" w:rsidRPr="00C3370A" w:rsidRDefault="00147E4E" w:rsidP="00147E4E">
      <w:pPr>
        <w:pStyle w:val="ListNumber4"/>
      </w:pPr>
      <w:r w:rsidRPr="00213431">
        <w:t>Did your project prove your concept and/or validate and demonstrate your technology solution through trials under a relevant or an operational environment?</w:t>
      </w:r>
    </w:p>
    <w:p w14:paraId="22AAC064" w14:textId="77777777" w:rsidR="00147E4E" w:rsidRPr="00FD4054" w:rsidRDefault="00147E4E" w:rsidP="00147E4E">
      <w:pPr>
        <w:spacing w:after="0" w:line="240" w:lineRule="auto"/>
        <w:ind w:left="360"/>
        <w:rPr>
          <w:rFonts w:cs="Arial"/>
          <w:szCs w:val="20"/>
        </w:rPr>
      </w:pPr>
      <w:r w:rsidRPr="00FD4054">
        <w:rPr>
          <w:rFonts w:cs="Arial"/>
          <w:szCs w:val="20"/>
        </w:rPr>
        <w:t>If yes, provide details on your project</w:t>
      </w:r>
      <w:r>
        <w:rPr>
          <w:rFonts w:cs="Arial"/>
          <w:szCs w:val="20"/>
        </w:rPr>
        <w:t>’s technology solution</w:t>
      </w:r>
      <w:r w:rsidRPr="00FD4054">
        <w:rPr>
          <w:rFonts w:cs="Arial"/>
          <w:szCs w:val="20"/>
        </w:rPr>
        <w:t xml:space="preserve">, including: </w:t>
      </w:r>
    </w:p>
    <w:p w14:paraId="0BA37F2B" w14:textId="77777777" w:rsidR="00147E4E" w:rsidRDefault="00147E4E" w:rsidP="00147E4E">
      <w:pPr>
        <w:pStyle w:val="ListParagraph"/>
        <w:numPr>
          <w:ilvl w:val="0"/>
          <w:numId w:val="53"/>
        </w:numPr>
        <w:spacing w:after="160" w:line="259" w:lineRule="auto"/>
        <w:ind w:left="1080"/>
        <w:contextualSpacing/>
        <w:rPr>
          <w:rFonts w:cs="Arial"/>
          <w:szCs w:val="20"/>
        </w:rPr>
      </w:pPr>
      <w:r>
        <w:rPr>
          <w:rFonts w:cs="Arial"/>
          <w:szCs w:val="20"/>
        </w:rPr>
        <w:t>how it was tested</w:t>
      </w:r>
    </w:p>
    <w:p w14:paraId="1A524900" w14:textId="77777777" w:rsidR="00147E4E" w:rsidRPr="00E85A3D" w:rsidRDefault="00147E4E" w:rsidP="00147E4E">
      <w:pPr>
        <w:pStyle w:val="ListParagraph"/>
        <w:numPr>
          <w:ilvl w:val="0"/>
          <w:numId w:val="53"/>
        </w:numPr>
        <w:spacing w:after="160" w:line="259" w:lineRule="auto"/>
        <w:ind w:left="1080"/>
        <w:contextualSpacing/>
        <w:rPr>
          <w:rFonts w:cs="Arial"/>
          <w:szCs w:val="20"/>
        </w:rPr>
      </w:pPr>
      <w:r w:rsidRPr="00E85A3D">
        <w:rPr>
          <w:rFonts w:cs="Arial"/>
          <w:szCs w:val="20"/>
        </w:rPr>
        <w:t>trial results</w:t>
      </w:r>
    </w:p>
    <w:p w14:paraId="61C73733" w14:textId="77777777" w:rsidR="00147E4E" w:rsidRPr="00FD4054" w:rsidRDefault="00147E4E" w:rsidP="00147E4E">
      <w:pPr>
        <w:pStyle w:val="ListParagraph"/>
        <w:numPr>
          <w:ilvl w:val="0"/>
          <w:numId w:val="53"/>
        </w:numPr>
        <w:spacing w:after="0" w:line="240" w:lineRule="auto"/>
        <w:ind w:left="1080"/>
        <w:contextualSpacing/>
        <w:rPr>
          <w:rFonts w:cs="Arial"/>
          <w:szCs w:val="20"/>
        </w:rPr>
      </w:pPr>
      <w:r w:rsidRPr="00FD4054">
        <w:rPr>
          <w:rFonts w:cs="Arial"/>
          <w:szCs w:val="20"/>
        </w:rPr>
        <w:t xml:space="preserve">how you demonstrated effectiveness </w:t>
      </w:r>
    </w:p>
    <w:p w14:paraId="329D9431" w14:textId="77777777" w:rsidR="00147E4E" w:rsidRDefault="00147E4E" w:rsidP="00147E4E">
      <w:pPr>
        <w:pStyle w:val="ListParagraph"/>
        <w:numPr>
          <w:ilvl w:val="0"/>
          <w:numId w:val="53"/>
        </w:numPr>
        <w:spacing w:after="0" w:line="240" w:lineRule="auto"/>
        <w:ind w:left="1080"/>
        <w:contextualSpacing/>
        <w:rPr>
          <w:rFonts w:cs="Arial"/>
          <w:szCs w:val="20"/>
        </w:rPr>
      </w:pPr>
      <w:r w:rsidRPr="00FD4054">
        <w:rPr>
          <w:rFonts w:cs="Arial"/>
          <w:szCs w:val="20"/>
        </w:rPr>
        <w:t xml:space="preserve">whether your technology solution can be </w:t>
      </w:r>
      <w:r>
        <w:rPr>
          <w:rFonts w:cs="Arial"/>
          <w:szCs w:val="20"/>
        </w:rPr>
        <w:t>used</w:t>
      </w:r>
      <w:r w:rsidRPr="00FD4054">
        <w:rPr>
          <w:rFonts w:cs="Arial"/>
          <w:szCs w:val="20"/>
        </w:rPr>
        <w:t xml:space="preserve"> in diverse farming operations</w:t>
      </w:r>
    </w:p>
    <w:p w14:paraId="624AEE85" w14:textId="77777777" w:rsidR="00147E4E" w:rsidRPr="00FD4054" w:rsidRDefault="00147E4E" w:rsidP="00147E4E">
      <w:pPr>
        <w:pStyle w:val="ListParagraph"/>
        <w:numPr>
          <w:ilvl w:val="0"/>
          <w:numId w:val="53"/>
        </w:numPr>
        <w:spacing w:after="0" w:line="240" w:lineRule="auto"/>
        <w:ind w:left="1080"/>
        <w:contextualSpacing/>
        <w:rPr>
          <w:rFonts w:cs="Arial"/>
          <w:szCs w:val="20"/>
        </w:rPr>
      </w:pPr>
      <w:r>
        <w:rPr>
          <w:rFonts w:cs="Arial"/>
          <w:szCs w:val="20"/>
        </w:rPr>
        <w:t>new knowledge developed during the process</w:t>
      </w:r>
    </w:p>
    <w:p w14:paraId="6FAD5289" w14:textId="77777777" w:rsidR="00147E4E" w:rsidRPr="00FD4054" w:rsidRDefault="00147E4E" w:rsidP="00147E4E">
      <w:pPr>
        <w:spacing w:after="0" w:line="240" w:lineRule="auto"/>
        <w:ind w:left="360"/>
        <w:rPr>
          <w:rFonts w:cs="Arial"/>
          <w:szCs w:val="20"/>
        </w:rPr>
      </w:pPr>
    </w:p>
    <w:p w14:paraId="67443306" w14:textId="77777777" w:rsidR="00147E4E" w:rsidRPr="00FD4054" w:rsidRDefault="00147E4E" w:rsidP="00147E4E">
      <w:pPr>
        <w:spacing w:after="0" w:line="240" w:lineRule="auto"/>
        <w:ind w:left="360"/>
        <w:rPr>
          <w:rFonts w:cs="Arial"/>
          <w:szCs w:val="20"/>
        </w:rPr>
      </w:pPr>
      <w:r w:rsidRPr="00FD4054">
        <w:rPr>
          <w:rFonts w:cs="Arial"/>
          <w:szCs w:val="20"/>
        </w:rPr>
        <w:t>If no, please outline the main reasons why your project was unable to validate and demonstrate your technology solution, including:</w:t>
      </w:r>
    </w:p>
    <w:p w14:paraId="1902E7F8" w14:textId="77777777" w:rsidR="00147E4E" w:rsidRDefault="00147E4E" w:rsidP="007C6D47">
      <w:pPr>
        <w:pStyle w:val="ListParagraph"/>
        <w:numPr>
          <w:ilvl w:val="0"/>
          <w:numId w:val="53"/>
        </w:numPr>
        <w:spacing w:after="160" w:line="259" w:lineRule="auto"/>
        <w:ind w:left="1080"/>
        <w:contextualSpacing/>
        <w:rPr>
          <w:rFonts w:cs="Arial"/>
          <w:szCs w:val="20"/>
        </w:rPr>
      </w:pPr>
      <w:r w:rsidRPr="00FD4054">
        <w:rPr>
          <w:rFonts w:cs="Arial"/>
          <w:szCs w:val="20"/>
        </w:rPr>
        <w:t>barriers to implementation (e.g. financial, social, technical, environmental, and/or regulatory)</w:t>
      </w:r>
    </w:p>
    <w:p w14:paraId="124B563D" w14:textId="77777777" w:rsidR="00147E4E" w:rsidRDefault="00147E4E" w:rsidP="007C6D47">
      <w:pPr>
        <w:pStyle w:val="ListParagraph"/>
        <w:numPr>
          <w:ilvl w:val="0"/>
          <w:numId w:val="53"/>
        </w:numPr>
        <w:spacing w:after="160" w:line="259" w:lineRule="auto"/>
        <w:ind w:left="1080"/>
        <w:contextualSpacing/>
        <w:rPr>
          <w:rFonts w:cs="Arial"/>
          <w:szCs w:val="20"/>
        </w:rPr>
      </w:pPr>
      <w:r w:rsidRPr="007C6D47">
        <w:rPr>
          <w:rFonts w:cs="Arial"/>
          <w:szCs w:val="20"/>
        </w:rPr>
        <w:t>why reducing or overcoming these barriers was not feasible.</w:t>
      </w:r>
    </w:p>
    <w:p w14:paraId="0A255CF7" w14:textId="7C254847" w:rsidR="00B0438D" w:rsidRPr="00CB1397" w:rsidRDefault="00B0438D" w:rsidP="001A380E">
      <w:pPr>
        <w:pStyle w:val="ListParagraph"/>
        <w:rPr>
          <w:highlight w:val="yellow"/>
        </w:rPr>
      </w:pPr>
    </w:p>
    <w:p w14:paraId="5BE8EFFB" w14:textId="77777777" w:rsidR="00147E4E" w:rsidRDefault="00147E4E" w:rsidP="00A94AEF">
      <w:pPr>
        <w:pStyle w:val="Heading5schedule"/>
      </w:pP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4BE5A5D" w14:textId="122A1CF7" w:rsidR="007C6D47" w:rsidRPr="008B3C3C" w:rsidRDefault="007C6D47" w:rsidP="007C6D47">
      <w:pPr>
        <w:pStyle w:val="ListNumber4"/>
      </w:pPr>
      <w:r>
        <w:t xml:space="preserve">Attach copies of your </w:t>
      </w:r>
      <w:r w:rsidRPr="008B3C3C">
        <w:t xml:space="preserve">peer-reviewed publication (or </w:t>
      </w:r>
      <w:r>
        <w:t xml:space="preserve">drafts, proofs or </w:t>
      </w:r>
      <w:r w:rsidRPr="008B3C3C">
        <w:t>submitted manuscript, together with the publisher’s acknowledgment) outlining the outcomes of validation and demonstration activities</w:t>
      </w:r>
      <w:r>
        <w:t>.</w:t>
      </w:r>
    </w:p>
    <w:p w14:paraId="659D6E49" w14:textId="77777777" w:rsidR="007C6D47" w:rsidRPr="005834D3" w:rsidRDefault="007C6D47" w:rsidP="007C6D47">
      <w:pPr>
        <w:pStyle w:val="ListNumber4"/>
      </w:pPr>
      <w:r>
        <w:t>Attach copies of y</w:t>
      </w:r>
      <w:r w:rsidRPr="00110AE2">
        <w:t xml:space="preserve">our </w:t>
      </w:r>
      <w:r w:rsidRPr="008B3C3C">
        <w:t xml:space="preserve">soil organic carbon stock </w:t>
      </w:r>
      <w:r w:rsidRPr="00110AE2">
        <w:t xml:space="preserve">data </w:t>
      </w:r>
      <w:r>
        <w:t>that has been collected and documented as per the Department’s data collection requirements</w:t>
      </w:r>
      <w:r w:rsidRPr="00110AE2">
        <w:t xml:space="preserve">. </w:t>
      </w:r>
      <w:r>
        <w:t xml:space="preserve">Please provide additional detail on the collection of data as required. </w:t>
      </w:r>
    </w:p>
    <w:p w14:paraId="7D21CCE5" w14:textId="23B90C3E" w:rsidR="007C6D47" w:rsidRDefault="007C6D47" w:rsidP="007C6D47">
      <w:pPr>
        <w:pStyle w:val="ListNumber4"/>
      </w:pPr>
      <w:r>
        <w:t>Attach e</w:t>
      </w:r>
      <w:r w:rsidRPr="005834D3">
        <w:t>vidence of landholder permissions for sharing geolocated data</w:t>
      </w:r>
      <w:r>
        <w:t xml:space="preserve"> (if applicable)</w:t>
      </w:r>
      <w:r w:rsidRPr="005834D3">
        <w:t xml:space="preserve">. </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0FCFDA25" w:rsidR="005E540E" w:rsidRDefault="005E540E" w:rsidP="005357E9">
      <w:pPr>
        <w:pStyle w:val="Heading3schedule2"/>
      </w:pPr>
      <w:r>
        <w:lastRenderedPageBreak/>
        <w:t xml:space="preserve">Appendix </w:t>
      </w:r>
      <w:r w:rsidR="00A57239">
        <w:t>3</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88656C" w:rsidRDefault="0088656C" w:rsidP="00685263">
      <w:pPr>
        <w:spacing w:after="0" w:line="240" w:lineRule="auto"/>
      </w:pPr>
      <w:r>
        <w:separator/>
      </w:r>
    </w:p>
  </w:endnote>
  <w:endnote w:type="continuationSeparator" w:id="0">
    <w:p w14:paraId="71FB79E2" w14:textId="77777777" w:rsidR="0088656C" w:rsidRDefault="0088656C" w:rsidP="00685263">
      <w:pPr>
        <w:spacing w:after="0" w:line="240" w:lineRule="auto"/>
      </w:pPr>
      <w:r>
        <w:continuationSeparator/>
      </w:r>
    </w:p>
  </w:endnote>
  <w:endnote w:type="continuationNotice" w:id="1">
    <w:p w14:paraId="5EA36007" w14:textId="77777777" w:rsidR="0088656C" w:rsidRDefault="00886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88656C" w:rsidRDefault="0088656C" w:rsidP="007B575F">
        <w:pPr>
          <w:pStyle w:val="Footer"/>
          <w:tabs>
            <w:tab w:val="clear" w:pos="3647"/>
            <w:tab w:val="clear" w:pos="4513"/>
            <w:tab w:val="center" w:pos="6804"/>
          </w:tabs>
        </w:pPr>
        <w:r>
          <w:t>&lt;Grant opportunity name&gt;</w:t>
        </w:r>
      </w:p>
    </w:sdtContent>
  </w:sdt>
  <w:p w14:paraId="2AB412F4" w14:textId="05616845" w:rsidR="0088656C" w:rsidRDefault="003A779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88656C">
          <w:t>Commonwealth Standard Grant Agreement</w:t>
        </w:r>
      </w:sdtContent>
    </w:sdt>
    <w:r w:rsidR="0088656C" w:rsidRPr="00694143">
      <w:tab/>
    </w:r>
    <w:r w:rsidR="001A380E">
      <w:t>February 2023</w:t>
    </w:r>
    <w:sdt>
      <w:sdtPr>
        <w:id w:val="-2050905157"/>
        <w:docPartObj>
          <w:docPartGallery w:val="Page Numbers (Top of Page)"/>
          <w:docPartUnique/>
        </w:docPartObj>
      </w:sdtPr>
      <w:sdtEndPr/>
      <w:sdtContent>
        <w:r w:rsidR="0088656C" w:rsidRPr="00694143">
          <w:tab/>
          <w:t xml:space="preserve">Page </w:t>
        </w:r>
        <w:r w:rsidR="0088656C" w:rsidRPr="00694143">
          <w:fldChar w:fldCharType="begin"/>
        </w:r>
        <w:r w:rsidR="0088656C" w:rsidRPr="00694143">
          <w:instrText xml:space="preserve"> PAGE </w:instrText>
        </w:r>
        <w:r w:rsidR="0088656C" w:rsidRPr="00694143">
          <w:fldChar w:fldCharType="separate"/>
        </w:r>
        <w:r w:rsidR="001A380E">
          <w:rPr>
            <w:noProof/>
          </w:rPr>
          <w:t>45</w:t>
        </w:r>
        <w:r w:rsidR="0088656C" w:rsidRPr="00694143">
          <w:fldChar w:fldCharType="end"/>
        </w:r>
        <w:r w:rsidR="0088656C" w:rsidRPr="00694143">
          <w:t xml:space="preserve"> of </w:t>
        </w:r>
        <w:r w:rsidR="0088656C">
          <w:rPr>
            <w:noProof/>
          </w:rPr>
          <w:fldChar w:fldCharType="begin"/>
        </w:r>
        <w:r w:rsidR="0088656C">
          <w:rPr>
            <w:noProof/>
          </w:rPr>
          <w:instrText xml:space="preserve"> NUMPAGES  \* Arabic  \* MERGEFORMAT </w:instrText>
        </w:r>
        <w:r w:rsidR="0088656C">
          <w:rPr>
            <w:noProof/>
          </w:rPr>
          <w:fldChar w:fldCharType="separate"/>
        </w:r>
        <w:r w:rsidR="001A380E">
          <w:rPr>
            <w:noProof/>
          </w:rPr>
          <w:t>45</w:t>
        </w:r>
        <w:r w:rsidR="0088656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88656C" w:rsidRDefault="0088656C" w:rsidP="00685263">
      <w:pPr>
        <w:spacing w:after="0" w:line="240" w:lineRule="auto"/>
      </w:pPr>
      <w:r>
        <w:separator/>
      </w:r>
    </w:p>
  </w:footnote>
  <w:footnote w:type="continuationSeparator" w:id="0">
    <w:p w14:paraId="124F60E2" w14:textId="77777777" w:rsidR="0088656C" w:rsidRDefault="0088656C" w:rsidP="00685263">
      <w:pPr>
        <w:spacing w:after="0" w:line="240" w:lineRule="auto"/>
      </w:pPr>
      <w:r>
        <w:continuationSeparator/>
      </w:r>
    </w:p>
  </w:footnote>
  <w:footnote w:type="continuationNotice" w:id="1">
    <w:p w14:paraId="7E182442" w14:textId="77777777" w:rsidR="0088656C" w:rsidRDefault="0088656C">
      <w:pPr>
        <w:spacing w:after="0" w:line="240" w:lineRule="auto"/>
      </w:pPr>
    </w:p>
  </w:footnote>
  <w:footnote w:id="2">
    <w:p w14:paraId="5B80ED41" w14:textId="77777777" w:rsidR="0088656C" w:rsidRPr="00ED1BAA" w:rsidRDefault="0088656C"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88656C" w:rsidRDefault="003A779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88656C" w:rsidRPr="0097777E" w:rsidRDefault="0088656C"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3A7799">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88656C" w:rsidRDefault="003A779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88656C" w:rsidRDefault="003A779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88656C" w:rsidRPr="005056CD" w:rsidRDefault="003A779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88656C" w:rsidRDefault="003A779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88656C" w:rsidRDefault="003A779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88656C" w:rsidRPr="00F301C1" w:rsidRDefault="003A779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8656C"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88656C" w:rsidRDefault="003A779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626FAF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2D44F9"/>
    <w:multiLevelType w:val="hybridMultilevel"/>
    <w:tmpl w:val="253E39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76E2BF2"/>
    <w:multiLevelType w:val="hybridMultilevel"/>
    <w:tmpl w:val="DA66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3C10AC"/>
    <w:multiLevelType w:val="hybridMultilevel"/>
    <w:tmpl w:val="76645D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E4E5B7B"/>
    <w:multiLevelType w:val="hybridMultilevel"/>
    <w:tmpl w:val="253E3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F63944"/>
    <w:multiLevelType w:val="hybridMultilevel"/>
    <w:tmpl w:val="2870D8C0"/>
    <w:lvl w:ilvl="0" w:tplc="B400D984">
      <w:start w:val="23"/>
      <w:numFmt w:val="bullet"/>
      <w:lvlText w:val="-"/>
      <w:lvlJc w:val="left"/>
      <w:pPr>
        <w:ind w:left="1760" w:hanging="360"/>
      </w:pPr>
      <w:rPr>
        <w:rFonts w:ascii="Calibri" w:eastAsia="Calibri" w:hAnsi="Calibri" w:cs="Calibri" w:hint="default"/>
      </w:rPr>
    </w:lvl>
    <w:lvl w:ilvl="1" w:tplc="0C090003" w:tentative="1">
      <w:start w:val="1"/>
      <w:numFmt w:val="bullet"/>
      <w:lvlText w:val="o"/>
      <w:lvlJc w:val="left"/>
      <w:pPr>
        <w:ind w:left="2480" w:hanging="360"/>
      </w:pPr>
      <w:rPr>
        <w:rFonts w:ascii="Courier New" w:hAnsi="Courier New" w:cs="Courier New" w:hint="default"/>
      </w:rPr>
    </w:lvl>
    <w:lvl w:ilvl="2" w:tplc="0C090005" w:tentative="1">
      <w:start w:val="1"/>
      <w:numFmt w:val="bullet"/>
      <w:lvlText w:val=""/>
      <w:lvlJc w:val="left"/>
      <w:pPr>
        <w:ind w:left="3200" w:hanging="360"/>
      </w:pPr>
      <w:rPr>
        <w:rFonts w:ascii="Wingdings" w:hAnsi="Wingdings" w:hint="default"/>
      </w:rPr>
    </w:lvl>
    <w:lvl w:ilvl="3" w:tplc="0C090001" w:tentative="1">
      <w:start w:val="1"/>
      <w:numFmt w:val="bullet"/>
      <w:lvlText w:val=""/>
      <w:lvlJc w:val="left"/>
      <w:pPr>
        <w:ind w:left="3920" w:hanging="360"/>
      </w:pPr>
      <w:rPr>
        <w:rFonts w:ascii="Symbol" w:hAnsi="Symbol" w:hint="default"/>
      </w:rPr>
    </w:lvl>
    <w:lvl w:ilvl="4" w:tplc="0C090003" w:tentative="1">
      <w:start w:val="1"/>
      <w:numFmt w:val="bullet"/>
      <w:lvlText w:val="o"/>
      <w:lvlJc w:val="left"/>
      <w:pPr>
        <w:ind w:left="4640" w:hanging="360"/>
      </w:pPr>
      <w:rPr>
        <w:rFonts w:ascii="Courier New" w:hAnsi="Courier New" w:cs="Courier New" w:hint="default"/>
      </w:rPr>
    </w:lvl>
    <w:lvl w:ilvl="5" w:tplc="0C090005" w:tentative="1">
      <w:start w:val="1"/>
      <w:numFmt w:val="bullet"/>
      <w:lvlText w:val=""/>
      <w:lvlJc w:val="left"/>
      <w:pPr>
        <w:ind w:left="5360" w:hanging="360"/>
      </w:pPr>
      <w:rPr>
        <w:rFonts w:ascii="Wingdings" w:hAnsi="Wingdings" w:hint="default"/>
      </w:rPr>
    </w:lvl>
    <w:lvl w:ilvl="6" w:tplc="0C090001" w:tentative="1">
      <w:start w:val="1"/>
      <w:numFmt w:val="bullet"/>
      <w:lvlText w:val=""/>
      <w:lvlJc w:val="left"/>
      <w:pPr>
        <w:ind w:left="6080" w:hanging="360"/>
      </w:pPr>
      <w:rPr>
        <w:rFonts w:ascii="Symbol" w:hAnsi="Symbol" w:hint="default"/>
      </w:rPr>
    </w:lvl>
    <w:lvl w:ilvl="7" w:tplc="0C090003" w:tentative="1">
      <w:start w:val="1"/>
      <w:numFmt w:val="bullet"/>
      <w:lvlText w:val="o"/>
      <w:lvlJc w:val="left"/>
      <w:pPr>
        <w:ind w:left="6800" w:hanging="360"/>
      </w:pPr>
      <w:rPr>
        <w:rFonts w:ascii="Courier New" w:hAnsi="Courier New" w:cs="Courier New" w:hint="default"/>
      </w:rPr>
    </w:lvl>
    <w:lvl w:ilvl="8" w:tplc="0C090005" w:tentative="1">
      <w:start w:val="1"/>
      <w:numFmt w:val="bullet"/>
      <w:lvlText w:val=""/>
      <w:lvlJc w:val="left"/>
      <w:pPr>
        <w:ind w:left="7520" w:hanging="360"/>
      </w:pPr>
      <w:rPr>
        <w:rFonts w:ascii="Wingdings" w:hAnsi="Wingdings" w:hint="default"/>
      </w:r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3AC14A9"/>
    <w:multiLevelType w:val="hybridMultilevel"/>
    <w:tmpl w:val="BDF29CF4"/>
    <w:lvl w:ilvl="0" w:tplc="0C090001">
      <w:start w:val="1"/>
      <w:numFmt w:val="bullet"/>
      <w:lvlText w:val=""/>
      <w:lvlJc w:val="left"/>
      <w:pPr>
        <w:ind w:left="1760" w:hanging="360"/>
      </w:pPr>
      <w:rPr>
        <w:rFonts w:ascii="Symbol" w:hAnsi="Symbol" w:hint="default"/>
      </w:rPr>
    </w:lvl>
    <w:lvl w:ilvl="1" w:tplc="0C090003" w:tentative="1">
      <w:start w:val="1"/>
      <w:numFmt w:val="bullet"/>
      <w:lvlText w:val="o"/>
      <w:lvlJc w:val="left"/>
      <w:pPr>
        <w:ind w:left="2480" w:hanging="360"/>
      </w:pPr>
      <w:rPr>
        <w:rFonts w:ascii="Courier New" w:hAnsi="Courier New" w:cs="Courier New" w:hint="default"/>
      </w:rPr>
    </w:lvl>
    <w:lvl w:ilvl="2" w:tplc="0C090005" w:tentative="1">
      <w:start w:val="1"/>
      <w:numFmt w:val="bullet"/>
      <w:lvlText w:val=""/>
      <w:lvlJc w:val="left"/>
      <w:pPr>
        <w:ind w:left="3200" w:hanging="360"/>
      </w:pPr>
      <w:rPr>
        <w:rFonts w:ascii="Wingdings" w:hAnsi="Wingdings" w:hint="default"/>
      </w:rPr>
    </w:lvl>
    <w:lvl w:ilvl="3" w:tplc="0C090001" w:tentative="1">
      <w:start w:val="1"/>
      <w:numFmt w:val="bullet"/>
      <w:lvlText w:val=""/>
      <w:lvlJc w:val="left"/>
      <w:pPr>
        <w:ind w:left="3920" w:hanging="360"/>
      </w:pPr>
      <w:rPr>
        <w:rFonts w:ascii="Symbol" w:hAnsi="Symbol" w:hint="default"/>
      </w:rPr>
    </w:lvl>
    <w:lvl w:ilvl="4" w:tplc="0C090003" w:tentative="1">
      <w:start w:val="1"/>
      <w:numFmt w:val="bullet"/>
      <w:lvlText w:val="o"/>
      <w:lvlJc w:val="left"/>
      <w:pPr>
        <w:ind w:left="4640" w:hanging="360"/>
      </w:pPr>
      <w:rPr>
        <w:rFonts w:ascii="Courier New" w:hAnsi="Courier New" w:cs="Courier New" w:hint="default"/>
      </w:rPr>
    </w:lvl>
    <w:lvl w:ilvl="5" w:tplc="0C090005" w:tentative="1">
      <w:start w:val="1"/>
      <w:numFmt w:val="bullet"/>
      <w:lvlText w:val=""/>
      <w:lvlJc w:val="left"/>
      <w:pPr>
        <w:ind w:left="5360" w:hanging="360"/>
      </w:pPr>
      <w:rPr>
        <w:rFonts w:ascii="Wingdings" w:hAnsi="Wingdings" w:hint="default"/>
      </w:rPr>
    </w:lvl>
    <w:lvl w:ilvl="6" w:tplc="0C090001" w:tentative="1">
      <w:start w:val="1"/>
      <w:numFmt w:val="bullet"/>
      <w:lvlText w:val=""/>
      <w:lvlJc w:val="left"/>
      <w:pPr>
        <w:ind w:left="6080" w:hanging="360"/>
      </w:pPr>
      <w:rPr>
        <w:rFonts w:ascii="Symbol" w:hAnsi="Symbol" w:hint="default"/>
      </w:rPr>
    </w:lvl>
    <w:lvl w:ilvl="7" w:tplc="0C090003" w:tentative="1">
      <w:start w:val="1"/>
      <w:numFmt w:val="bullet"/>
      <w:lvlText w:val="o"/>
      <w:lvlJc w:val="left"/>
      <w:pPr>
        <w:ind w:left="6800" w:hanging="360"/>
      </w:pPr>
      <w:rPr>
        <w:rFonts w:ascii="Courier New" w:hAnsi="Courier New" w:cs="Courier New" w:hint="default"/>
      </w:rPr>
    </w:lvl>
    <w:lvl w:ilvl="8" w:tplc="0C090005" w:tentative="1">
      <w:start w:val="1"/>
      <w:numFmt w:val="bullet"/>
      <w:lvlText w:val=""/>
      <w:lvlJc w:val="left"/>
      <w:pPr>
        <w:ind w:left="7520" w:hanging="360"/>
      </w:pPr>
      <w:rPr>
        <w:rFonts w:ascii="Wingdings" w:hAnsi="Wingdings" w:hint="default"/>
      </w:rPr>
    </w:lvl>
  </w:abstractNum>
  <w:abstractNum w:abstractNumId="25" w15:restartNumberingAfterBreak="0">
    <w:nsid w:val="69646B61"/>
    <w:multiLevelType w:val="hybridMultilevel"/>
    <w:tmpl w:val="4552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E000B0C"/>
    <w:multiLevelType w:val="hybridMultilevel"/>
    <w:tmpl w:val="253E39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12"/>
  </w:num>
  <w:num w:numId="3">
    <w:abstractNumId w:val="5"/>
  </w:num>
  <w:num w:numId="4">
    <w:abstractNumId w:val="4"/>
  </w:num>
  <w:num w:numId="5">
    <w:abstractNumId w:val="8"/>
  </w:num>
  <w:num w:numId="6">
    <w:abstractNumId w:val="1"/>
  </w:num>
  <w:num w:numId="7">
    <w:abstractNumId w:val="15"/>
  </w:num>
  <w:num w:numId="8">
    <w:abstractNumId w:val="6"/>
  </w:num>
  <w:num w:numId="9">
    <w:abstractNumId w:val="22"/>
  </w:num>
  <w:num w:numId="10">
    <w:abstractNumId w:val="28"/>
  </w:num>
  <w:num w:numId="11">
    <w:abstractNumId w:val="9"/>
  </w:num>
  <w:num w:numId="12">
    <w:abstractNumId w:val="10"/>
  </w:num>
  <w:num w:numId="13">
    <w:abstractNumId w:val="27"/>
  </w:num>
  <w:num w:numId="14">
    <w:abstractNumId w:val="30"/>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4"/>
  </w:num>
  <w:num w:numId="49">
    <w:abstractNumId w:val="21"/>
  </w:num>
  <w:num w:numId="50">
    <w:abstractNumId w:val="20"/>
  </w:num>
  <w:num w:numId="51">
    <w:abstractNumId w:val="31"/>
  </w:num>
  <w:num w:numId="52">
    <w:abstractNumId w:val="7"/>
  </w:num>
  <w:num w:numId="53">
    <w:abstractNumId w:val="25"/>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65D"/>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47E4E"/>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80E"/>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34B"/>
    <w:rsid w:val="002138B1"/>
    <w:rsid w:val="00214414"/>
    <w:rsid w:val="0021505B"/>
    <w:rsid w:val="00216E1A"/>
    <w:rsid w:val="00217007"/>
    <w:rsid w:val="00220609"/>
    <w:rsid w:val="00223668"/>
    <w:rsid w:val="00224AD3"/>
    <w:rsid w:val="00225469"/>
    <w:rsid w:val="00225F22"/>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A7799"/>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2A95"/>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984"/>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9C9"/>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0D90"/>
    <w:rsid w:val="005F1A9F"/>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8ED"/>
    <w:rsid w:val="00614E24"/>
    <w:rsid w:val="00616B42"/>
    <w:rsid w:val="00616CC1"/>
    <w:rsid w:val="00616DBE"/>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4CB"/>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6D47"/>
    <w:rsid w:val="007C7342"/>
    <w:rsid w:val="007D0605"/>
    <w:rsid w:val="007D1519"/>
    <w:rsid w:val="007D5160"/>
    <w:rsid w:val="007D554D"/>
    <w:rsid w:val="007D73B5"/>
    <w:rsid w:val="007E079F"/>
    <w:rsid w:val="007E0C1C"/>
    <w:rsid w:val="007E0F8B"/>
    <w:rsid w:val="007E2582"/>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7F7BD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677"/>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656C"/>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5541"/>
    <w:rsid w:val="00A561C7"/>
    <w:rsid w:val="00A57239"/>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6774"/>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62D"/>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196F"/>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number Paragraph"/>
    <w:basedOn w:val="Normal"/>
    <w:link w:val="ListParagraphChar"/>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number Paragraph Char"/>
    <w:basedOn w:val="DefaultParagraphFont"/>
    <w:link w:val="ListParagraph"/>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3A7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A2A07"/>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29F1"/>
    <w:rsid w:val="006B47DC"/>
    <w:rsid w:val="006E4433"/>
    <w:rsid w:val="006F41A9"/>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51904"/>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498dd5d2a8bab40d2d37f6de86078a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eff67e418342e6c85921bfb21de097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Props1.xml><?xml version="1.0" encoding="utf-8"?>
<ds:datastoreItem xmlns:ds="http://schemas.openxmlformats.org/officeDocument/2006/customXml" ds:itemID="{6D7A605A-6B77-43A2-B27A-3CD505461DEB}">
  <ds:schemaRefs>
    <ds:schemaRef ds:uri="http://schemas.microsoft.com/sharepoint/events"/>
  </ds:schemaRefs>
</ds:datastoreItem>
</file>

<file path=customXml/itemProps2.xml><?xml version="1.0" encoding="utf-8"?>
<ds:datastoreItem xmlns:ds="http://schemas.openxmlformats.org/officeDocument/2006/customXml" ds:itemID="{809C014F-5772-4A37-B813-84801E2FF994}">
  <ds:schemaRefs>
    <ds:schemaRef ds:uri="http://schemas.openxmlformats.org/officeDocument/2006/bibliography"/>
  </ds:schemaRefs>
</ds:datastoreItem>
</file>

<file path=customXml/itemProps3.xml><?xml version="1.0" encoding="utf-8"?>
<ds:datastoreItem xmlns:ds="http://schemas.openxmlformats.org/officeDocument/2006/customXml" ds:itemID="{F5C4C70B-1811-4936-B745-440B20806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26425AFD-325C-4091-91B1-5884B99742F3}">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4"/>
    <ds:schemaRef ds:uri="2a251b7e-61e4-4816-a71f-b295a9ad20f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12398</Words>
  <Characters>67945</Characters>
  <Application>Microsoft Office Word</Application>
  <DocSecurity>0</DocSecurity>
  <Lines>1544</Lines>
  <Paragraphs>1043</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McMahon, Emily</cp:lastModifiedBy>
  <cp:revision>3</cp:revision>
  <cp:lastPrinted>2023-02-21T02:22:00Z</cp:lastPrinted>
  <dcterms:created xsi:type="dcterms:W3CDTF">2023-02-21T00:42:00Z</dcterms:created>
  <dcterms:modified xsi:type="dcterms:W3CDTF">2023-02-21T02:22:00Z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
  </property>
</Properties>
</file>