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84" w:rsidRPr="00060F42" w:rsidRDefault="00C220A6" w:rsidP="00BC5C9C">
      <w:pPr>
        <w:pStyle w:val="Heading1"/>
      </w:pPr>
      <w:r>
        <w:t>Next Generation Manufacturing Investment</w:t>
      </w:r>
      <w:r w:rsidR="006A5415">
        <w:t xml:space="preserve"> Programme</w:t>
      </w:r>
      <w:r w:rsidR="00BC5C9C">
        <w:t xml:space="preserve">: Round 2 – </w:t>
      </w:r>
      <w:r w:rsidR="00954884">
        <w:t xml:space="preserve">Eligible Expenditure </w:t>
      </w:r>
      <w:r w:rsidR="00BC5C9C">
        <w:t>Guide</w:t>
      </w:r>
    </w:p>
    <w:p w:rsidR="00A35F51" w:rsidRDefault="00D93896" w:rsidP="006A5415">
      <w:pPr>
        <w:pStyle w:val="Normal18ptbefore"/>
      </w:pPr>
      <w:r>
        <w:t>January 2016</w:t>
      </w:r>
    </w:p>
    <w:p w:rsidR="00C220A6" w:rsidRPr="00E162FF" w:rsidRDefault="00C220A6" w:rsidP="00C220A6">
      <w:pPr>
        <w:pStyle w:val="Normal18ptbefore"/>
      </w:pPr>
      <w:r w:rsidRPr="00E162FF">
        <w:t xml:space="preserve">This </w:t>
      </w:r>
      <w:r w:rsidR="00BC5C9C">
        <w:t xml:space="preserve">document </w:t>
      </w:r>
      <w:r w:rsidR="00F641FC">
        <w:t xml:space="preserve">provides </w:t>
      </w:r>
      <w:r w:rsidR="00BC5C9C">
        <w:t xml:space="preserve">guidance </w:t>
      </w:r>
      <w:r w:rsidR="00F641FC">
        <w:t>on expenditure</w:t>
      </w:r>
      <w:r w:rsidR="00D67B67">
        <w:t xml:space="preserve"> that is eligible to be considered</w:t>
      </w:r>
      <w:r w:rsidR="00F641FC">
        <w:t xml:space="preserve"> under </w:t>
      </w:r>
      <w:r>
        <w:t>the</w:t>
      </w:r>
      <w:r>
        <w:rPr>
          <w:i/>
        </w:rPr>
        <w:t xml:space="preserve"> Next Generation Manufacturing Investment Programme</w:t>
      </w:r>
      <w:r w:rsidR="00F641FC">
        <w:rPr>
          <w:i/>
        </w:rPr>
        <w:t>.</w:t>
      </w:r>
      <w:r w:rsidRPr="00E162FF">
        <w:t xml:space="preserve"> </w:t>
      </w:r>
      <w:r>
        <w:t>You</w:t>
      </w:r>
      <w:r w:rsidRPr="00E162FF">
        <w:t xml:space="preserve"> should read this guide before completing an application form. </w:t>
      </w:r>
    </w:p>
    <w:p w:rsidR="00C108BC" w:rsidRDefault="00C108BC" w:rsidP="00077C3D"/>
    <w:p w:rsidR="003871B6" w:rsidRDefault="003871B6" w:rsidP="00077C3D">
      <w:pPr>
        <w:sectPr w:rsidR="003871B6" w:rsidSect="00077C3D">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418" w:bottom="1418" w:left="1701" w:header="709" w:footer="709" w:gutter="0"/>
          <w:cols w:space="708"/>
          <w:vAlign w:val="center"/>
          <w:titlePg/>
          <w:docGrid w:linePitch="360"/>
        </w:sectPr>
      </w:pPr>
    </w:p>
    <w:p w:rsidR="00BC5C9C" w:rsidRPr="00687422" w:rsidRDefault="00BC5C9C" w:rsidP="00687422">
      <w:pPr>
        <w:pStyle w:val="Heading2"/>
      </w:pPr>
      <w:bookmarkStart w:id="0" w:name="_Toc400608406"/>
      <w:r w:rsidRPr="00687422">
        <w:lastRenderedPageBreak/>
        <w:t>Introduction</w:t>
      </w:r>
    </w:p>
    <w:p w:rsidR="00BC5C9C" w:rsidRDefault="00954884" w:rsidP="00060F42">
      <w:pPr>
        <w:spacing w:line="280" w:lineRule="exact"/>
      </w:pPr>
      <w:bookmarkStart w:id="1" w:name="_Toc344990387"/>
      <w:bookmarkStart w:id="2" w:name="_Toc344990608"/>
      <w:bookmarkEnd w:id="0"/>
      <w:r>
        <w:t xml:space="preserve">The Next Generation Manufacturing Investment Programme: Round 2 Program Guidelines </w:t>
      </w:r>
      <w:r w:rsidR="00BC5C9C">
        <w:t xml:space="preserve">specify </w:t>
      </w:r>
      <w:r>
        <w:t xml:space="preserve">that funding under the programme will only be provided to meet eligible expenditure </w:t>
      </w:r>
      <w:r w:rsidR="00BC5C9C">
        <w:t xml:space="preserve">that is </w:t>
      </w:r>
      <w:r>
        <w:t>incurred by a Grantee</w:t>
      </w:r>
      <w:r w:rsidR="00BC5C9C">
        <w:t xml:space="preserve"> and directly attributable to approved eligible activities</w:t>
      </w:r>
      <w:r w:rsidR="0018033C">
        <w:t>.</w:t>
      </w:r>
    </w:p>
    <w:p w:rsidR="00982909" w:rsidRDefault="0018033C">
      <w:pPr>
        <w:spacing w:line="280" w:lineRule="exact"/>
      </w:pPr>
      <w:r>
        <w:t>T</w:t>
      </w:r>
      <w:r w:rsidR="00BC5C9C">
        <w:t xml:space="preserve">he </w:t>
      </w:r>
      <w:r w:rsidR="00954884">
        <w:t>Programme Guidelines</w:t>
      </w:r>
      <w:r>
        <w:t xml:space="preserve"> set out minimum requirements as to what may be considered eligible expenditure</w:t>
      </w:r>
      <w:r w:rsidR="00982909">
        <w:t xml:space="preserve"> (or not)</w:t>
      </w:r>
      <w:r w:rsidR="00F139A5">
        <w:t xml:space="preserve">. They also </w:t>
      </w:r>
      <w:r>
        <w:t xml:space="preserve">provide for </w:t>
      </w:r>
      <w:r w:rsidR="00BC5C9C">
        <w:t xml:space="preserve">the </w:t>
      </w:r>
      <w:r w:rsidR="00F139A5">
        <w:t xml:space="preserve">senior departmental employee undertaking the role of </w:t>
      </w:r>
      <w:r w:rsidR="00BF4BC4" w:rsidRPr="00C402B4">
        <w:t>Programme Delegate</w:t>
      </w:r>
      <w:r w:rsidR="00982909">
        <w:t xml:space="preserve"> to issue further guidance </w:t>
      </w:r>
      <w:r w:rsidR="00F139A5">
        <w:t>on eligible and ineligible expenditure</w:t>
      </w:r>
      <w:r w:rsidR="00982909">
        <w:t>.</w:t>
      </w:r>
    </w:p>
    <w:p w:rsidR="00982909" w:rsidRDefault="00F139A5" w:rsidP="00687422">
      <w:pPr>
        <w:pStyle w:val="Heading2"/>
      </w:pPr>
      <w:r>
        <w:t>Timing of eligible expenditure</w:t>
      </w:r>
    </w:p>
    <w:p w:rsidR="00F139A5" w:rsidRDefault="00F139A5" w:rsidP="00060F42">
      <w:pPr>
        <w:spacing w:line="280" w:lineRule="exact"/>
      </w:pPr>
      <w:r>
        <w:t>Eligible expenditure must be incurred after the date AusIndustry notifies you that your application is eligible and complete, and between the agreed project commencement and completion dates in an approved funding agreement.</w:t>
      </w:r>
    </w:p>
    <w:p w:rsidR="00BF4BC4" w:rsidRPr="00F26CAB" w:rsidRDefault="00BF4BC4" w:rsidP="00687422">
      <w:pPr>
        <w:pStyle w:val="Heading2"/>
      </w:pPr>
      <w:bookmarkStart w:id="3" w:name="_Toc400608408"/>
      <w:r w:rsidRPr="00F26CAB">
        <w:t>Plant and equipment expenditure</w:t>
      </w:r>
      <w:bookmarkEnd w:id="3"/>
    </w:p>
    <w:p w:rsidR="00BF4BC4" w:rsidRPr="00E70F2F" w:rsidRDefault="00BF4BC4" w:rsidP="00BF4BC4">
      <w:pPr>
        <w:spacing w:line="280" w:lineRule="exact"/>
        <w:rPr>
          <w:rFonts w:cs="Arial"/>
          <w:szCs w:val="20"/>
        </w:rPr>
      </w:pPr>
      <w:r w:rsidRPr="00E70F2F">
        <w:rPr>
          <w:rFonts w:cs="Arial"/>
          <w:szCs w:val="20"/>
        </w:rPr>
        <w:t>Costs of acquiring</w:t>
      </w:r>
      <w:r>
        <w:rPr>
          <w:rFonts w:cs="Arial"/>
          <w:szCs w:val="20"/>
        </w:rPr>
        <w:t xml:space="preserve"> and construction </w:t>
      </w:r>
      <w:r w:rsidRPr="00E70F2F">
        <w:rPr>
          <w:rFonts w:cs="Arial"/>
          <w:szCs w:val="20"/>
        </w:rPr>
        <w:t xml:space="preserve">of plant and equipment, as well as any related commissioning costs can be considered eligible expenditure. Any expenditure </w:t>
      </w:r>
      <w:r w:rsidR="00A20868">
        <w:rPr>
          <w:rFonts w:cs="Arial"/>
          <w:szCs w:val="20"/>
        </w:rPr>
        <w:t xml:space="preserve">incurred </w:t>
      </w:r>
      <w:r w:rsidRPr="00E70F2F">
        <w:rPr>
          <w:rFonts w:cs="Arial"/>
          <w:szCs w:val="20"/>
        </w:rPr>
        <w:t xml:space="preserve">before the </w:t>
      </w:r>
      <w:r w:rsidR="00E328F6">
        <w:rPr>
          <w:rFonts w:cs="Arial"/>
          <w:szCs w:val="20"/>
        </w:rPr>
        <w:t xml:space="preserve">agreed </w:t>
      </w:r>
      <w:r w:rsidRPr="00E70F2F">
        <w:rPr>
          <w:rFonts w:cs="Arial"/>
          <w:szCs w:val="20"/>
        </w:rPr>
        <w:t xml:space="preserve">project start date cannot be considered eligible expenditure. For any plant and equipment items that are not considered to be eligible expenditure, any related commissioning and installation costs also cannot be considered eligible expenditure.  </w:t>
      </w:r>
    </w:p>
    <w:p w:rsidR="00BF4BC4" w:rsidRPr="00E70F2F" w:rsidRDefault="00BF4BC4" w:rsidP="00BF4BC4">
      <w:pPr>
        <w:spacing w:line="280" w:lineRule="exact"/>
        <w:rPr>
          <w:rFonts w:cs="Arial"/>
          <w:szCs w:val="20"/>
        </w:rPr>
      </w:pPr>
      <w:r w:rsidRPr="00E70F2F">
        <w:rPr>
          <w:rFonts w:cs="Arial"/>
          <w:szCs w:val="20"/>
        </w:rPr>
        <w:t>Plant and equipment may be purchased, leased (finance lease or operating lease under certain conditions</w:t>
      </w:r>
      <w:r w:rsidR="00437C61">
        <w:rPr>
          <w:rFonts w:cs="Arial"/>
          <w:szCs w:val="20"/>
        </w:rPr>
        <w:t>)</w:t>
      </w:r>
      <w:r w:rsidR="00E833D7">
        <w:rPr>
          <w:rFonts w:cs="Arial"/>
          <w:szCs w:val="20"/>
        </w:rPr>
        <w:t xml:space="preserve"> </w:t>
      </w:r>
      <w:r>
        <w:rPr>
          <w:rFonts w:cs="Arial"/>
          <w:szCs w:val="20"/>
        </w:rPr>
        <w:t>or built</w:t>
      </w:r>
      <w:r w:rsidRPr="00E70F2F">
        <w:rPr>
          <w:rFonts w:cs="Arial"/>
          <w:szCs w:val="20"/>
        </w:rPr>
        <w:t>. You can only claim the purchase price of capital items, taking out any costs associated with financing, including interest. You can also claim related freight and installation costs where they are considered capital expenditure.</w:t>
      </w:r>
    </w:p>
    <w:p w:rsidR="00BF4BC4" w:rsidRPr="00E70F2F" w:rsidRDefault="00BF4BC4" w:rsidP="00BF4BC4">
      <w:pPr>
        <w:spacing w:line="280" w:lineRule="exact"/>
        <w:rPr>
          <w:rFonts w:cs="Arial"/>
          <w:szCs w:val="20"/>
        </w:rPr>
      </w:pPr>
      <w:r w:rsidRPr="00E70F2F">
        <w:rPr>
          <w:rFonts w:cs="Arial"/>
          <w:szCs w:val="20"/>
        </w:rPr>
        <w:t>Costs for plant and equipment will normally need to be on your balance sheet in order to be considered eligible.</w:t>
      </w:r>
    </w:p>
    <w:p w:rsidR="00BF4BC4" w:rsidRPr="00E70F2F" w:rsidRDefault="00BF4BC4" w:rsidP="00BF4BC4">
      <w:pPr>
        <w:spacing w:line="280" w:lineRule="exact"/>
        <w:rPr>
          <w:rFonts w:cs="Arial"/>
          <w:szCs w:val="20"/>
        </w:rPr>
      </w:pPr>
      <w:r w:rsidRPr="00E70F2F">
        <w:rPr>
          <w:rFonts w:cs="Arial"/>
          <w:szCs w:val="20"/>
        </w:rPr>
        <w:t xml:space="preserve">Where the </w:t>
      </w:r>
      <w:proofErr w:type="gramStart"/>
      <w:r w:rsidRPr="00E70F2F">
        <w:rPr>
          <w:rFonts w:cs="Arial"/>
          <w:szCs w:val="20"/>
        </w:rPr>
        <w:t xml:space="preserve">costs for plant and equipment are not on your balance sheet, but </w:t>
      </w:r>
      <w:r w:rsidR="00A45612">
        <w:rPr>
          <w:rFonts w:cs="Arial"/>
          <w:szCs w:val="20"/>
        </w:rPr>
        <w:t>is</w:t>
      </w:r>
      <w:proofErr w:type="gramEnd"/>
      <w:r w:rsidRPr="00E70F2F">
        <w:rPr>
          <w:rFonts w:cs="Arial"/>
          <w:szCs w:val="20"/>
        </w:rPr>
        <w:t xml:space="preserve"> a cost of the project with an operating lease, </w:t>
      </w:r>
      <w:r>
        <w:rPr>
          <w:rFonts w:cs="Arial"/>
          <w:szCs w:val="20"/>
        </w:rPr>
        <w:t>they</w:t>
      </w:r>
      <w:r w:rsidRPr="00E70F2F">
        <w:rPr>
          <w:rFonts w:cs="Arial"/>
          <w:szCs w:val="20"/>
        </w:rPr>
        <w:t xml:space="preserve"> will only be considered an eligible expenditure if all of these conditions are met:</w:t>
      </w:r>
    </w:p>
    <w:p w:rsidR="00BF4BC4" w:rsidRPr="00E70F2F" w:rsidRDefault="00BF4BC4" w:rsidP="00BF4BC4">
      <w:pPr>
        <w:pStyle w:val="ListBullet"/>
        <w:rPr>
          <w:iCs/>
        </w:rPr>
      </w:pPr>
      <w:r w:rsidRPr="00E70F2F">
        <w:t>the plant or equipment will be integrated into your manufacturing process</w:t>
      </w:r>
    </w:p>
    <w:p w:rsidR="00BF4BC4" w:rsidRPr="00E70F2F" w:rsidRDefault="00BF4BC4" w:rsidP="00BF4BC4">
      <w:pPr>
        <w:pStyle w:val="ListBullet"/>
        <w:rPr>
          <w:iCs/>
        </w:rPr>
      </w:pPr>
      <w:r w:rsidRPr="00E70F2F">
        <w:t>the plant or equipment cannot be transferred and the lease period is at least 4 years</w:t>
      </w:r>
    </w:p>
    <w:p w:rsidR="00BF4BC4" w:rsidRDefault="00BF4BC4" w:rsidP="00BF4BC4">
      <w:pPr>
        <w:pStyle w:val="ListBullet"/>
        <w:rPr>
          <w:iCs/>
        </w:rPr>
      </w:pPr>
      <w:proofErr w:type="gramStart"/>
      <w:r w:rsidRPr="00E70F2F">
        <w:t>the</w:t>
      </w:r>
      <w:proofErr w:type="gramEnd"/>
      <w:r w:rsidRPr="00E70F2F">
        <w:t xml:space="preserve"> expenditure is approved during the time your application is being considered for funding.</w:t>
      </w:r>
    </w:p>
    <w:p w:rsidR="00BF4BC4" w:rsidRPr="00E70F2F" w:rsidRDefault="00BF4BC4" w:rsidP="00BC0983">
      <w:pPr>
        <w:pStyle w:val="Normal10ptbefore"/>
      </w:pPr>
      <w:r w:rsidRPr="00E70F2F">
        <w:t>If plant and equipment is financed through an operating lease, a draft lease agreement identifying the capital cost of the items and the lease period must be provided with your application.</w:t>
      </w:r>
    </w:p>
    <w:p w:rsidR="00BF4BC4" w:rsidRPr="00E70F2F" w:rsidRDefault="00BF4BC4" w:rsidP="00BF4BC4">
      <w:pPr>
        <w:spacing w:line="280" w:lineRule="exact"/>
        <w:rPr>
          <w:rFonts w:cs="Arial"/>
          <w:szCs w:val="20"/>
        </w:rPr>
      </w:pPr>
      <w:r w:rsidRPr="00E70F2F">
        <w:rPr>
          <w:rFonts w:cs="Arial"/>
          <w:szCs w:val="20"/>
        </w:rPr>
        <w:t>Where staged payments are required to purchase capital items (for example deposits, payment on installation, or payment on commissioning), the grant amount for the items can be claimed progressively in multiple milestone payments up to the end of the project period. Alternatively, you can choose to claim the full amount in a single milestone payment, once the capital item has been paid for.</w:t>
      </w:r>
    </w:p>
    <w:p w:rsidR="00BF4BC4" w:rsidRPr="00E70F2F" w:rsidRDefault="00BF4BC4" w:rsidP="00BF4BC4">
      <w:pPr>
        <w:spacing w:line="280" w:lineRule="exact"/>
        <w:rPr>
          <w:rFonts w:cs="Arial"/>
          <w:szCs w:val="20"/>
        </w:rPr>
      </w:pPr>
      <w:r w:rsidRPr="00E70F2F">
        <w:rPr>
          <w:rFonts w:cs="Arial"/>
          <w:szCs w:val="20"/>
        </w:rPr>
        <w:t>For leased items, you will need to show an executed copy of the lease which identifies the capital cost of the item and the lease period. You can receive a single payment of the full grant entitlement when:</w:t>
      </w:r>
    </w:p>
    <w:p w:rsidR="00BF4BC4" w:rsidRPr="00E70F2F" w:rsidRDefault="00BF4BC4" w:rsidP="00733797">
      <w:pPr>
        <w:pStyle w:val="ListBullet"/>
      </w:pPr>
      <w:r w:rsidRPr="00E70F2F">
        <w:t>the capital item has been received</w:t>
      </w:r>
    </w:p>
    <w:p w:rsidR="00BF4BC4" w:rsidRPr="00E70F2F" w:rsidRDefault="00BF4BC4" w:rsidP="00733797">
      <w:pPr>
        <w:pStyle w:val="ListBullet"/>
      </w:pPr>
      <w:r w:rsidRPr="00E70F2F">
        <w:t>you have entered into a formal lease agreement, and</w:t>
      </w:r>
    </w:p>
    <w:p w:rsidR="00BF4BC4" w:rsidRPr="00E70F2F" w:rsidRDefault="00BF4BC4" w:rsidP="00733797">
      <w:pPr>
        <w:pStyle w:val="ListBullet"/>
      </w:pPr>
      <w:proofErr w:type="gramStart"/>
      <w:r w:rsidRPr="00E70F2F">
        <w:t>the</w:t>
      </w:r>
      <w:proofErr w:type="gramEnd"/>
      <w:r w:rsidRPr="00E70F2F">
        <w:t xml:space="preserve"> initial payment has been made.</w:t>
      </w:r>
    </w:p>
    <w:p w:rsidR="00BF4BC4" w:rsidRPr="00E70F2F" w:rsidRDefault="00BF4BC4" w:rsidP="00BC0983">
      <w:pPr>
        <w:pStyle w:val="Normal10ptbefore"/>
      </w:pPr>
      <w:r w:rsidRPr="00E70F2F">
        <w:lastRenderedPageBreak/>
        <w:t>Expenditure on plant and equipment may be shown by providing evidence of:</w:t>
      </w:r>
    </w:p>
    <w:p w:rsidR="00BF4BC4" w:rsidRPr="00E70F2F" w:rsidRDefault="00BF4BC4" w:rsidP="00733797">
      <w:pPr>
        <w:pStyle w:val="ListBullet"/>
        <w:rPr>
          <w:iCs/>
        </w:rPr>
      </w:pPr>
      <w:r w:rsidRPr="00E70F2F">
        <w:t>purchase price</w:t>
      </w:r>
    </w:p>
    <w:p w:rsidR="00BF4BC4" w:rsidRPr="00E70F2F" w:rsidRDefault="00BF4BC4" w:rsidP="00733797">
      <w:pPr>
        <w:pStyle w:val="ListBullet"/>
        <w:rPr>
          <w:iCs/>
        </w:rPr>
      </w:pPr>
      <w:r w:rsidRPr="00E70F2F">
        <w:t>payments (e.g. tax invoices and receipts from suppliers confirming payment)</w:t>
      </w:r>
    </w:p>
    <w:p w:rsidR="00BF4BC4" w:rsidRPr="00E70F2F" w:rsidRDefault="00BF4BC4" w:rsidP="00733797">
      <w:pPr>
        <w:pStyle w:val="ListBullet"/>
        <w:rPr>
          <w:iCs/>
        </w:rPr>
      </w:pPr>
      <w:r w:rsidRPr="00E70F2F">
        <w:t>commitment to pay for the capital item (e.g. supplier contract, purchase order or executed lease agreement)</w:t>
      </w:r>
    </w:p>
    <w:p w:rsidR="00BF4BC4" w:rsidRPr="00E70F2F" w:rsidRDefault="00BF4BC4" w:rsidP="00733797">
      <w:pPr>
        <w:pStyle w:val="ListBullet"/>
        <w:rPr>
          <w:iCs/>
        </w:rPr>
      </w:pPr>
      <w:r w:rsidRPr="00E70F2F">
        <w:t>receipt of capital items (e.g. supplier or freight documents)</w:t>
      </w:r>
    </w:p>
    <w:p w:rsidR="00BF4BC4" w:rsidRPr="00E70F2F" w:rsidRDefault="00BF4BC4" w:rsidP="00733797">
      <w:pPr>
        <w:pStyle w:val="ListBullet"/>
        <w:rPr>
          <w:iCs/>
        </w:rPr>
      </w:pPr>
      <w:r w:rsidRPr="00E70F2F">
        <w:t>associated costs such as freight and installation (e.g. supplier documents)</w:t>
      </w:r>
    </w:p>
    <w:p w:rsidR="00BF4BC4" w:rsidRPr="00E70F2F" w:rsidRDefault="00BF4BC4" w:rsidP="00733797">
      <w:pPr>
        <w:pStyle w:val="ListBullet"/>
        <w:rPr>
          <w:iCs/>
        </w:rPr>
      </w:pPr>
      <w:proofErr w:type="gramStart"/>
      <w:r w:rsidRPr="00E70F2F">
        <w:t>the</w:t>
      </w:r>
      <w:proofErr w:type="gramEnd"/>
      <w:r w:rsidRPr="00E70F2F">
        <w:t xml:space="preserve"> capital item on your premises (e.g. date stamped photographic evidence).</w:t>
      </w:r>
    </w:p>
    <w:p w:rsidR="00BF4BC4" w:rsidRPr="00E70F2F" w:rsidRDefault="00BF4BC4" w:rsidP="00BC0983">
      <w:pPr>
        <w:pStyle w:val="Normal10ptbefore"/>
      </w:pPr>
      <w:r w:rsidRPr="00E70F2F">
        <w:t>If you claim expenditure for the construction of plant and equipment, it is limited to:</w:t>
      </w:r>
    </w:p>
    <w:p w:rsidR="00BF4BC4" w:rsidRPr="00E70F2F" w:rsidRDefault="00BF4BC4" w:rsidP="00733797">
      <w:pPr>
        <w:pStyle w:val="ListBullet"/>
      </w:pPr>
      <w:r w:rsidRPr="00E70F2F">
        <w:t>the costs of materials</w:t>
      </w:r>
    </w:p>
    <w:p w:rsidR="00BF4BC4" w:rsidRPr="00E70F2F" w:rsidRDefault="00BF4BC4" w:rsidP="00733797">
      <w:pPr>
        <w:pStyle w:val="ListBullet"/>
      </w:pPr>
      <w:r w:rsidRPr="00E70F2F">
        <w:t>direct construction labour salary costs</w:t>
      </w:r>
    </w:p>
    <w:p w:rsidR="00BF4BC4" w:rsidRPr="00E70F2F" w:rsidRDefault="00BF4BC4" w:rsidP="00733797">
      <w:pPr>
        <w:pStyle w:val="ListBullet"/>
      </w:pPr>
      <w:r w:rsidRPr="00E70F2F">
        <w:t>contractor costs</w:t>
      </w:r>
    </w:p>
    <w:p w:rsidR="00BF4BC4" w:rsidRPr="00E70F2F" w:rsidRDefault="00BF4BC4" w:rsidP="00733797">
      <w:pPr>
        <w:pStyle w:val="ListBullet"/>
      </w:pPr>
      <w:proofErr w:type="gramStart"/>
      <w:r w:rsidRPr="00E70F2F">
        <w:t>freight</w:t>
      </w:r>
      <w:proofErr w:type="gramEnd"/>
      <w:r w:rsidRPr="00E70F2F">
        <w:t xml:space="preserve"> and establishment costs.  </w:t>
      </w:r>
    </w:p>
    <w:p w:rsidR="00BF4BC4" w:rsidRDefault="00BF4BC4" w:rsidP="00BC0983">
      <w:pPr>
        <w:pStyle w:val="Normal10ptbefore"/>
      </w:pPr>
      <w:r w:rsidRPr="00E70F2F">
        <w:t>Evidence for construction expenditure may include</w:t>
      </w:r>
      <w:r>
        <w:t>:</w:t>
      </w:r>
    </w:p>
    <w:p w:rsidR="00BF4BC4" w:rsidRDefault="00BC0983" w:rsidP="00BC0983">
      <w:pPr>
        <w:pStyle w:val="ListBullet"/>
      </w:pPr>
      <w:r>
        <w:t>purchase orders</w:t>
      </w:r>
    </w:p>
    <w:p w:rsidR="00BF4BC4" w:rsidRDefault="00BC0983" w:rsidP="00BC0983">
      <w:pPr>
        <w:pStyle w:val="ListBullet"/>
      </w:pPr>
      <w:r>
        <w:t>invoices</w:t>
      </w:r>
    </w:p>
    <w:p w:rsidR="00BF4BC4" w:rsidRDefault="00BC0983" w:rsidP="00BC0983">
      <w:pPr>
        <w:pStyle w:val="ListBullet"/>
      </w:pPr>
      <w:r>
        <w:t>payment documentation</w:t>
      </w:r>
    </w:p>
    <w:p w:rsidR="00BF4BC4" w:rsidRDefault="00BF4BC4" w:rsidP="00BC0983">
      <w:pPr>
        <w:pStyle w:val="ListBullet"/>
      </w:pPr>
      <w:r w:rsidRPr="000E52C1">
        <w:t>photographic evidence (date stamped) of th</w:t>
      </w:r>
      <w:r w:rsidR="00BC0983">
        <w:t>e capital item in your premises</w:t>
      </w:r>
    </w:p>
    <w:p w:rsidR="00BF4BC4" w:rsidRPr="000E52C1" w:rsidRDefault="00BC0983" w:rsidP="00BC0983">
      <w:pPr>
        <w:pStyle w:val="ListBullet"/>
      </w:pPr>
      <w:proofErr w:type="gramStart"/>
      <w:r>
        <w:t>details</w:t>
      </w:r>
      <w:proofErr w:type="gramEnd"/>
      <w:r>
        <w:t xml:space="preserve"> of labour costs.</w:t>
      </w:r>
    </w:p>
    <w:p w:rsidR="00BF4BC4" w:rsidRPr="00E70F2F" w:rsidRDefault="00BF4BC4" w:rsidP="00BC0983">
      <w:pPr>
        <w:pStyle w:val="Normal10ptbefore"/>
      </w:pPr>
      <w:r w:rsidRPr="00E70F2F">
        <w:t>There may be particular tax implications associated with grant payments for capital items. It is recommended that you consult independent professional advice on tax related matters.</w:t>
      </w:r>
    </w:p>
    <w:p w:rsidR="00BF4BC4" w:rsidRPr="0080611D" w:rsidRDefault="00BF4BC4" w:rsidP="00687422">
      <w:pPr>
        <w:pStyle w:val="Heading2"/>
      </w:pPr>
      <w:bookmarkStart w:id="4" w:name="_Toc400608409"/>
      <w:r w:rsidRPr="0080611D">
        <w:t>Labour expenditure</w:t>
      </w:r>
      <w:bookmarkEnd w:id="4"/>
    </w:p>
    <w:p w:rsidR="00BF4BC4" w:rsidRPr="00E70F2F" w:rsidRDefault="00BF4BC4" w:rsidP="00BC0983">
      <w:r w:rsidRPr="00E70F2F">
        <w:t>Eligible labour expenditure for the grant covers the direct labour costs of employees who are directly employed on the core elements of the agreed project. A person is considered an employee when they are paid a regular salary or wage, out of which regular tax i</w:t>
      </w:r>
      <w:r w:rsidR="00BC0983">
        <w:t>nstalment deductions are made.</w:t>
      </w:r>
    </w:p>
    <w:p w:rsidR="00BF4BC4" w:rsidRPr="00E70F2F" w:rsidRDefault="00BF4BC4" w:rsidP="00BC0983">
      <w:r w:rsidRPr="00E70F2F">
        <w:t>Costs for technical, but not administrative, project management activities can also be considered as eligible labour expenditure. However, these costs are limited to 10 per cent of the total amount of eligible</w:t>
      </w:r>
      <w:r w:rsidRPr="00E70F2F">
        <w:rPr>
          <w:i/>
        </w:rPr>
        <w:t xml:space="preserve"> </w:t>
      </w:r>
      <w:r w:rsidR="00BC0983">
        <w:t>labour expenditure claimed.</w:t>
      </w:r>
    </w:p>
    <w:p w:rsidR="00BF4BC4" w:rsidRPr="00E70F2F" w:rsidRDefault="00BF4BC4" w:rsidP="00BC0983">
      <w:r w:rsidRPr="00E70F2F">
        <w:t>Labour expenditure for leadership or administrative staff (such as CEOs, CFOs, accountants and lawyers) are not considered eligible expenditure, even if they are underta</w:t>
      </w:r>
      <w:r w:rsidR="00BC0983">
        <w:t>king project management tasks.</w:t>
      </w:r>
    </w:p>
    <w:p w:rsidR="00BF4BC4" w:rsidRPr="00E70F2F" w:rsidRDefault="00BF4BC4" w:rsidP="00BC0983">
      <w:r w:rsidRPr="00E70F2F">
        <w:t>Eligible salary expenditure includes an employee’s total remuneration package as stated on their Pay As You Go (PAYG) Annual Payment Summary submitted to the Australian Taxation Office (ATO). Salary-sacrificed superannuation contributions are considered part of an employee’s salary package if the amount is more than what is required by the Superannuation Guarantee.</w:t>
      </w:r>
    </w:p>
    <w:p w:rsidR="00BF4BC4" w:rsidRPr="00E70F2F" w:rsidRDefault="00BF4BC4" w:rsidP="00BC0983">
      <w:r w:rsidRPr="00E70F2F">
        <w:t xml:space="preserve">The maximum salary for an employee, director or shareholder, including packaged </w:t>
      </w:r>
      <w:proofErr w:type="gramStart"/>
      <w:r w:rsidRPr="00E70F2F">
        <w:t>components, that you can claim through the grant,</w:t>
      </w:r>
      <w:proofErr w:type="gramEnd"/>
      <w:r w:rsidRPr="00E70F2F">
        <w:t xml:space="preserve"> is $150,000 a year. This is counted as each full financial year (Jul</w:t>
      </w:r>
      <w:r w:rsidR="00BC0983">
        <w:t>y-June) of the project period.</w:t>
      </w:r>
    </w:p>
    <w:p w:rsidR="00BF4BC4" w:rsidRPr="00E70F2F" w:rsidRDefault="00BF4BC4" w:rsidP="00BC0983">
      <w:r w:rsidRPr="00E70F2F">
        <w:lastRenderedPageBreak/>
        <w:t>For periods of the project that do not make a full financial year, the maximum salary amount you can claim will be reduced in proportion to the amount of time in the part financial year the project was taking place.</w:t>
      </w:r>
    </w:p>
    <w:p w:rsidR="00BF4BC4" w:rsidRPr="00E70F2F" w:rsidRDefault="00BF4BC4" w:rsidP="00BC0983">
      <w:r w:rsidRPr="00E70F2F">
        <w:t>Eligible salary costs are incurred only when an employee is working directly on agreed project activities du</w:t>
      </w:r>
      <w:r w:rsidR="00BC0983">
        <w:t>ring the agreed project period.</w:t>
      </w:r>
    </w:p>
    <w:p w:rsidR="00BF4BC4" w:rsidRPr="0080611D" w:rsidRDefault="00BF4BC4" w:rsidP="00687422">
      <w:pPr>
        <w:pStyle w:val="Heading2"/>
      </w:pPr>
      <w:bookmarkStart w:id="5" w:name="_Toc400608410"/>
      <w:r w:rsidRPr="0080611D">
        <w:t>Labour on-costs and administrative overhead</w:t>
      </w:r>
      <w:bookmarkEnd w:id="5"/>
    </w:p>
    <w:p w:rsidR="00BF4BC4" w:rsidRPr="00E70F2F" w:rsidRDefault="00BF4BC4" w:rsidP="00BF4BC4">
      <w:pPr>
        <w:spacing w:line="280" w:lineRule="exact"/>
        <w:rPr>
          <w:rFonts w:cs="Arial"/>
          <w:szCs w:val="20"/>
        </w:rPr>
      </w:pPr>
      <w:r w:rsidRPr="00E70F2F">
        <w:rPr>
          <w:rFonts w:cs="Arial"/>
          <w:szCs w:val="20"/>
        </w:rPr>
        <w:t>Eligible salary costs can be increased by an additional 30% allowance to cover on-costs such as employer paid superannuation, payroll tax and workers compensation insurance, and overheads such as office rent and the provision of computers.</w:t>
      </w:r>
      <w:bookmarkStart w:id="6" w:name="OLE_LINK17"/>
      <w:bookmarkStart w:id="7" w:name="OLE_LINK16"/>
      <w:bookmarkEnd w:id="6"/>
      <w:bookmarkEnd w:id="7"/>
    </w:p>
    <w:p w:rsidR="00BF4BC4" w:rsidRPr="00E70F2F" w:rsidRDefault="00BF4BC4" w:rsidP="00BF4BC4">
      <w:pPr>
        <w:rPr>
          <w:rFonts w:cs="Arial"/>
          <w:szCs w:val="20"/>
        </w:rPr>
      </w:pPr>
      <w:r w:rsidRPr="00E70F2F">
        <w:rPr>
          <w:rFonts w:cs="Arial"/>
          <w:szCs w:val="20"/>
        </w:rPr>
        <w:t>Eligible salary costs must be calculated using the formula below:</w:t>
      </w:r>
    </w:p>
    <w:tbl>
      <w:tblPr>
        <w:tblW w:w="0" w:type="auto"/>
        <w:tblLayout w:type="fixed"/>
        <w:tblCellMar>
          <w:left w:w="0" w:type="dxa"/>
          <w:right w:w="0" w:type="dxa"/>
        </w:tblCellMar>
        <w:tblLook w:val="0000" w:firstRow="0" w:lastRow="0" w:firstColumn="0" w:lastColumn="0" w:noHBand="0" w:noVBand="0"/>
        <w:tblDescription w:val="This table is for formatting purposes only. It contains a formula that shows eligible salary costs are equial to the annual salary package times the number of weeks spent on project divided by 52 weeks times the percentage of time spent on the project. "/>
      </w:tblPr>
      <w:tblGrid>
        <w:gridCol w:w="1681"/>
        <w:gridCol w:w="360"/>
        <w:gridCol w:w="1556"/>
        <w:gridCol w:w="360"/>
        <w:gridCol w:w="1982"/>
        <w:gridCol w:w="360"/>
        <w:gridCol w:w="2007"/>
      </w:tblGrid>
      <w:tr w:rsidR="00BC0983" w:rsidRPr="00E162FF" w:rsidTr="00BC0983">
        <w:trPr>
          <w:cantSplit/>
        </w:trPr>
        <w:tc>
          <w:tcPr>
            <w:tcW w:w="1681" w:type="dxa"/>
            <w:vMerge w:val="restart"/>
            <w:shd w:val="clear" w:color="auto" w:fill="auto"/>
            <w:vAlign w:val="center"/>
          </w:tcPr>
          <w:p w:rsidR="00BC0983" w:rsidRPr="00E162FF" w:rsidRDefault="00BC0983" w:rsidP="00BC0983">
            <w:pPr>
              <w:keepNext/>
            </w:pPr>
            <w:bookmarkStart w:id="8" w:name="_GoBack" w:colFirst="0" w:colLast="7"/>
            <w:r w:rsidRPr="00E162FF">
              <w:t>Eligible salary costs</w:t>
            </w:r>
          </w:p>
        </w:tc>
        <w:tc>
          <w:tcPr>
            <w:tcW w:w="360" w:type="dxa"/>
            <w:vMerge w:val="restart"/>
            <w:shd w:val="clear" w:color="auto" w:fill="auto"/>
            <w:vAlign w:val="center"/>
          </w:tcPr>
          <w:p w:rsidR="00BC0983" w:rsidRPr="00E162FF" w:rsidRDefault="00BC0983" w:rsidP="00BC0983">
            <w:pPr>
              <w:keepNext/>
            </w:pPr>
            <w:r w:rsidRPr="00E162FF">
              <w:t>=</w:t>
            </w:r>
          </w:p>
        </w:tc>
        <w:tc>
          <w:tcPr>
            <w:tcW w:w="1556" w:type="dxa"/>
            <w:vMerge w:val="restart"/>
            <w:shd w:val="clear" w:color="auto" w:fill="auto"/>
            <w:vAlign w:val="center"/>
          </w:tcPr>
          <w:p w:rsidR="00BC0983" w:rsidRPr="00E162FF" w:rsidRDefault="00BC0983" w:rsidP="00BC0983">
            <w:pPr>
              <w:keepNext/>
            </w:pPr>
            <w:r w:rsidRPr="00E162FF">
              <w:t>Annual salary package</w:t>
            </w:r>
          </w:p>
        </w:tc>
        <w:tc>
          <w:tcPr>
            <w:tcW w:w="360" w:type="dxa"/>
            <w:vMerge w:val="restart"/>
            <w:shd w:val="clear" w:color="auto" w:fill="auto"/>
            <w:vAlign w:val="center"/>
          </w:tcPr>
          <w:p w:rsidR="00BC0983" w:rsidRPr="00E162FF" w:rsidRDefault="00BC0983" w:rsidP="00BC0983">
            <w:pPr>
              <w:keepNext/>
            </w:pPr>
            <w:r w:rsidRPr="00E162FF">
              <w:t>×</w:t>
            </w:r>
          </w:p>
        </w:tc>
        <w:tc>
          <w:tcPr>
            <w:tcW w:w="1982" w:type="dxa"/>
            <w:tcBorders>
              <w:bottom w:val="single" w:sz="2" w:space="0" w:color="auto"/>
            </w:tcBorders>
            <w:shd w:val="clear" w:color="auto" w:fill="auto"/>
            <w:vAlign w:val="center"/>
          </w:tcPr>
          <w:p w:rsidR="00BC0983" w:rsidRPr="00E162FF" w:rsidRDefault="00BC0983" w:rsidP="00BC0983">
            <w:pPr>
              <w:keepNext/>
              <w:jc w:val="center"/>
            </w:pPr>
            <w:r w:rsidRPr="00E162FF">
              <w:t>Weeks spent on project</w:t>
            </w:r>
          </w:p>
        </w:tc>
        <w:tc>
          <w:tcPr>
            <w:tcW w:w="360" w:type="dxa"/>
            <w:vMerge w:val="restart"/>
            <w:shd w:val="clear" w:color="auto" w:fill="auto"/>
            <w:vAlign w:val="center"/>
          </w:tcPr>
          <w:p w:rsidR="00BC0983" w:rsidRPr="00E162FF" w:rsidRDefault="00BC0983" w:rsidP="00BC0983">
            <w:pPr>
              <w:keepNext/>
            </w:pPr>
            <w:r w:rsidRPr="00E162FF">
              <w:t>×</w:t>
            </w:r>
          </w:p>
        </w:tc>
        <w:tc>
          <w:tcPr>
            <w:tcW w:w="2007" w:type="dxa"/>
            <w:vMerge w:val="restart"/>
            <w:shd w:val="clear" w:color="auto" w:fill="auto"/>
            <w:vAlign w:val="center"/>
          </w:tcPr>
          <w:p w:rsidR="00BC0983" w:rsidRPr="00E162FF" w:rsidRDefault="00BC0983" w:rsidP="00BC0983">
            <w:pPr>
              <w:keepNext/>
            </w:pPr>
            <w:r w:rsidRPr="00E162FF">
              <w:t>percentage of time spent on project</w:t>
            </w:r>
          </w:p>
        </w:tc>
      </w:tr>
      <w:tr w:rsidR="00BC0983" w:rsidRPr="00E162FF" w:rsidTr="00BC0983">
        <w:trPr>
          <w:cantSplit/>
        </w:trPr>
        <w:tc>
          <w:tcPr>
            <w:tcW w:w="1681" w:type="dxa"/>
            <w:vMerge/>
            <w:shd w:val="clear" w:color="auto" w:fill="auto"/>
          </w:tcPr>
          <w:p w:rsidR="00BC0983" w:rsidRPr="00E162FF" w:rsidRDefault="00BC0983" w:rsidP="00F17DC6"/>
        </w:tc>
        <w:tc>
          <w:tcPr>
            <w:tcW w:w="360" w:type="dxa"/>
            <w:vMerge/>
            <w:shd w:val="clear" w:color="auto" w:fill="auto"/>
          </w:tcPr>
          <w:p w:rsidR="00BC0983" w:rsidRPr="00E162FF" w:rsidRDefault="00BC0983" w:rsidP="00F17DC6"/>
        </w:tc>
        <w:tc>
          <w:tcPr>
            <w:tcW w:w="1556" w:type="dxa"/>
            <w:vMerge/>
            <w:shd w:val="clear" w:color="auto" w:fill="auto"/>
          </w:tcPr>
          <w:p w:rsidR="00BC0983" w:rsidRPr="00E162FF" w:rsidRDefault="00BC0983" w:rsidP="00F17DC6"/>
        </w:tc>
        <w:tc>
          <w:tcPr>
            <w:tcW w:w="360" w:type="dxa"/>
            <w:vMerge/>
            <w:shd w:val="clear" w:color="auto" w:fill="auto"/>
          </w:tcPr>
          <w:p w:rsidR="00BC0983" w:rsidRPr="00E162FF" w:rsidRDefault="00BC0983" w:rsidP="00F17DC6"/>
        </w:tc>
        <w:tc>
          <w:tcPr>
            <w:tcW w:w="1982" w:type="dxa"/>
            <w:tcBorders>
              <w:top w:val="single" w:sz="2" w:space="0" w:color="auto"/>
            </w:tcBorders>
            <w:shd w:val="clear" w:color="auto" w:fill="auto"/>
            <w:vAlign w:val="center"/>
          </w:tcPr>
          <w:p w:rsidR="00BC0983" w:rsidRPr="00E162FF" w:rsidRDefault="00BC0983" w:rsidP="00F17DC6">
            <w:pPr>
              <w:jc w:val="center"/>
            </w:pPr>
            <w:r w:rsidRPr="00E162FF">
              <w:t>52 weeks</w:t>
            </w:r>
          </w:p>
        </w:tc>
        <w:tc>
          <w:tcPr>
            <w:tcW w:w="360" w:type="dxa"/>
            <w:vMerge/>
            <w:shd w:val="clear" w:color="auto" w:fill="auto"/>
          </w:tcPr>
          <w:p w:rsidR="00BC0983" w:rsidRPr="00E162FF" w:rsidRDefault="00BC0983" w:rsidP="00F17DC6"/>
        </w:tc>
        <w:tc>
          <w:tcPr>
            <w:tcW w:w="2007" w:type="dxa"/>
            <w:vMerge/>
            <w:shd w:val="clear" w:color="auto" w:fill="auto"/>
          </w:tcPr>
          <w:p w:rsidR="00BC0983" w:rsidRPr="00E162FF" w:rsidRDefault="00BC0983" w:rsidP="00F17DC6"/>
        </w:tc>
      </w:tr>
    </w:tbl>
    <w:bookmarkEnd w:id="8"/>
    <w:p w:rsidR="0086749B" w:rsidRPr="004F3523" w:rsidRDefault="0086749B" w:rsidP="0086749B">
      <w:pPr>
        <w:pBdr>
          <w:top w:val="single" w:sz="2" w:space="4" w:color="auto"/>
          <w:left w:val="single" w:sz="2" w:space="4" w:color="auto"/>
          <w:bottom w:val="single" w:sz="2" w:space="4" w:color="auto"/>
          <w:right w:val="single" w:sz="2" w:space="4" w:color="auto"/>
        </w:pBdr>
        <w:shd w:val="clear" w:color="auto" w:fill="DAE5F6"/>
        <w:rPr>
          <w:b/>
        </w:rPr>
      </w:pPr>
      <w:r w:rsidRPr="004F3523">
        <w:rPr>
          <w:b/>
        </w:rPr>
        <w:t>Example</w:t>
      </w:r>
    </w:p>
    <w:p w:rsidR="0086749B" w:rsidRPr="00E162FF" w:rsidRDefault="0086749B" w:rsidP="0086749B">
      <w:pPr>
        <w:pBdr>
          <w:top w:val="single" w:sz="2" w:space="4" w:color="auto"/>
          <w:left w:val="single" w:sz="2" w:space="4" w:color="auto"/>
          <w:bottom w:val="single" w:sz="2" w:space="4" w:color="auto"/>
          <w:right w:val="single" w:sz="2" w:space="4" w:color="auto"/>
        </w:pBdr>
        <w:shd w:val="clear" w:color="auto" w:fill="DAE5F6"/>
      </w:pPr>
      <w:r w:rsidRPr="00E162FF">
        <w:t>Tim, an engineer, is paid a total annual salary package of $130,000. Tim will spend 14 weeks commissioning a new gas fired furnace. During commissioning Tim will work on eligible project activities 60 per cent of the time. The remaining 40 per cent of Tim’s time will be spent on other non-project activities. Therefore eligible salary expenditure for Tim is calculated as follows:</w:t>
      </w:r>
    </w:p>
    <w:p w:rsidR="0086749B" w:rsidRPr="00E162FF" w:rsidRDefault="0086749B" w:rsidP="0086749B">
      <w:pPr>
        <w:pBdr>
          <w:top w:val="single" w:sz="2" w:space="4" w:color="auto"/>
          <w:left w:val="single" w:sz="2" w:space="4" w:color="auto"/>
          <w:bottom w:val="single" w:sz="2" w:space="4" w:color="auto"/>
          <w:right w:val="single" w:sz="2" w:space="4" w:color="auto"/>
        </w:pBdr>
        <w:shd w:val="clear" w:color="auto" w:fill="DAE5F6"/>
      </w:pPr>
      <w:r w:rsidRPr="00E162FF">
        <w:t>130,000 × 14/52 × 0.60 = $ 21,000</w:t>
      </w:r>
    </w:p>
    <w:p w:rsidR="0086749B" w:rsidRPr="00E162FF" w:rsidRDefault="0086749B" w:rsidP="0086749B">
      <w:pPr>
        <w:pStyle w:val="StyleBefore6pt"/>
        <w:pBdr>
          <w:top w:val="single" w:sz="2" w:space="4" w:color="auto"/>
          <w:left w:val="single" w:sz="2" w:space="4" w:color="auto"/>
          <w:bottom w:val="single" w:sz="2" w:space="4" w:color="auto"/>
          <w:right w:val="single" w:sz="2" w:space="4" w:color="auto"/>
        </w:pBdr>
        <w:shd w:val="clear" w:color="auto" w:fill="DAE5F6"/>
      </w:pPr>
      <w:r w:rsidRPr="00E162FF">
        <w:rPr>
          <w:b/>
        </w:rPr>
        <w:t>Plus</w:t>
      </w:r>
      <w:r w:rsidRPr="00E162FF">
        <w:t xml:space="preserve"> 30 per cent allowance for on costs and overhead</w:t>
      </w:r>
    </w:p>
    <w:p w:rsidR="0086749B" w:rsidRPr="00E162FF" w:rsidRDefault="0086749B" w:rsidP="0086749B">
      <w:pPr>
        <w:pBdr>
          <w:top w:val="single" w:sz="2" w:space="4" w:color="auto"/>
          <w:left w:val="single" w:sz="2" w:space="4" w:color="auto"/>
          <w:bottom w:val="single" w:sz="2" w:space="4" w:color="auto"/>
          <w:right w:val="single" w:sz="2" w:space="4" w:color="auto"/>
        </w:pBdr>
        <w:shd w:val="clear" w:color="auto" w:fill="DAE5F6"/>
      </w:pPr>
      <w:r w:rsidRPr="00E162FF">
        <w:t>$21,000 + (21,000 × 0.30) = $27,300</w:t>
      </w:r>
    </w:p>
    <w:p w:rsidR="0086749B" w:rsidRDefault="0086749B" w:rsidP="0086749B">
      <w:pPr>
        <w:pBdr>
          <w:top w:val="single" w:sz="2" w:space="4" w:color="auto"/>
          <w:left w:val="single" w:sz="2" w:space="4" w:color="auto"/>
          <w:bottom w:val="single" w:sz="2" w:space="4" w:color="auto"/>
          <w:right w:val="single" w:sz="2" w:space="4" w:color="auto"/>
        </w:pBdr>
        <w:shd w:val="clear" w:color="auto" w:fill="DAE5F6"/>
      </w:pPr>
      <w:r w:rsidRPr="00E162FF">
        <w:t>Therefore, total eligible salary expenditure that may be claimed for Tim is $27,300</w:t>
      </w:r>
    </w:p>
    <w:p w:rsidR="00BF4BC4" w:rsidRPr="00E70F2F" w:rsidRDefault="00BF4BC4" w:rsidP="00BF4BC4">
      <w:pPr>
        <w:rPr>
          <w:rFonts w:cs="Arial"/>
          <w:szCs w:val="20"/>
        </w:rPr>
      </w:pPr>
      <w:r w:rsidRPr="00E70F2F">
        <w:rPr>
          <w:rFonts w:cs="Arial"/>
          <w:szCs w:val="20"/>
        </w:rPr>
        <w:t>Evidence you will need to provide can include:</w:t>
      </w:r>
    </w:p>
    <w:p w:rsidR="00BF4BC4" w:rsidRPr="00E70F2F" w:rsidRDefault="00BF4BC4" w:rsidP="0086749B">
      <w:pPr>
        <w:pStyle w:val="ListBullet"/>
        <w:rPr>
          <w:iCs/>
        </w:rPr>
      </w:pPr>
      <w:bookmarkStart w:id="9" w:name="OLE_LINK22"/>
      <w:r w:rsidRPr="00E70F2F">
        <w:t>details of all personnel working on the project, including name, title, function, time spent on the project and salary</w:t>
      </w:r>
    </w:p>
    <w:bookmarkEnd w:id="9"/>
    <w:p w:rsidR="00BF4BC4" w:rsidRPr="00E70F2F" w:rsidRDefault="00BF4BC4" w:rsidP="0086749B">
      <w:pPr>
        <w:pStyle w:val="ListBullet"/>
        <w:rPr>
          <w:iCs/>
        </w:rPr>
      </w:pPr>
      <w:r w:rsidRPr="00E70F2F">
        <w:t>ATO payment summaries, pay slips and employment contracts.</w:t>
      </w:r>
    </w:p>
    <w:p w:rsidR="00BF4BC4" w:rsidRPr="0080611D" w:rsidRDefault="00BF4BC4" w:rsidP="00687422">
      <w:pPr>
        <w:pStyle w:val="Heading2"/>
      </w:pPr>
      <w:bookmarkStart w:id="10" w:name="_Toc400608411"/>
      <w:r w:rsidRPr="0080611D">
        <w:t>Contract expenditure</w:t>
      </w:r>
      <w:bookmarkEnd w:id="10"/>
    </w:p>
    <w:p w:rsidR="00BF4BC4" w:rsidRPr="00E70F2F" w:rsidRDefault="00BF4BC4" w:rsidP="00BF4BC4">
      <w:pPr>
        <w:spacing w:line="280" w:lineRule="exact"/>
        <w:rPr>
          <w:rFonts w:cs="Arial"/>
          <w:szCs w:val="20"/>
        </w:rPr>
      </w:pPr>
      <w:r w:rsidRPr="00E70F2F">
        <w:rPr>
          <w:rFonts w:cs="Arial"/>
          <w:szCs w:val="20"/>
        </w:rPr>
        <w:t xml:space="preserve">Eligible contract expenditure is the cost of any agreed project activities that you contract others to do. These can include contracting: </w:t>
      </w:r>
    </w:p>
    <w:p w:rsidR="00BF4BC4" w:rsidRPr="00E70F2F" w:rsidRDefault="00BF4BC4" w:rsidP="0086749B">
      <w:pPr>
        <w:pStyle w:val="ListBullet"/>
        <w:rPr>
          <w:iCs/>
        </w:rPr>
      </w:pPr>
      <w:r w:rsidRPr="00E70F2F">
        <w:t xml:space="preserve">another organisation </w:t>
      </w:r>
    </w:p>
    <w:p w:rsidR="00BF4BC4" w:rsidRDefault="00BF4BC4" w:rsidP="0086749B">
      <w:pPr>
        <w:pStyle w:val="ListBullet"/>
        <w:rPr>
          <w:iCs/>
        </w:rPr>
      </w:pPr>
      <w:proofErr w:type="gramStart"/>
      <w:r w:rsidRPr="00E70F2F">
        <w:t>an</w:t>
      </w:r>
      <w:proofErr w:type="gramEnd"/>
      <w:r w:rsidRPr="00E70F2F">
        <w:t xml:space="preserve"> individual (who is not an employee, but engaged under a separate contract).  </w:t>
      </w:r>
    </w:p>
    <w:p w:rsidR="00BF4BC4" w:rsidRPr="00E70F2F" w:rsidRDefault="00BF4BC4" w:rsidP="0086749B">
      <w:pPr>
        <w:pStyle w:val="Normal10ptbefore"/>
      </w:pPr>
      <w:r w:rsidRPr="00E70F2F">
        <w:t>All contractor project work must have a written contract prior to the work being started—for example, a formal agreement, letter or purchase order which specifies:</w:t>
      </w:r>
    </w:p>
    <w:p w:rsidR="00BF4BC4" w:rsidRPr="00E70F2F" w:rsidRDefault="00BF4BC4" w:rsidP="0086749B">
      <w:pPr>
        <w:pStyle w:val="ListBullet"/>
      </w:pPr>
      <w:r w:rsidRPr="00E70F2F">
        <w:t xml:space="preserve">the nature of the work to be performed </w:t>
      </w:r>
    </w:p>
    <w:p w:rsidR="00BF4BC4" w:rsidRDefault="00BF4BC4" w:rsidP="0086749B">
      <w:pPr>
        <w:pStyle w:val="ListBullet"/>
      </w:pPr>
      <w:proofErr w:type="gramStart"/>
      <w:r w:rsidRPr="00E70F2F">
        <w:t>the</w:t>
      </w:r>
      <w:proofErr w:type="gramEnd"/>
      <w:r w:rsidRPr="00E70F2F">
        <w:t xml:space="preserve"> applicable fees, charges and other costs payable.</w:t>
      </w:r>
    </w:p>
    <w:p w:rsidR="00BF4BC4" w:rsidRPr="00E70F2F" w:rsidRDefault="00BF4BC4" w:rsidP="0086749B">
      <w:pPr>
        <w:pStyle w:val="Normal10ptbefore"/>
      </w:pPr>
      <w:r w:rsidRPr="00E70F2F">
        <w:t>Invoices from contractors must contain:</w:t>
      </w:r>
    </w:p>
    <w:p w:rsidR="00BF4BC4" w:rsidRPr="00E70F2F" w:rsidRDefault="00BF4BC4" w:rsidP="0086749B">
      <w:pPr>
        <w:pStyle w:val="ListBullet"/>
      </w:pPr>
      <w:r w:rsidRPr="00E70F2F">
        <w:t>a detailed description of the nature of the work</w:t>
      </w:r>
    </w:p>
    <w:p w:rsidR="00BF4BC4" w:rsidRPr="00E70F2F" w:rsidRDefault="00BF4BC4" w:rsidP="0086749B">
      <w:pPr>
        <w:pStyle w:val="ListBullet"/>
      </w:pPr>
      <w:r w:rsidRPr="00E70F2F">
        <w:t>the hours and hourly rates involved</w:t>
      </w:r>
    </w:p>
    <w:p w:rsidR="00BF4BC4" w:rsidRDefault="00BF4BC4" w:rsidP="0086749B">
      <w:pPr>
        <w:pStyle w:val="ListBullet"/>
      </w:pPr>
      <w:proofErr w:type="gramStart"/>
      <w:r w:rsidRPr="00E70F2F">
        <w:t>any</w:t>
      </w:r>
      <w:proofErr w:type="gramEnd"/>
      <w:r w:rsidRPr="00E70F2F">
        <w:t xml:space="preserve"> specific plant expenses paid. </w:t>
      </w:r>
    </w:p>
    <w:p w:rsidR="00BF4BC4" w:rsidRDefault="00BF4BC4" w:rsidP="0086749B">
      <w:pPr>
        <w:pStyle w:val="Normal10ptbefore"/>
      </w:pPr>
      <w:r w:rsidRPr="00E70F2F">
        <w:lastRenderedPageBreak/>
        <w:t>Invoices must directly relate to the agreed project, and the work must qualify as an eligible expense as if you had claimed it directly (without engaging a contractor). The costs must also be reasonable and appropriate for the activities performed.</w:t>
      </w:r>
    </w:p>
    <w:p w:rsidR="00BF4BC4" w:rsidRPr="00E70F2F" w:rsidRDefault="00BF4BC4" w:rsidP="00BF4BC4">
      <w:pPr>
        <w:rPr>
          <w:rFonts w:cs="Arial"/>
          <w:szCs w:val="20"/>
        </w:rPr>
      </w:pPr>
      <w:r w:rsidRPr="00E70F2F">
        <w:rPr>
          <w:rFonts w:cs="Arial"/>
          <w:szCs w:val="20"/>
        </w:rPr>
        <w:t>Evidence to be provided by applicants may include:</w:t>
      </w:r>
    </w:p>
    <w:p w:rsidR="00BF4BC4" w:rsidRPr="00E70F2F" w:rsidRDefault="00BF4BC4" w:rsidP="0086749B">
      <w:pPr>
        <w:pStyle w:val="ListBullet"/>
      </w:pPr>
      <w:r w:rsidRPr="00E70F2F">
        <w:t>an exchange of letters (including email) setting out the terms and conditions of the proposed contract work</w:t>
      </w:r>
    </w:p>
    <w:p w:rsidR="00BF4BC4" w:rsidRPr="00E70F2F" w:rsidRDefault="00BF4BC4" w:rsidP="0086749B">
      <w:pPr>
        <w:pStyle w:val="ListBullet"/>
      </w:pPr>
      <w:r w:rsidRPr="00E70F2F">
        <w:t>purchase order</w:t>
      </w:r>
    </w:p>
    <w:p w:rsidR="00BF4BC4" w:rsidRPr="00E70F2F" w:rsidRDefault="00BF4BC4" w:rsidP="0086749B">
      <w:pPr>
        <w:pStyle w:val="ListBullet"/>
      </w:pPr>
      <w:r w:rsidRPr="00E70F2F">
        <w:t>supply agreements</w:t>
      </w:r>
    </w:p>
    <w:p w:rsidR="00BF4BC4" w:rsidRPr="00E70F2F" w:rsidRDefault="00BF4BC4" w:rsidP="0086749B">
      <w:pPr>
        <w:pStyle w:val="ListBullet"/>
      </w:pPr>
      <w:proofErr w:type="gramStart"/>
      <w:r w:rsidRPr="00E70F2F">
        <w:t>invoices</w:t>
      </w:r>
      <w:proofErr w:type="gramEnd"/>
      <w:r w:rsidRPr="00E70F2F">
        <w:t xml:space="preserve"> and payment documents.</w:t>
      </w:r>
    </w:p>
    <w:p w:rsidR="00BF4BC4" w:rsidRPr="00E70F2F" w:rsidRDefault="00BF4BC4" w:rsidP="00BF4BC4">
      <w:pPr>
        <w:spacing w:line="280" w:lineRule="exact"/>
        <w:rPr>
          <w:rFonts w:cs="Arial"/>
          <w:szCs w:val="20"/>
        </w:rPr>
      </w:pPr>
      <w:r w:rsidRPr="00E70F2F">
        <w:rPr>
          <w:rFonts w:cs="Arial"/>
          <w:szCs w:val="20"/>
        </w:rPr>
        <w:t>As stated in the funding agreement, you are required to ensure all project contractors keep a record of the costs of their work on the project.  You may be required to obtain and provide a contractor’s records of its costs of doing project work. If such records are not provided, the relevant contract expense may not qualify as eligible expenditure.</w:t>
      </w:r>
    </w:p>
    <w:p w:rsidR="00BF4BC4" w:rsidRPr="0080611D" w:rsidRDefault="00BF4BC4" w:rsidP="00687422">
      <w:pPr>
        <w:pStyle w:val="Heading2"/>
      </w:pPr>
      <w:bookmarkStart w:id="11" w:name="_Toc400608412"/>
      <w:r w:rsidRPr="0080611D">
        <w:t>Other eligible expenditure</w:t>
      </w:r>
      <w:bookmarkEnd w:id="11"/>
    </w:p>
    <w:p w:rsidR="00BF4BC4" w:rsidRPr="00E70F2F" w:rsidRDefault="00BF4BC4" w:rsidP="00BF4BC4">
      <w:pPr>
        <w:spacing w:line="280" w:lineRule="exact"/>
        <w:rPr>
          <w:rFonts w:cs="Arial"/>
          <w:szCs w:val="20"/>
        </w:rPr>
      </w:pPr>
      <w:r w:rsidRPr="00E70F2F">
        <w:rPr>
          <w:rFonts w:cs="Arial"/>
          <w:szCs w:val="20"/>
        </w:rPr>
        <w:t>Other eligible expenditures for the project may include:</w:t>
      </w:r>
    </w:p>
    <w:p w:rsidR="00BF4BC4" w:rsidRPr="00E70F2F" w:rsidRDefault="00BF4BC4" w:rsidP="0086749B">
      <w:pPr>
        <w:pStyle w:val="ListBullet"/>
        <w:rPr>
          <w:iCs/>
        </w:rPr>
      </w:pPr>
      <w:r w:rsidRPr="00E70F2F">
        <w:t>commissioning</w:t>
      </w:r>
    </w:p>
    <w:p w:rsidR="00BF4BC4" w:rsidRPr="00E70F2F" w:rsidRDefault="00BF4BC4" w:rsidP="0086749B">
      <w:pPr>
        <w:pStyle w:val="ListBullet"/>
        <w:rPr>
          <w:iCs/>
        </w:rPr>
      </w:pPr>
      <w:proofErr w:type="gramStart"/>
      <w:r w:rsidRPr="00E70F2F">
        <w:t>building</w:t>
      </w:r>
      <w:proofErr w:type="gramEnd"/>
      <w:r w:rsidRPr="00E70F2F">
        <w:t xml:space="preserve"> modifications - note that modifications to leased buildings can be considered eligible if you own the asset being modified, for example the new production equipment.  The leased building must be used for activities related to your manufacturing process.</w:t>
      </w:r>
    </w:p>
    <w:p w:rsidR="00BF4BC4" w:rsidRPr="00E70F2F" w:rsidRDefault="00BF4BC4" w:rsidP="0086749B">
      <w:pPr>
        <w:pStyle w:val="ListBullet"/>
        <w:rPr>
          <w:iCs/>
        </w:rPr>
      </w:pPr>
      <w:r w:rsidRPr="00E70F2F">
        <w:t>staff training that directly supports the achievement of project outcomes</w:t>
      </w:r>
    </w:p>
    <w:p w:rsidR="00BF4BC4" w:rsidRPr="00E70F2F" w:rsidRDefault="00BF4BC4" w:rsidP="0086749B">
      <w:pPr>
        <w:pStyle w:val="ListBullet"/>
        <w:rPr>
          <w:iCs/>
        </w:rPr>
      </w:pPr>
      <w:r w:rsidRPr="00E70F2F">
        <w:t>financial auditing of project expenditure</w:t>
      </w:r>
    </w:p>
    <w:p w:rsidR="00BF4BC4" w:rsidRPr="00E70F2F" w:rsidRDefault="00BF4BC4" w:rsidP="0086749B">
      <w:pPr>
        <w:pStyle w:val="ListBullet"/>
        <w:rPr>
          <w:iCs/>
        </w:rPr>
      </w:pPr>
      <w:proofErr w:type="gramStart"/>
      <w:r w:rsidRPr="00E70F2F">
        <w:t>costs</w:t>
      </w:r>
      <w:proofErr w:type="gramEnd"/>
      <w:r w:rsidRPr="00E70F2F">
        <w:t xml:space="preserve"> you incur in order to obtain planning, environmental or other regulatory approvals during the project period. However, associated fees paid to the Commonwealth, State, Territory and Local governments are not eligible.</w:t>
      </w:r>
    </w:p>
    <w:p w:rsidR="00BF4BC4" w:rsidRDefault="00BF4BC4" w:rsidP="0086749B">
      <w:pPr>
        <w:pStyle w:val="ListBullet"/>
        <w:rPr>
          <w:iCs/>
        </w:rPr>
      </w:pPr>
      <w:proofErr w:type="gramStart"/>
      <w:r w:rsidRPr="00E70F2F">
        <w:t>contingency</w:t>
      </w:r>
      <w:proofErr w:type="gramEnd"/>
      <w:r w:rsidRPr="00E70F2F">
        <w:t xml:space="preserve"> costs up to a maximum of 10% of the eligible project costs</w:t>
      </w:r>
      <w:r w:rsidR="00E328F6">
        <w:t xml:space="preserve"> may be included in the estimated project budget</w:t>
      </w:r>
      <w:r w:rsidRPr="00E70F2F">
        <w:t>. Note that payments are made based on actual costs incurred.</w:t>
      </w:r>
    </w:p>
    <w:p w:rsidR="00BF4BC4" w:rsidRPr="00E70F2F" w:rsidRDefault="00BF4BC4" w:rsidP="0086749B">
      <w:r w:rsidRPr="00E70F2F">
        <w:t>Other specific expenditures may be eligible as determined by the Programme Delegate.</w:t>
      </w:r>
    </w:p>
    <w:p w:rsidR="0086749B" w:rsidRDefault="00BF4BC4" w:rsidP="0086749B">
      <w:r w:rsidRPr="00E70F2F">
        <w:t>Evidence you need to supply can include supplier contracts, purchase orders, invoices and supplier confirmation of payments</w:t>
      </w:r>
      <w:r w:rsidR="0086749B">
        <w:t>.</w:t>
      </w:r>
    </w:p>
    <w:p w:rsidR="001E41D5" w:rsidRPr="0080611D" w:rsidRDefault="001E41D5" w:rsidP="00687422">
      <w:pPr>
        <w:pStyle w:val="Heading2"/>
      </w:pPr>
      <w:r>
        <w:t>Examples of in</w:t>
      </w:r>
      <w:r w:rsidRPr="0080611D">
        <w:t>eligible expenditure</w:t>
      </w:r>
    </w:p>
    <w:bookmarkEnd w:id="1"/>
    <w:bookmarkEnd w:id="2"/>
    <w:p w:rsidR="0086749B" w:rsidRPr="0090207F" w:rsidRDefault="0086749B" w:rsidP="0086749B">
      <w:pPr>
        <w:rPr>
          <w:rFonts w:cs="Arial"/>
          <w:szCs w:val="20"/>
        </w:rPr>
      </w:pPr>
      <w:r w:rsidRPr="0090207F">
        <w:rPr>
          <w:rFonts w:cs="Arial"/>
          <w:szCs w:val="20"/>
        </w:rPr>
        <w:t>Examples of ineligible expenditure include:</w:t>
      </w:r>
    </w:p>
    <w:p w:rsidR="0086749B" w:rsidRPr="00060F42" w:rsidRDefault="0086749B" w:rsidP="0086749B">
      <w:pPr>
        <w:pStyle w:val="ListBullet"/>
        <w:rPr>
          <w:iCs/>
        </w:rPr>
      </w:pPr>
      <w:r>
        <w:t>costs of finance</w:t>
      </w:r>
      <w:r w:rsidRPr="0090207F">
        <w:t>, including interest</w:t>
      </w:r>
    </w:p>
    <w:p w:rsidR="0086749B" w:rsidRPr="0090207F" w:rsidRDefault="0086749B" w:rsidP="0086749B">
      <w:pPr>
        <w:pStyle w:val="ListBullet"/>
        <w:rPr>
          <w:iCs/>
        </w:rPr>
      </w:pPr>
      <w:r w:rsidRPr="0090207F">
        <w:t>depreciation of plant and equipment</w:t>
      </w:r>
    </w:p>
    <w:p w:rsidR="0086749B" w:rsidRDefault="0086749B" w:rsidP="0086749B">
      <w:pPr>
        <w:pStyle w:val="ListBullet"/>
        <w:rPr>
          <w:iCs/>
        </w:rPr>
      </w:pPr>
      <w:r w:rsidRPr="0090207F">
        <w:t>costs of purchasing, leasing, depreciation of, or development of land</w:t>
      </w:r>
    </w:p>
    <w:p w:rsidR="0086749B" w:rsidRPr="0090207F" w:rsidRDefault="0086749B" w:rsidP="0086749B">
      <w:pPr>
        <w:pStyle w:val="ListBullet"/>
        <w:rPr>
          <w:iCs/>
        </w:rPr>
      </w:pPr>
      <w:r>
        <w:t>cost of construction of new buildings</w:t>
      </w:r>
    </w:p>
    <w:p w:rsidR="0086749B" w:rsidRPr="0090207F" w:rsidRDefault="0086749B" w:rsidP="0086749B">
      <w:pPr>
        <w:pStyle w:val="ListBullet"/>
        <w:rPr>
          <w:iCs/>
        </w:rPr>
      </w:pPr>
      <w:r w:rsidRPr="0090207F">
        <w:t>infrastructure development costs, including development of road, rail, port or fuel delivery networks beyond the manufacturing site</w:t>
      </w:r>
    </w:p>
    <w:p w:rsidR="0086749B" w:rsidRPr="0090207F" w:rsidRDefault="0086749B" w:rsidP="0086749B">
      <w:pPr>
        <w:pStyle w:val="ListBullet"/>
        <w:rPr>
          <w:iCs/>
        </w:rPr>
      </w:pPr>
      <w:r w:rsidRPr="0090207F">
        <w:t>site preparation activities which are not directly related to, or for, the main purpose of transitioning to higher value and/or niche manufacturing</w:t>
      </w:r>
    </w:p>
    <w:p w:rsidR="0086749B" w:rsidRPr="0090207F" w:rsidRDefault="0086749B" w:rsidP="0086749B">
      <w:pPr>
        <w:pStyle w:val="ListBullet"/>
        <w:rPr>
          <w:iCs/>
        </w:rPr>
      </w:pPr>
      <w:r w:rsidRPr="0090207F">
        <w:t>opportunity costs</w:t>
      </w:r>
      <w:r w:rsidR="001E41D5">
        <w:t>,</w:t>
      </w:r>
      <w:r w:rsidRPr="0090207F">
        <w:t xml:space="preserve"> </w:t>
      </w:r>
      <w:r w:rsidR="001E41D5">
        <w:t xml:space="preserve">including those </w:t>
      </w:r>
      <w:r w:rsidRPr="0090207F">
        <w:t>relating to any production losses as a result of allocating resources to the agreed grant project</w:t>
      </w:r>
    </w:p>
    <w:p w:rsidR="0086749B" w:rsidRPr="0090207F" w:rsidRDefault="0086749B" w:rsidP="0086749B">
      <w:pPr>
        <w:pStyle w:val="ListBullet"/>
        <w:rPr>
          <w:iCs/>
        </w:rPr>
      </w:pPr>
      <w:r w:rsidRPr="0090207F">
        <w:t>costs of manufacturing production inputs</w:t>
      </w:r>
    </w:p>
    <w:p w:rsidR="0086749B" w:rsidRPr="0090207F" w:rsidRDefault="0086749B" w:rsidP="0086749B">
      <w:pPr>
        <w:pStyle w:val="ListBullet"/>
        <w:rPr>
          <w:iCs/>
        </w:rPr>
      </w:pPr>
      <w:r w:rsidRPr="0090207F">
        <w:lastRenderedPageBreak/>
        <w:t>costs related to obtaining resources used on the project, including interest on loans, job advertising and recruiting, and contract negotiations</w:t>
      </w:r>
    </w:p>
    <w:p w:rsidR="001E41D5" w:rsidRPr="00060F42" w:rsidRDefault="001E41D5" w:rsidP="0086749B">
      <w:pPr>
        <w:pStyle w:val="ListBullet"/>
        <w:rPr>
          <w:iCs/>
        </w:rPr>
      </w:pPr>
      <w:r>
        <w:rPr>
          <w:iCs/>
        </w:rPr>
        <w:t>routine operational costs</w:t>
      </w:r>
    </w:p>
    <w:p w:rsidR="001E41D5" w:rsidRPr="00060F42" w:rsidRDefault="001E41D5" w:rsidP="0086749B">
      <w:pPr>
        <w:pStyle w:val="ListBullet"/>
        <w:rPr>
          <w:iCs/>
        </w:rPr>
      </w:pPr>
      <w:r>
        <w:rPr>
          <w:iCs/>
        </w:rPr>
        <w:t>maintenance costs</w:t>
      </w:r>
    </w:p>
    <w:p w:rsidR="0086749B" w:rsidRPr="0090207F" w:rsidRDefault="0086749B" w:rsidP="0086749B">
      <w:pPr>
        <w:pStyle w:val="ListBullet"/>
        <w:rPr>
          <w:iCs/>
        </w:rPr>
      </w:pPr>
      <w:r w:rsidRPr="0090207F">
        <w:t>routine administration expenses, including communications, accommodation, office computing facilities, printing and stationery, postage, legal and accounting fees and back charges</w:t>
      </w:r>
    </w:p>
    <w:p w:rsidR="0086749B" w:rsidRPr="0090207F" w:rsidRDefault="0086749B" w:rsidP="0086749B">
      <w:pPr>
        <w:pStyle w:val="ListBullet"/>
        <w:rPr>
          <w:iCs/>
        </w:rPr>
      </w:pPr>
      <w:r w:rsidRPr="0090207F">
        <w:t>costs related to preparing the grant application, preparing any project reports (except costs of independent audit reports) and preparing any project variation requests</w:t>
      </w:r>
    </w:p>
    <w:p w:rsidR="0086749B" w:rsidRPr="0090207F" w:rsidRDefault="0086749B" w:rsidP="0086749B">
      <w:pPr>
        <w:pStyle w:val="ListBullet"/>
        <w:rPr>
          <w:iCs/>
        </w:rPr>
      </w:pPr>
      <w:proofErr w:type="gramStart"/>
      <w:r w:rsidRPr="0090207F">
        <w:t>activities</w:t>
      </w:r>
      <w:proofErr w:type="gramEnd"/>
      <w:r w:rsidRPr="0090207F">
        <w:t xml:space="preserve"> you paid for using non-cash considerations.</w:t>
      </w:r>
    </w:p>
    <w:p w:rsidR="0086749B" w:rsidRDefault="0086749B" w:rsidP="00F641FC">
      <w:pPr>
        <w:pStyle w:val="Normal10ptbefore"/>
      </w:pPr>
      <w:r w:rsidRPr="0090207F">
        <w:t>Other specific expenditure may be ineligible as determined by the Programme Delegate.</w:t>
      </w:r>
    </w:p>
    <w:p w:rsidR="001E41D5" w:rsidRPr="00F26CAB" w:rsidRDefault="001E41D5" w:rsidP="00687422">
      <w:pPr>
        <w:pStyle w:val="Heading2"/>
      </w:pPr>
      <w:r w:rsidRPr="00F26CAB">
        <w:t>How eligible expenditure is verified</w:t>
      </w:r>
    </w:p>
    <w:p w:rsidR="001E41D5" w:rsidRPr="00E70F2F" w:rsidRDefault="001E41D5" w:rsidP="001E41D5">
      <w:pPr>
        <w:spacing w:line="280" w:lineRule="exact"/>
        <w:rPr>
          <w:rFonts w:cs="Arial"/>
          <w:szCs w:val="20"/>
        </w:rPr>
      </w:pPr>
      <w:r w:rsidRPr="00E70F2F">
        <w:rPr>
          <w:rFonts w:cs="Arial"/>
          <w:szCs w:val="20"/>
        </w:rPr>
        <w:t xml:space="preserve">If your application is successful, you will be asked to verify the project budget that you provided in </w:t>
      </w:r>
      <w:proofErr w:type="gramStart"/>
      <w:r w:rsidRPr="00E70F2F">
        <w:rPr>
          <w:rFonts w:cs="Arial"/>
          <w:szCs w:val="20"/>
        </w:rPr>
        <w:t>your</w:t>
      </w:r>
      <w:proofErr w:type="gramEnd"/>
      <w:r w:rsidRPr="00E70F2F">
        <w:rPr>
          <w:rFonts w:cs="Arial"/>
          <w:szCs w:val="20"/>
        </w:rPr>
        <w:t xml:space="preserve"> application when negotiating your funding agreement. You will need to provide evidence for major cost items such as labour, plant and equipment and commissioning. Evidence can include:</w:t>
      </w:r>
    </w:p>
    <w:p w:rsidR="001E41D5" w:rsidRPr="00E70F2F" w:rsidRDefault="001E41D5" w:rsidP="001E41D5">
      <w:pPr>
        <w:pStyle w:val="ListBullet"/>
        <w:rPr>
          <w:iCs/>
        </w:rPr>
      </w:pPr>
      <w:r w:rsidRPr="00E70F2F">
        <w:t>quotes</w:t>
      </w:r>
    </w:p>
    <w:p w:rsidR="001E41D5" w:rsidRPr="00E70F2F" w:rsidRDefault="001E41D5" w:rsidP="001E41D5">
      <w:pPr>
        <w:pStyle w:val="ListBullet"/>
        <w:rPr>
          <w:iCs/>
        </w:rPr>
      </w:pPr>
      <w:r w:rsidRPr="00E70F2F">
        <w:t>purchase orders</w:t>
      </w:r>
    </w:p>
    <w:p w:rsidR="001E41D5" w:rsidRPr="00E70F2F" w:rsidRDefault="001E41D5" w:rsidP="001E41D5">
      <w:pPr>
        <w:pStyle w:val="ListBullet"/>
        <w:rPr>
          <w:iCs/>
        </w:rPr>
      </w:pPr>
      <w:r w:rsidRPr="00E70F2F">
        <w:t>supply agreements</w:t>
      </w:r>
    </w:p>
    <w:p w:rsidR="001E41D5" w:rsidRPr="00E70F2F" w:rsidRDefault="001E41D5" w:rsidP="001E41D5">
      <w:pPr>
        <w:pStyle w:val="ListBullet"/>
        <w:rPr>
          <w:iCs/>
        </w:rPr>
      </w:pPr>
      <w:r w:rsidRPr="00E70F2F">
        <w:t>sales catalogues</w:t>
      </w:r>
    </w:p>
    <w:p w:rsidR="001E41D5" w:rsidRPr="00E70F2F" w:rsidRDefault="001E41D5" w:rsidP="001E41D5">
      <w:pPr>
        <w:pStyle w:val="ListBullet"/>
        <w:rPr>
          <w:iCs/>
        </w:rPr>
      </w:pPr>
      <w:proofErr w:type="gramStart"/>
      <w:r w:rsidRPr="00E70F2F">
        <w:t>details</w:t>
      </w:r>
      <w:proofErr w:type="gramEnd"/>
      <w:r w:rsidRPr="00E70F2F">
        <w:t xml:space="preserve"> of all employees working on the project, including name, title, function, time spent on the project and salary.</w:t>
      </w:r>
    </w:p>
    <w:p w:rsidR="001E41D5" w:rsidRPr="00E70F2F" w:rsidRDefault="001E41D5" w:rsidP="001E41D5">
      <w:pPr>
        <w:pStyle w:val="Normal10ptbefore"/>
      </w:pPr>
      <w:r w:rsidRPr="00E70F2F">
        <w:t>The funding agreement will also include details of the evidence you will need to provide once certain milestones have been achieved in your project. This may include evidence related to eligible expenditure, including:</w:t>
      </w:r>
    </w:p>
    <w:p w:rsidR="001E41D5" w:rsidRPr="0097125B" w:rsidRDefault="001E41D5" w:rsidP="001E41D5">
      <w:pPr>
        <w:pStyle w:val="ListBullet"/>
        <w:rPr>
          <w:iCs/>
        </w:rPr>
      </w:pPr>
      <w:r w:rsidRPr="0097125B">
        <w:t>supply agreements</w:t>
      </w:r>
    </w:p>
    <w:p w:rsidR="001E41D5" w:rsidRPr="0097125B" w:rsidRDefault="001E41D5" w:rsidP="001E41D5">
      <w:pPr>
        <w:pStyle w:val="ListBullet"/>
        <w:rPr>
          <w:iCs/>
        </w:rPr>
      </w:pPr>
      <w:r w:rsidRPr="0097125B">
        <w:t>leasing or purchasing arrangements</w:t>
      </w:r>
    </w:p>
    <w:p w:rsidR="001E41D5" w:rsidRPr="0097125B" w:rsidRDefault="001E41D5" w:rsidP="001E41D5">
      <w:pPr>
        <w:pStyle w:val="ListBullet"/>
        <w:rPr>
          <w:iCs/>
        </w:rPr>
      </w:pPr>
      <w:r w:rsidRPr="0097125B">
        <w:t>invoices</w:t>
      </w:r>
    </w:p>
    <w:p w:rsidR="001E41D5" w:rsidRPr="00BF4BC4" w:rsidRDefault="001E41D5" w:rsidP="001E41D5">
      <w:pPr>
        <w:pStyle w:val="ListBullet"/>
      </w:pPr>
      <w:proofErr w:type="gramStart"/>
      <w:r w:rsidRPr="0097125B">
        <w:t>associa</w:t>
      </w:r>
      <w:r>
        <w:t>ted</w:t>
      </w:r>
      <w:proofErr w:type="gramEnd"/>
      <w:r>
        <w:t xml:space="preserve"> payments.</w:t>
      </w:r>
    </w:p>
    <w:p w:rsidR="001E41D5" w:rsidRPr="00E70F2F" w:rsidRDefault="001E41D5" w:rsidP="001E41D5">
      <w:pPr>
        <w:pStyle w:val="Normal10ptbefore"/>
      </w:pPr>
      <w:r w:rsidRPr="00E70F2F">
        <w:t>If requested, you will need to provide the agreed evidence along with your</w:t>
      </w:r>
      <w:r>
        <w:t xml:space="preserve"> milestone achievement reports.</w:t>
      </w:r>
    </w:p>
    <w:p w:rsidR="001E41D5" w:rsidRPr="00E70F2F" w:rsidRDefault="001E41D5" w:rsidP="001E41D5">
      <w:pPr>
        <w:spacing w:line="280" w:lineRule="exact"/>
        <w:rPr>
          <w:rFonts w:cs="Arial"/>
          <w:szCs w:val="20"/>
        </w:rPr>
      </w:pPr>
      <w:r w:rsidRPr="00E70F2F">
        <w:rPr>
          <w:rFonts w:cs="Arial"/>
          <w:szCs w:val="20"/>
        </w:rPr>
        <w:t xml:space="preserve">You must also keep records of all eligible expenditure that has been paid for, and must be able to explain how the costs relate to agreed project milestones and activities. At any time, you may be asked to provide records of your paid expenditure. If these records are not provided, the expense may not qualify as eligible expenditure. </w:t>
      </w:r>
    </w:p>
    <w:p w:rsidR="001E41D5" w:rsidRPr="0090207F" w:rsidRDefault="001E41D5" w:rsidP="00A20868">
      <w:pPr>
        <w:spacing w:line="280" w:lineRule="exact"/>
      </w:pPr>
      <w:r w:rsidRPr="00E70F2F">
        <w:rPr>
          <w:rFonts w:cs="Arial"/>
          <w:szCs w:val="20"/>
        </w:rPr>
        <w:t>At the end of the project, you will be required to provide an independent financial audit of all eligible expenditure from the project.</w:t>
      </w:r>
    </w:p>
    <w:sectPr w:rsidR="001E41D5" w:rsidRPr="0090207F" w:rsidSect="0002331D">
      <w:footerReference w:type="default" r:id="rId19"/>
      <w:footerReference w:type="first" r:id="rId20"/>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47" w:rsidRDefault="00617947" w:rsidP="00077C3D">
      <w:r>
        <w:separator/>
      </w:r>
    </w:p>
  </w:endnote>
  <w:endnote w:type="continuationSeparator" w:id="0">
    <w:p w:rsidR="00617947" w:rsidRDefault="00617947" w:rsidP="00077C3D">
      <w:r>
        <w:continuationSeparator/>
      </w:r>
    </w:p>
  </w:endnote>
  <w:endnote w:type="continuationNotice" w:id="1">
    <w:p w:rsidR="00617947" w:rsidRDefault="0061794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eSansOffic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nterstate Light">
    <w:panose1 w:val="02000506030000020004"/>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EE" w:rsidRDefault="007E0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EE" w:rsidRDefault="007E07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2E" w:rsidRDefault="0054052E">
    <w:pPr>
      <w:pStyle w:val="Footer"/>
      <w:jc w:val="right"/>
    </w:pPr>
  </w:p>
  <w:p w:rsidR="00A20868" w:rsidRPr="00A20868" w:rsidRDefault="00A20868">
    <w:pPr>
      <w:pStyle w:val="Footer"/>
      <w:rP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B3" w:rsidRPr="005B72F4" w:rsidRDefault="007E07EE" w:rsidP="00DC5A19">
    <w:pPr>
      <w:pStyle w:val="Footer"/>
      <w:tabs>
        <w:tab w:val="clear" w:pos="4153"/>
        <w:tab w:val="clear" w:pos="8306"/>
        <w:tab w:val="center" w:pos="6946"/>
        <w:tab w:val="right" w:pos="8789"/>
      </w:tabs>
    </w:pPr>
    <w:r>
      <w:t xml:space="preserve">Next Generation Manufacturing Investment Programme: Round 2 – </w:t>
    </w:r>
    <w:r>
      <w:rPr>
        <w:i/>
      </w:rPr>
      <w:t>Eligible Expenditure Guide v</w:t>
    </w:r>
    <w:r w:rsidR="00D513B3">
      <w:t xml:space="preserve"> </w:t>
    </w:r>
    <w:r w:rsidR="00F641FC">
      <w:t>Jan 2016</w:t>
    </w:r>
    <w:r w:rsidR="00D513B3" w:rsidRPr="005B72F4">
      <w:tab/>
      <w:t xml:space="preserve">Page </w:t>
    </w:r>
    <w:r w:rsidR="00D513B3" w:rsidRPr="005B72F4">
      <w:fldChar w:fldCharType="begin"/>
    </w:r>
    <w:r w:rsidR="00D513B3" w:rsidRPr="005B72F4">
      <w:instrText xml:space="preserve"> PAGE </w:instrText>
    </w:r>
    <w:r w:rsidR="00D513B3" w:rsidRPr="005B72F4">
      <w:fldChar w:fldCharType="separate"/>
    </w:r>
    <w:r w:rsidR="0062285B">
      <w:rPr>
        <w:noProof/>
      </w:rPr>
      <w:t>6</w:t>
    </w:r>
    <w:r w:rsidR="00D513B3" w:rsidRPr="005B72F4">
      <w:fldChar w:fldCharType="end"/>
    </w:r>
    <w:r w:rsidR="00D513B3" w:rsidRPr="005B72F4">
      <w:t xml:space="preserve"> of </w:t>
    </w:r>
    <w:fldSimple w:instr=" NUMPAGES ">
      <w:r w:rsidR="0062285B">
        <w:rPr>
          <w:noProof/>
        </w:rPr>
        <w:t>6</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B3" w:rsidRDefault="00D513B3"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47" w:rsidRDefault="00617947" w:rsidP="00077C3D">
      <w:r>
        <w:separator/>
      </w:r>
    </w:p>
  </w:footnote>
  <w:footnote w:type="continuationSeparator" w:id="0">
    <w:p w:rsidR="00617947" w:rsidRDefault="00617947" w:rsidP="00077C3D">
      <w:r>
        <w:continuationSeparator/>
      </w:r>
    </w:p>
  </w:footnote>
  <w:footnote w:type="continuationNotice" w:id="1">
    <w:p w:rsidR="00617947" w:rsidRDefault="00617947" w:rsidP="00077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EE" w:rsidRDefault="007E0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EE" w:rsidRDefault="007E07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3B3" w:rsidRDefault="00D513B3" w:rsidP="00A16576">
    <w:pPr>
      <w:pStyle w:val="Header"/>
      <w:ind w:left="-107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0C7CF4"/>
    <w:lvl w:ilvl="0">
      <w:start w:val="1"/>
      <w:numFmt w:val="lowerRoman"/>
      <w:pStyle w:val="ListNumber3"/>
      <w:lvlText w:val="%1."/>
      <w:lvlJc w:val="right"/>
      <w:pPr>
        <w:ind w:left="360" w:hanging="360"/>
      </w:pPr>
    </w:lvl>
  </w:abstractNum>
  <w:abstractNum w:abstractNumId="1">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nsid w:val="099018F5"/>
    <w:multiLevelType w:val="hybridMultilevel"/>
    <w:tmpl w:val="3190E6E8"/>
    <w:lvl w:ilvl="0" w:tplc="F8F43B0A">
      <w:start w:val="1"/>
      <w:numFmt w:val="lowerLetter"/>
      <w:pStyle w:val="ListNumber2"/>
      <w:lvlText w:val="%1."/>
      <w:lvlJc w:val="left"/>
      <w:pPr>
        <w:ind w:left="360" w:hanging="360"/>
      </w:pPr>
      <w:rPr>
        <w:rFonts w:hint="default"/>
        <w:b/>
        <w:i w:val="0"/>
        <w:color w:val="auto"/>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0DB10142"/>
    <w:multiLevelType w:val="hybridMultilevel"/>
    <w:tmpl w:val="FA6EFD5E"/>
    <w:lvl w:ilvl="0" w:tplc="0F7097F4">
      <w:start w:val="1"/>
      <w:numFmt w:val="decimal"/>
      <w:pStyle w:val="ListNumber"/>
      <w:lvlText w:val="%1."/>
      <w:lvlJc w:val="left"/>
      <w:pPr>
        <w:ind w:left="720" w:hanging="360"/>
      </w:pPr>
      <w:rPr>
        <w:rFonts w:hint="default"/>
        <w:sz w:val="24"/>
        <w:u w:color="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4C6A27"/>
    <w:multiLevelType w:val="multilevel"/>
    <w:tmpl w:val="E71A6E2E"/>
    <w:lvl w:ilvl="0">
      <w:start w:val="1"/>
      <w:numFmt w:val="decimal"/>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6E0F87"/>
    <w:multiLevelType w:val="multilevel"/>
    <w:tmpl w:val="E31AF9CA"/>
    <w:lvl w:ilvl="0">
      <w:start w:val="1"/>
      <w:numFmt w:val="decimal"/>
      <w:lvlText w:val="%1."/>
      <w:lvlJc w:val="left"/>
      <w:pPr>
        <w:ind w:left="357" w:hanging="357"/>
      </w:pPr>
      <w:rPr>
        <w:rFonts w:hint="default"/>
        <w:b w:val="0"/>
        <w:sz w:val="20"/>
        <w:szCs w:val="20"/>
        <w:u w:color="264F9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9BD12E7"/>
    <w:multiLevelType w:val="multilevel"/>
    <w:tmpl w:val="49EAFDB0"/>
    <w:lvl w:ilvl="0">
      <w:start w:val="1"/>
      <w:numFmt w:val="bullet"/>
      <w:pStyle w:val="ListBullet"/>
      <w:lvlText w:val=""/>
      <w:lvlJc w:val="left"/>
      <w:pPr>
        <w:ind w:left="717" w:hanging="360"/>
      </w:pPr>
      <w:rPr>
        <w:rFonts w:ascii="Symbol" w:hAnsi="Symbol" w:hint="default"/>
        <w:color w:val="264F90"/>
        <w:w w:val="100"/>
        <w:sz w:val="20"/>
        <w:szCs w:val="24"/>
      </w:rPr>
    </w:lvl>
    <w:lvl w:ilvl="1">
      <w:start w:val="1"/>
      <w:numFmt w:val="bullet"/>
      <w:lvlText w:val="•"/>
      <w:lvlJc w:val="left"/>
      <w:pPr>
        <w:tabs>
          <w:tab w:val="num" w:pos="1797"/>
        </w:tabs>
        <w:ind w:left="2157" w:hanging="360"/>
      </w:pPr>
      <w:rPr>
        <w:rFonts w:ascii="TheSansOffice" w:hAnsi="TheSansOffice" w:hint="default"/>
        <w:color w:val="0066CC"/>
      </w:rPr>
    </w:lvl>
    <w:lvl w:ilvl="2">
      <w:start w:val="1"/>
      <w:numFmt w:val="bullet"/>
      <w:lvlText w:val="•"/>
      <w:lvlJc w:val="left"/>
      <w:pPr>
        <w:tabs>
          <w:tab w:val="num" w:pos="2517"/>
        </w:tabs>
        <w:ind w:left="2517" w:hanging="360"/>
      </w:pPr>
      <w:rPr>
        <w:rFonts w:ascii="TheSansOffice" w:hAnsi="TheSansOffice" w:hint="default"/>
        <w:color w:val="0066CC"/>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Wingdings"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Wingdings" w:hint="default"/>
      </w:rPr>
    </w:lvl>
    <w:lvl w:ilvl="8">
      <w:start w:val="1"/>
      <w:numFmt w:val="bullet"/>
      <w:lvlText w:val=""/>
      <w:lvlJc w:val="left"/>
      <w:pPr>
        <w:tabs>
          <w:tab w:val="num" w:pos="6837"/>
        </w:tabs>
        <w:ind w:left="6837" w:hanging="360"/>
      </w:pPr>
      <w:rPr>
        <w:rFonts w:ascii="Wingdings" w:hAnsi="Wingdings" w:hint="default"/>
      </w:rPr>
    </w:lvl>
  </w:abstractNum>
  <w:abstractNum w:abstractNumId="7">
    <w:nsid w:val="33951E5B"/>
    <w:multiLevelType w:val="hybridMultilevel"/>
    <w:tmpl w:val="3754153C"/>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8A4D314">
      <w:start w:val="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9"/>
  </w:num>
  <w:num w:numId="4">
    <w:abstractNumId w:val="11"/>
  </w:num>
  <w:num w:numId="5">
    <w:abstractNumId w:val="10"/>
  </w:num>
  <w:num w:numId="6">
    <w:abstractNumId w:val="4"/>
  </w:num>
  <w:num w:numId="7">
    <w:abstractNumId w:val="2"/>
  </w:num>
  <w:num w:numId="8">
    <w:abstractNumId w:val="6"/>
    <w:lvlOverride w:ilvl="0">
      <w:lvl w:ilvl="0">
        <w:start w:val="1"/>
        <w:numFmt w:val="bullet"/>
        <w:pStyle w:val="ListBullet"/>
        <w:lvlText w:val=""/>
        <w:lvlJc w:val="left"/>
        <w:pPr>
          <w:ind w:left="357" w:hanging="357"/>
        </w:pPr>
        <w:rPr>
          <w:rFonts w:ascii="Symbol" w:hAnsi="Symbol" w:hint="default"/>
          <w:color w:val="264F90"/>
          <w:w w:val="100"/>
          <w:sz w:val="20"/>
        </w:rPr>
      </w:lvl>
    </w:lvlOverride>
    <w:lvlOverride w:ilvl="1">
      <w:lvl w:ilvl="1">
        <w:start w:val="1"/>
        <w:numFmt w:val="bullet"/>
        <w:lvlText w:val=""/>
        <w:lvlJc w:val="left"/>
        <w:pPr>
          <w:ind w:left="720" w:hanging="363"/>
        </w:pPr>
        <w:rPr>
          <w:rFonts w:ascii="Symbol" w:hAnsi="Symbol" w:hint="default"/>
          <w:color w:val="auto"/>
        </w:rPr>
      </w:lvl>
    </w:lvlOverride>
    <w:lvlOverride w:ilvl="2">
      <w:lvl w:ilvl="2">
        <w:start w:val="1"/>
        <w:numFmt w:val="bullet"/>
        <w:lvlText w:val="•"/>
        <w:lvlJc w:val="left"/>
        <w:pPr>
          <w:tabs>
            <w:tab w:val="num" w:pos="2517"/>
          </w:tabs>
          <w:ind w:left="2517" w:hanging="360"/>
        </w:pPr>
        <w:rPr>
          <w:rFonts w:ascii="TheSansOffice" w:hAnsi="TheSansOffice" w:hint="default"/>
          <w:color w:val="0066CC"/>
        </w:rPr>
      </w:lvl>
    </w:lvlOverride>
    <w:lvlOverride w:ilvl="3">
      <w:lvl w:ilvl="3">
        <w:start w:val="1"/>
        <w:numFmt w:val="bullet"/>
        <w:lvlText w:val=""/>
        <w:lvlJc w:val="left"/>
        <w:pPr>
          <w:tabs>
            <w:tab w:val="num" w:pos="3237"/>
          </w:tabs>
          <w:ind w:left="3237" w:hanging="360"/>
        </w:pPr>
        <w:rPr>
          <w:rFonts w:ascii="Symbol" w:hAnsi="Symbol" w:hint="default"/>
        </w:rPr>
      </w:lvl>
    </w:lvlOverride>
    <w:lvlOverride w:ilvl="4">
      <w:lvl w:ilvl="4">
        <w:start w:val="1"/>
        <w:numFmt w:val="bullet"/>
        <w:lvlText w:val="o"/>
        <w:lvlJc w:val="left"/>
        <w:pPr>
          <w:tabs>
            <w:tab w:val="num" w:pos="3957"/>
          </w:tabs>
          <w:ind w:left="3957" w:hanging="360"/>
        </w:pPr>
        <w:rPr>
          <w:rFonts w:ascii="Courier New" w:hAnsi="Courier New" w:cs="Wingdings" w:hint="default"/>
        </w:rPr>
      </w:lvl>
    </w:lvlOverride>
    <w:lvlOverride w:ilvl="5">
      <w:lvl w:ilvl="5">
        <w:start w:val="1"/>
        <w:numFmt w:val="bullet"/>
        <w:lvlText w:val=""/>
        <w:lvlJc w:val="left"/>
        <w:pPr>
          <w:tabs>
            <w:tab w:val="num" w:pos="4677"/>
          </w:tabs>
          <w:ind w:left="4677" w:hanging="360"/>
        </w:pPr>
        <w:rPr>
          <w:rFonts w:ascii="Wingdings" w:hAnsi="Wingdings" w:hint="default"/>
        </w:rPr>
      </w:lvl>
    </w:lvlOverride>
    <w:lvlOverride w:ilvl="6">
      <w:lvl w:ilvl="6">
        <w:start w:val="1"/>
        <w:numFmt w:val="bullet"/>
        <w:lvlText w:val=""/>
        <w:lvlJc w:val="left"/>
        <w:pPr>
          <w:tabs>
            <w:tab w:val="num" w:pos="5397"/>
          </w:tabs>
          <w:ind w:left="5397" w:hanging="360"/>
        </w:pPr>
        <w:rPr>
          <w:rFonts w:ascii="Symbol" w:hAnsi="Symbol" w:hint="default"/>
        </w:rPr>
      </w:lvl>
    </w:lvlOverride>
    <w:lvlOverride w:ilvl="7">
      <w:lvl w:ilvl="7">
        <w:start w:val="1"/>
        <w:numFmt w:val="bullet"/>
        <w:lvlText w:val="o"/>
        <w:lvlJc w:val="left"/>
        <w:pPr>
          <w:tabs>
            <w:tab w:val="num" w:pos="6117"/>
          </w:tabs>
          <w:ind w:left="6117" w:hanging="360"/>
        </w:pPr>
        <w:rPr>
          <w:rFonts w:ascii="Courier New" w:hAnsi="Courier New" w:cs="Wingdings" w:hint="default"/>
        </w:rPr>
      </w:lvl>
    </w:lvlOverride>
    <w:lvlOverride w:ilvl="8">
      <w:lvl w:ilvl="8">
        <w:start w:val="1"/>
        <w:numFmt w:val="bullet"/>
        <w:lvlText w:val=""/>
        <w:lvlJc w:val="left"/>
        <w:pPr>
          <w:tabs>
            <w:tab w:val="num" w:pos="6837"/>
          </w:tabs>
          <w:ind w:left="6837" w:hanging="360"/>
        </w:pPr>
        <w:rPr>
          <w:rFonts w:ascii="Wingdings" w:hAnsi="Wingdings" w:hint="default"/>
        </w:rPr>
      </w:lvl>
    </w:lvlOverride>
  </w:num>
  <w:num w:numId="9">
    <w:abstractNumId w:val="3"/>
  </w:num>
  <w:num w:numId="10">
    <w:abstractNumId w:val="5"/>
  </w:num>
  <w:num w:numId="11">
    <w:abstractNumId w:val="7"/>
  </w:num>
  <w:num w:numId="12">
    <w:abstractNumId w:val="6"/>
    <w:lvlOverride w:ilvl="0">
      <w:lvl w:ilvl="0">
        <w:start w:val="1"/>
        <w:numFmt w:val="bullet"/>
        <w:pStyle w:val="ListBullet"/>
        <w:lvlText w:val=""/>
        <w:lvlJc w:val="left"/>
        <w:pPr>
          <w:ind w:left="357" w:hanging="357"/>
        </w:pPr>
        <w:rPr>
          <w:rFonts w:ascii="Symbol" w:hAnsi="Symbol" w:hint="default"/>
          <w:color w:val="264F90"/>
          <w:w w:val="100"/>
          <w:sz w:val="20"/>
        </w:rPr>
      </w:lvl>
    </w:lvlOverride>
    <w:lvlOverride w:ilvl="1">
      <w:lvl w:ilvl="1">
        <w:start w:val="1"/>
        <w:numFmt w:val="bullet"/>
        <w:lvlText w:val=""/>
        <w:lvlJc w:val="left"/>
        <w:pPr>
          <w:ind w:left="720" w:hanging="363"/>
        </w:pPr>
        <w:rPr>
          <w:rFonts w:ascii="Symbol" w:hAnsi="Symbol" w:hint="default"/>
          <w:color w:val="auto"/>
        </w:rPr>
      </w:lvl>
    </w:lvlOverride>
    <w:lvlOverride w:ilvl="2">
      <w:lvl w:ilvl="2">
        <w:start w:val="1"/>
        <w:numFmt w:val="bullet"/>
        <w:lvlText w:val="•"/>
        <w:lvlJc w:val="left"/>
        <w:pPr>
          <w:tabs>
            <w:tab w:val="num" w:pos="2517"/>
          </w:tabs>
          <w:ind w:left="2517" w:hanging="360"/>
        </w:pPr>
        <w:rPr>
          <w:rFonts w:ascii="TheSansOffice" w:hAnsi="TheSansOffice" w:hint="default"/>
          <w:color w:val="0066CC"/>
        </w:rPr>
      </w:lvl>
    </w:lvlOverride>
    <w:lvlOverride w:ilvl="3">
      <w:lvl w:ilvl="3">
        <w:start w:val="1"/>
        <w:numFmt w:val="bullet"/>
        <w:lvlText w:val=""/>
        <w:lvlJc w:val="left"/>
        <w:pPr>
          <w:tabs>
            <w:tab w:val="num" w:pos="3237"/>
          </w:tabs>
          <w:ind w:left="3237" w:hanging="360"/>
        </w:pPr>
        <w:rPr>
          <w:rFonts w:ascii="Symbol" w:hAnsi="Symbol" w:hint="default"/>
        </w:rPr>
      </w:lvl>
    </w:lvlOverride>
    <w:lvlOverride w:ilvl="4">
      <w:lvl w:ilvl="4">
        <w:start w:val="1"/>
        <w:numFmt w:val="bullet"/>
        <w:lvlText w:val="o"/>
        <w:lvlJc w:val="left"/>
        <w:pPr>
          <w:tabs>
            <w:tab w:val="num" w:pos="3957"/>
          </w:tabs>
          <w:ind w:left="3957" w:hanging="360"/>
        </w:pPr>
        <w:rPr>
          <w:rFonts w:ascii="Courier New" w:hAnsi="Courier New" w:cs="Wingdings" w:hint="default"/>
        </w:rPr>
      </w:lvl>
    </w:lvlOverride>
    <w:lvlOverride w:ilvl="5">
      <w:lvl w:ilvl="5">
        <w:start w:val="1"/>
        <w:numFmt w:val="bullet"/>
        <w:lvlText w:val=""/>
        <w:lvlJc w:val="left"/>
        <w:pPr>
          <w:tabs>
            <w:tab w:val="num" w:pos="4677"/>
          </w:tabs>
          <w:ind w:left="4677" w:hanging="360"/>
        </w:pPr>
        <w:rPr>
          <w:rFonts w:ascii="Wingdings" w:hAnsi="Wingdings" w:hint="default"/>
        </w:rPr>
      </w:lvl>
    </w:lvlOverride>
    <w:lvlOverride w:ilvl="6">
      <w:lvl w:ilvl="6">
        <w:start w:val="1"/>
        <w:numFmt w:val="bullet"/>
        <w:lvlText w:val=""/>
        <w:lvlJc w:val="left"/>
        <w:pPr>
          <w:tabs>
            <w:tab w:val="num" w:pos="5397"/>
          </w:tabs>
          <w:ind w:left="5397" w:hanging="360"/>
        </w:pPr>
        <w:rPr>
          <w:rFonts w:ascii="Symbol" w:hAnsi="Symbol" w:hint="default"/>
        </w:rPr>
      </w:lvl>
    </w:lvlOverride>
    <w:lvlOverride w:ilvl="7">
      <w:lvl w:ilvl="7">
        <w:start w:val="1"/>
        <w:numFmt w:val="bullet"/>
        <w:lvlText w:val="o"/>
        <w:lvlJc w:val="left"/>
        <w:pPr>
          <w:tabs>
            <w:tab w:val="num" w:pos="6117"/>
          </w:tabs>
          <w:ind w:left="6117" w:hanging="360"/>
        </w:pPr>
        <w:rPr>
          <w:rFonts w:ascii="Courier New" w:hAnsi="Courier New" w:cs="Wingdings" w:hint="default"/>
        </w:rPr>
      </w:lvl>
    </w:lvlOverride>
    <w:lvlOverride w:ilvl="8">
      <w:lvl w:ilvl="8">
        <w:start w:val="1"/>
        <w:numFmt w:val="bullet"/>
        <w:lvlText w:val=""/>
        <w:lvlJc w:val="left"/>
        <w:pPr>
          <w:tabs>
            <w:tab w:val="num" w:pos="6837"/>
          </w:tabs>
          <w:ind w:left="6837" w:hanging="360"/>
        </w:pPr>
        <w:rPr>
          <w:rFonts w:ascii="Wingdings" w:hAnsi="Wingding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C8"/>
    <w:rsid w:val="0000016B"/>
    <w:rsid w:val="00000886"/>
    <w:rsid w:val="00005E68"/>
    <w:rsid w:val="000071CC"/>
    <w:rsid w:val="00010CF8"/>
    <w:rsid w:val="00016E51"/>
    <w:rsid w:val="00017503"/>
    <w:rsid w:val="000207D9"/>
    <w:rsid w:val="0002331D"/>
    <w:rsid w:val="00024C55"/>
    <w:rsid w:val="00042438"/>
    <w:rsid w:val="00044DC0"/>
    <w:rsid w:val="00044EF8"/>
    <w:rsid w:val="000553F2"/>
    <w:rsid w:val="00060AD3"/>
    <w:rsid w:val="00060F42"/>
    <w:rsid w:val="000652F0"/>
    <w:rsid w:val="00065F24"/>
    <w:rsid w:val="000741DE"/>
    <w:rsid w:val="00077C3D"/>
    <w:rsid w:val="000805C4"/>
    <w:rsid w:val="0008289E"/>
    <w:rsid w:val="000833DF"/>
    <w:rsid w:val="00083CC7"/>
    <w:rsid w:val="0008697C"/>
    <w:rsid w:val="00096575"/>
    <w:rsid w:val="000A4490"/>
    <w:rsid w:val="000B1991"/>
    <w:rsid w:val="000B2DAA"/>
    <w:rsid w:val="000B597B"/>
    <w:rsid w:val="000B7C0B"/>
    <w:rsid w:val="000C07C6"/>
    <w:rsid w:val="000C31F3"/>
    <w:rsid w:val="000C4E64"/>
    <w:rsid w:val="000C5F08"/>
    <w:rsid w:val="000D0903"/>
    <w:rsid w:val="000D1F5F"/>
    <w:rsid w:val="000D6D35"/>
    <w:rsid w:val="000E3D2D"/>
    <w:rsid w:val="000E4061"/>
    <w:rsid w:val="000E4CD5"/>
    <w:rsid w:val="000E5463"/>
    <w:rsid w:val="000E620A"/>
    <w:rsid w:val="000E70D4"/>
    <w:rsid w:val="000F7174"/>
    <w:rsid w:val="0010200A"/>
    <w:rsid w:val="00102271"/>
    <w:rsid w:val="00103E5C"/>
    <w:rsid w:val="00104854"/>
    <w:rsid w:val="00106980"/>
    <w:rsid w:val="00107AEE"/>
    <w:rsid w:val="00110DF4"/>
    <w:rsid w:val="00111506"/>
    <w:rsid w:val="00112457"/>
    <w:rsid w:val="0011363F"/>
    <w:rsid w:val="00115C6B"/>
    <w:rsid w:val="0012305A"/>
    <w:rsid w:val="00127536"/>
    <w:rsid w:val="00130554"/>
    <w:rsid w:val="001315FB"/>
    <w:rsid w:val="0013514F"/>
    <w:rsid w:val="00137190"/>
    <w:rsid w:val="0013734A"/>
    <w:rsid w:val="00141149"/>
    <w:rsid w:val="00144380"/>
    <w:rsid w:val="001452A7"/>
    <w:rsid w:val="00172F7F"/>
    <w:rsid w:val="0017423B"/>
    <w:rsid w:val="0018033C"/>
    <w:rsid w:val="00180B0E"/>
    <w:rsid w:val="001817F4"/>
    <w:rsid w:val="0018511E"/>
    <w:rsid w:val="001867EC"/>
    <w:rsid w:val="001875DA"/>
    <w:rsid w:val="001907F9"/>
    <w:rsid w:val="00193926"/>
    <w:rsid w:val="001948A9"/>
    <w:rsid w:val="00194ACD"/>
    <w:rsid w:val="001956C5"/>
    <w:rsid w:val="00195BF5"/>
    <w:rsid w:val="001A5D9B"/>
    <w:rsid w:val="001A6862"/>
    <w:rsid w:val="001B1C0B"/>
    <w:rsid w:val="001B2A5D"/>
    <w:rsid w:val="001B43D0"/>
    <w:rsid w:val="001C1B5B"/>
    <w:rsid w:val="001C53D3"/>
    <w:rsid w:val="001C6ACC"/>
    <w:rsid w:val="001C7328"/>
    <w:rsid w:val="001D1782"/>
    <w:rsid w:val="001D201F"/>
    <w:rsid w:val="001D4B71"/>
    <w:rsid w:val="001E41D5"/>
    <w:rsid w:val="001F20B6"/>
    <w:rsid w:val="001F24BD"/>
    <w:rsid w:val="001F3068"/>
    <w:rsid w:val="001F32A5"/>
    <w:rsid w:val="00200152"/>
    <w:rsid w:val="00202636"/>
    <w:rsid w:val="00202DFC"/>
    <w:rsid w:val="002067C9"/>
    <w:rsid w:val="00211AB8"/>
    <w:rsid w:val="00211D98"/>
    <w:rsid w:val="00217440"/>
    <w:rsid w:val="00221230"/>
    <w:rsid w:val="00222C72"/>
    <w:rsid w:val="00226A9A"/>
    <w:rsid w:val="00227080"/>
    <w:rsid w:val="00227D98"/>
    <w:rsid w:val="0023055D"/>
    <w:rsid w:val="00235894"/>
    <w:rsid w:val="00236D85"/>
    <w:rsid w:val="002442FE"/>
    <w:rsid w:val="00245131"/>
    <w:rsid w:val="00245C4E"/>
    <w:rsid w:val="002470F5"/>
    <w:rsid w:val="00250CF5"/>
    <w:rsid w:val="002611CF"/>
    <w:rsid w:val="002618D4"/>
    <w:rsid w:val="002619F0"/>
    <w:rsid w:val="00261D7F"/>
    <w:rsid w:val="00270215"/>
    <w:rsid w:val="002755ED"/>
    <w:rsid w:val="00276D9D"/>
    <w:rsid w:val="00282312"/>
    <w:rsid w:val="0028417F"/>
    <w:rsid w:val="00287AC7"/>
    <w:rsid w:val="00290F12"/>
    <w:rsid w:val="00294F98"/>
    <w:rsid w:val="00295FD6"/>
    <w:rsid w:val="00296AC5"/>
    <w:rsid w:val="00297C9D"/>
    <w:rsid w:val="002A1C6B"/>
    <w:rsid w:val="002A3E56"/>
    <w:rsid w:val="002A51EB"/>
    <w:rsid w:val="002A6142"/>
    <w:rsid w:val="002A6C6D"/>
    <w:rsid w:val="002C00A0"/>
    <w:rsid w:val="002C0A35"/>
    <w:rsid w:val="002C14B0"/>
    <w:rsid w:val="002C621C"/>
    <w:rsid w:val="002D0F24"/>
    <w:rsid w:val="002D52D1"/>
    <w:rsid w:val="002D720E"/>
    <w:rsid w:val="002E2BEC"/>
    <w:rsid w:val="002E3A5A"/>
    <w:rsid w:val="002E3CA8"/>
    <w:rsid w:val="002E5556"/>
    <w:rsid w:val="002F28CA"/>
    <w:rsid w:val="002F65BC"/>
    <w:rsid w:val="002F71EC"/>
    <w:rsid w:val="003001C7"/>
    <w:rsid w:val="00313FA2"/>
    <w:rsid w:val="003211B4"/>
    <w:rsid w:val="00322126"/>
    <w:rsid w:val="0032256A"/>
    <w:rsid w:val="00332F58"/>
    <w:rsid w:val="00335B3C"/>
    <w:rsid w:val="0033741C"/>
    <w:rsid w:val="00351E61"/>
    <w:rsid w:val="00353428"/>
    <w:rsid w:val="00353CBF"/>
    <w:rsid w:val="00354604"/>
    <w:rsid w:val="003549A0"/>
    <w:rsid w:val="003552BD"/>
    <w:rsid w:val="003560E1"/>
    <w:rsid w:val="00356ED2"/>
    <w:rsid w:val="003576AB"/>
    <w:rsid w:val="00367CE4"/>
    <w:rsid w:val="00371611"/>
    <w:rsid w:val="0037445C"/>
    <w:rsid w:val="00383297"/>
    <w:rsid w:val="00383A3A"/>
    <w:rsid w:val="003871B6"/>
    <w:rsid w:val="003903AE"/>
    <w:rsid w:val="0039610D"/>
    <w:rsid w:val="003A0BCC"/>
    <w:rsid w:val="003A48C0"/>
    <w:rsid w:val="003A4A83"/>
    <w:rsid w:val="003A5D94"/>
    <w:rsid w:val="003A79AD"/>
    <w:rsid w:val="003B29BA"/>
    <w:rsid w:val="003C280B"/>
    <w:rsid w:val="003C2AB0"/>
    <w:rsid w:val="003C30E5"/>
    <w:rsid w:val="003C3144"/>
    <w:rsid w:val="003C451C"/>
    <w:rsid w:val="003C6EA3"/>
    <w:rsid w:val="003D3AE8"/>
    <w:rsid w:val="003D635D"/>
    <w:rsid w:val="003D7548"/>
    <w:rsid w:val="003D7F5C"/>
    <w:rsid w:val="003E0C6C"/>
    <w:rsid w:val="003E339B"/>
    <w:rsid w:val="003E38D5"/>
    <w:rsid w:val="003E639F"/>
    <w:rsid w:val="003F0BEC"/>
    <w:rsid w:val="003F3392"/>
    <w:rsid w:val="003F5453"/>
    <w:rsid w:val="00405D85"/>
    <w:rsid w:val="00407403"/>
    <w:rsid w:val="004108DC"/>
    <w:rsid w:val="004131EC"/>
    <w:rsid w:val="004234A1"/>
    <w:rsid w:val="00427819"/>
    <w:rsid w:val="00430ADC"/>
    <w:rsid w:val="00437174"/>
    <w:rsid w:val="00437C61"/>
    <w:rsid w:val="00437CDA"/>
    <w:rsid w:val="00441195"/>
    <w:rsid w:val="004436AA"/>
    <w:rsid w:val="00452F86"/>
    <w:rsid w:val="00453E77"/>
    <w:rsid w:val="00453F62"/>
    <w:rsid w:val="004552D7"/>
    <w:rsid w:val="00455C17"/>
    <w:rsid w:val="004678C6"/>
    <w:rsid w:val="004714FC"/>
    <w:rsid w:val="00474AF0"/>
    <w:rsid w:val="00480CC8"/>
    <w:rsid w:val="004855A0"/>
    <w:rsid w:val="004918B1"/>
    <w:rsid w:val="00492077"/>
    <w:rsid w:val="004927C4"/>
    <w:rsid w:val="00492E66"/>
    <w:rsid w:val="00495971"/>
    <w:rsid w:val="00495B49"/>
    <w:rsid w:val="00497A6D"/>
    <w:rsid w:val="00497AEC"/>
    <w:rsid w:val="004A169C"/>
    <w:rsid w:val="004B4B38"/>
    <w:rsid w:val="004C1646"/>
    <w:rsid w:val="004C1C42"/>
    <w:rsid w:val="004C368D"/>
    <w:rsid w:val="004C4D0B"/>
    <w:rsid w:val="004D5BB6"/>
    <w:rsid w:val="004D61B0"/>
    <w:rsid w:val="004D6A7F"/>
    <w:rsid w:val="004D75D6"/>
    <w:rsid w:val="004E0B0A"/>
    <w:rsid w:val="004E31D8"/>
    <w:rsid w:val="004E4327"/>
    <w:rsid w:val="004E5976"/>
    <w:rsid w:val="004F2FAF"/>
    <w:rsid w:val="004F3523"/>
    <w:rsid w:val="004F4C5B"/>
    <w:rsid w:val="004F76F0"/>
    <w:rsid w:val="00500F3B"/>
    <w:rsid w:val="00501068"/>
    <w:rsid w:val="00501C36"/>
    <w:rsid w:val="00502558"/>
    <w:rsid w:val="00512453"/>
    <w:rsid w:val="00517B97"/>
    <w:rsid w:val="005224BF"/>
    <w:rsid w:val="00526928"/>
    <w:rsid w:val="005277BC"/>
    <w:rsid w:val="0053262C"/>
    <w:rsid w:val="00534248"/>
    <w:rsid w:val="00534B4C"/>
    <w:rsid w:val="00535DC6"/>
    <w:rsid w:val="0054009F"/>
    <w:rsid w:val="0054052E"/>
    <w:rsid w:val="0054403B"/>
    <w:rsid w:val="00544899"/>
    <w:rsid w:val="0054620D"/>
    <w:rsid w:val="0054745E"/>
    <w:rsid w:val="00555308"/>
    <w:rsid w:val="00557E0C"/>
    <w:rsid w:val="005632D8"/>
    <w:rsid w:val="005716C1"/>
    <w:rsid w:val="00571845"/>
    <w:rsid w:val="00572118"/>
    <w:rsid w:val="0058223D"/>
    <w:rsid w:val="00583D45"/>
    <w:rsid w:val="00584122"/>
    <w:rsid w:val="00592DF7"/>
    <w:rsid w:val="00597881"/>
    <w:rsid w:val="005A38E6"/>
    <w:rsid w:val="005A4714"/>
    <w:rsid w:val="005A5E9D"/>
    <w:rsid w:val="005A670D"/>
    <w:rsid w:val="005A7550"/>
    <w:rsid w:val="005B4ADF"/>
    <w:rsid w:val="005B72F4"/>
    <w:rsid w:val="005B7D70"/>
    <w:rsid w:val="005C0699"/>
    <w:rsid w:val="005C09CB"/>
    <w:rsid w:val="005C1BFA"/>
    <w:rsid w:val="005C2EDB"/>
    <w:rsid w:val="005D11BE"/>
    <w:rsid w:val="005E5C46"/>
    <w:rsid w:val="005E5E12"/>
    <w:rsid w:val="005F1F5A"/>
    <w:rsid w:val="005F2E39"/>
    <w:rsid w:val="005F48E9"/>
    <w:rsid w:val="005F7B45"/>
    <w:rsid w:val="00603548"/>
    <w:rsid w:val="0060558A"/>
    <w:rsid w:val="0060785D"/>
    <w:rsid w:val="00610DAB"/>
    <w:rsid w:val="0061167C"/>
    <w:rsid w:val="006126D0"/>
    <w:rsid w:val="00613CBB"/>
    <w:rsid w:val="0061673A"/>
    <w:rsid w:val="00617411"/>
    <w:rsid w:val="00617947"/>
    <w:rsid w:val="00620033"/>
    <w:rsid w:val="0062275D"/>
    <w:rsid w:val="0062285B"/>
    <w:rsid w:val="00626B4F"/>
    <w:rsid w:val="00635E8B"/>
    <w:rsid w:val="00645360"/>
    <w:rsid w:val="00646E26"/>
    <w:rsid w:val="00651083"/>
    <w:rsid w:val="006544BC"/>
    <w:rsid w:val="00664C5F"/>
    <w:rsid w:val="00671E17"/>
    <w:rsid w:val="00676423"/>
    <w:rsid w:val="00684E39"/>
    <w:rsid w:val="00687422"/>
    <w:rsid w:val="006908DF"/>
    <w:rsid w:val="00694003"/>
    <w:rsid w:val="00694E49"/>
    <w:rsid w:val="00696A50"/>
    <w:rsid w:val="00696B00"/>
    <w:rsid w:val="006A3D2E"/>
    <w:rsid w:val="006A5415"/>
    <w:rsid w:val="006B3A15"/>
    <w:rsid w:val="006B7858"/>
    <w:rsid w:val="006C13FD"/>
    <w:rsid w:val="006C4CF9"/>
    <w:rsid w:val="006C6EDB"/>
    <w:rsid w:val="006C79BB"/>
    <w:rsid w:val="006D29A7"/>
    <w:rsid w:val="006D49B3"/>
    <w:rsid w:val="006D6F93"/>
    <w:rsid w:val="006D77A4"/>
    <w:rsid w:val="006E05A8"/>
    <w:rsid w:val="006E2818"/>
    <w:rsid w:val="006E6EBC"/>
    <w:rsid w:val="006E77FD"/>
    <w:rsid w:val="006F1108"/>
    <w:rsid w:val="006F4968"/>
    <w:rsid w:val="007028A9"/>
    <w:rsid w:val="00707565"/>
    <w:rsid w:val="00712F06"/>
    <w:rsid w:val="00714386"/>
    <w:rsid w:val="007152A4"/>
    <w:rsid w:val="00715FDB"/>
    <w:rsid w:val="007203A0"/>
    <w:rsid w:val="007256F7"/>
    <w:rsid w:val="00733797"/>
    <w:rsid w:val="00737DEE"/>
    <w:rsid w:val="00744DC9"/>
    <w:rsid w:val="00747674"/>
    <w:rsid w:val="00751049"/>
    <w:rsid w:val="00751F59"/>
    <w:rsid w:val="007610F4"/>
    <w:rsid w:val="0077382A"/>
    <w:rsid w:val="00774604"/>
    <w:rsid w:val="007766DC"/>
    <w:rsid w:val="00776E9C"/>
    <w:rsid w:val="007779C9"/>
    <w:rsid w:val="00777D23"/>
    <w:rsid w:val="0078039D"/>
    <w:rsid w:val="007808E4"/>
    <w:rsid w:val="00783481"/>
    <w:rsid w:val="00783EC3"/>
    <w:rsid w:val="007848C1"/>
    <w:rsid w:val="00785240"/>
    <w:rsid w:val="00785F1F"/>
    <w:rsid w:val="007867C0"/>
    <w:rsid w:val="00790516"/>
    <w:rsid w:val="00791684"/>
    <w:rsid w:val="00795995"/>
    <w:rsid w:val="0079793D"/>
    <w:rsid w:val="007A1BD6"/>
    <w:rsid w:val="007B1AE7"/>
    <w:rsid w:val="007B6464"/>
    <w:rsid w:val="007D59A6"/>
    <w:rsid w:val="007D715A"/>
    <w:rsid w:val="007E07EE"/>
    <w:rsid w:val="007E568E"/>
    <w:rsid w:val="007E6992"/>
    <w:rsid w:val="007E735B"/>
    <w:rsid w:val="007F1DF4"/>
    <w:rsid w:val="007F2FB3"/>
    <w:rsid w:val="007F4BFA"/>
    <w:rsid w:val="007F6708"/>
    <w:rsid w:val="0080138B"/>
    <w:rsid w:val="00803E02"/>
    <w:rsid w:val="008045BB"/>
    <w:rsid w:val="00807290"/>
    <w:rsid w:val="00821D5F"/>
    <w:rsid w:val="0082597D"/>
    <w:rsid w:val="008274BA"/>
    <w:rsid w:val="008334C2"/>
    <w:rsid w:val="00835746"/>
    <w:rsid w:val="00837971"/>
    <w:rsid w:val="0084226A"/>
    <w:rsid w:val="008454F0"/>
    <w:rsid w:val="008539BF"/>
    <w:rsid w:val="00853EB9"/>
    <w:rsid w:val="0085786F"/>
    <w:rsid w:val="0086014A"/>
    <w:rsid w:val="00862339"/>
    <w:rsid w:val="00863265"/>
    <w:rsid w:val="0086749B"/>
    <w:rsid w:val="008705F3"/>
    <w:rsid w:val="008744C5"/>
    <w:rsid w:val="00875229"/>
    <w:rsid w:val="008815E1"/>
    <w:rsid w:val="0088307E"/>
    <w:rsid w:val="00887AA1"/>
    <w:rsid w:val="00892698"/>
    <w:rsid w:val="00893360"/>
    <w:rsid w:val="008940F7"/>
    <w:rsid w:val="00894461"/>
    <w:rsid w:val="008A34DB"/>
    <w:rsid w:val="008A5CD2"/>
    <w:rsid w:val="008A6130"/>
    <w:rsid w:val="008B6764"/>
    <w:rsid w:val="008B7895"/>
    <w:rsid w:val="008C0F20"/>
    <w:rsid w:val="008C119E"/>
    <w:rsid w:val="008C180E"/>
    <w:rsid w:val="008C2AD3"/>
    <w:rsid w:val="008C3B2B"/>
    <w:rsid w:val="008D0294"/>
    <w:rsid w:val="008D4AED"/>
    <w:rsid w:val="008E04C9"/>
    <w:rsid w:val="008E10A8"/>
    <w:rsid w:val="008E4D86"/>
    <w:rsid w:val="008F09BF"/>
    <w:rsid w:val="008F4B01"/>
    <w:rsid w:val="008F74E2"/>
    <w:rsid w:val="008F7F11"/>
    <w:rsid w:val="00904953"/>
    <w:rsid w:val="00906BA9"/>
    <w:rsid w:val="00913F38"/>
    <w:rsid w:val="00914E04"/>
    <w:rsid w:val="00915E73"/>
    <w:rsid w:val="0091651F"/>
    <w:rsid w:val="00924419"/>
    <w:rsid w:val="00925B33"/>
    <w:rsid w:val="00925EDA"/>
    <w:rsid w:val="00927BA1"/>
    <w:rsid w:val="009304F4"/>
    <w:rsid w:val="0093122C"/>
    <w:rsid w:val="0093356A"/>
    <w:rsid w:val="00936819"/>
    <w:rsid w:val="009374D6"/>
    <w:rsid w:val="009379A7"/>
    <w:rsid w:val="009429C7"/>
    <w:rsid w:val="00950E19"/>
    <w:rsid w:val="00954884"/>
    <w:rsid w:val="00955DC8"/>
    <w:rsid w:val="00966811"/>
    <w:rsid w:val="00966F25"/>
    <w:rsid w:val="00971AA6"/>
    <w:rsid w:val="009746E2"/>
    <w:rsid w:val="00977334"/>
    <w:rsid w:val="009823AA"/>
    <w:rsid w:val="009824E3"/>
    <w:rsid w:val="00982909"/>
    <w:rsid w:val="00982D45"/>
    <w:rsid w:val="00987A7F"/>
    <w:rsid w:val="009904D7"/>
    <w:rsid w:val="00993B6E"/>
    <w:rsid w:val="00996D67"/>
    <w:rsid w:val="009A014B"/>
    <w:rsid w:val="009A0D24"/>
    <w:rsid w:val="009A6162"/>
    <w:rsid w:val="009B0082"/>
    <w:rsid w:val="009B1EB3"/>
    <w:rsid w:val="009B3C90"/>
    <w:rsid w:val="009B449D"/>
    <w:rsid w:val="009B6938"/>
    <w:rsid w:val="009B6A88"/>
    <w:rsid w:val="009C047C"/>
    <w:rsid w:val="009C7D9F"/>
    <w:rsid w:val="009D11E3"/>
    <w:rsid w:val="009D20BA"/>
    <w:rsid w:val="009D254D"/>
    <w:rsid w:val="009D2A43"/>
    <w:rsid w:val="009D3692"/>
    <w:rsid w:val="009E06DB"/>
    <w:rsid w:val="009E0C1C"/>
    <w:rsid w:val="009E3860"/>
    <w:rsid w:val="009E3CD9"/>
    <w:rsid w:val="009E5EFB"/>
    <w:rsid w:val="009E7919"/>
    <w:rsid w:val="009F0D10"/>
    <w:rsid w:val="009F1030"/>
    <w:rsid w:val="009F1C65"/>
    <w:rsid w:val="009F55DE"/>
    <w:rsid w:val="00A12913"/>
    <w:rsid w:val="00A14BA0"/>
    <w:rsid w:val="00A15AC7"/>
    <w:rsid w:val="00A16576"/>
    <w:rsid w:val="00A20868"/>
    <w:rsid w:val="00A229B7"/>
    <w:rsid w:val="00A2711B"/>
    <w:rsid w:val="00A30B20"/>
    <w:rsid w:val="00A32896"/>
    <w:rsid w:val="00A35F51"/>
    <w:rsid w:val="00A4324A"/>
    <w:rsid w:val="00A439FB"/>
    <w:rsid w:val="00A45612"/>
    <w:rsid w:val="00A473DA"/>
    <w:rsid w:val="00A5049E"/>
    <w:rsid w:val="00A50ED4"/>
    <w:rsid w:val="00A572EB"/>
    <w:rsid w:val="00A60E11"/>
    <w:rsid w:val="00A664B4"/>
    <w:rsid w:val="00A7038C"/>
    <w:rsid w:val="00A706A8"/>
    <w:rsid w:val="00A71A06"/>
    <w:rsid w:val="00A7228F"/>
    <w:rsid w:val="00A7453E"/>
    <w:rsid w:val="00A74B88"/>
    <w:rsid w:val="00A764BA"/>
    <w:rsid w:val="00A776EB"/>
    <w:rsid w:val="00A83393"/>
    <w:rsid w:val="00A862B2"/>
    <w:rsid w:val="00A9087E"/>
    <w:rsid w:val="00A93901"/>
    <w:rsid w:val="00A952FF"/>
    <w:rsid w:val="00A95AC8"/>
    <w:rsid w:val="00AA2DD3"/>
    <w:rsid w:val="00AB11EB"/>
    <w:rsid w:val="00AB1646"/>
    <w:rsid w:val="00AB1D77"/>
    <w:rsid w:val="00AB2245"/>
    <w:rsid w:val="00AB3499"/>
    <w:rsid w:val="00AB415C"/>
    <w:rsid w:val="00AB46C4"/>
    <w:rsid w:val="00AB4977"/>
    <w:rsid w:val="00AC3A64"/>
    <w:rsid w:val="00AD2074"/>
    <w:rsid w:val="00AD24B5"/>
    <w:rsid w:val="00AD31F2"/>
    <w:rsid w:val="00AD742E"/>
    <w:rsid w:val="00AE0706"/>
    <w:rsid w:val="00AF05EF"/>
    <w:rsid w:val="00AF367E"/>
    <w:rsid w:val="00AF587F"/>
    <w:rsid w:val="00AF74BF"/>
    <w:rsid w:val="00AF758E"/>
    <w:rsid w:val="00B01F98"/>
    <w:rsid w:val="00B060EE"/>
    <w:rsid w:val="00B10A26"/>
    <w:rsid w:val="00B117A9"/>
    <w:rsid w:val="00B119C8"/>
    <w:rsid w:val="00B14B16"/>
    <w:rsid w:val="00B17BCF"/>
    <w:rsid w:val="00B17C0C"/>
    <w:rsid w:val="00B2101F"/>
    <w:rsid w:val="00B2190D"/>
    <w:rsid w:val="00B224B3"/>
    <w:rsid w:val="00B27335"/>
    <w:rsid w:val="00B31ABF"/>
    <w:rsid w:val="00B33179"/>
    <w:rsid w:val="00B41E31"/>
    <w:rsid w:val="00B42B6E"/>
    <w:rsid w:val="00B45117"/>
    <w:rsid w:val="00B46B9A"/>
    <w:rsid w:val="00B50A70"/>
    <w:rsid w:val="00B54BD6"/>
    <w:rsid w:val="00B54F94"/>
    <w:rsid w:val="00B57155"/>
    <w:rsid w:val="00B57775"/>
    <w:rsid w:val="00B602AA"/>
    <w:rsid w:val="00B61DC3"/>
    <w:rsid w:val="00B62EA7"/>
    <w:rsid w:val="00B65FAD"/>
    <w:rsid w:val="00B7103B"/>
    <w:rsid w:val="00B737FE"/>
    <w:rsid w:val="00B767AA"/>
    <w:rsid w:val="00B802F8"/>
    <w:rsid w:val="00B82FF9"/>
    <w:rsid w:val="00B83CD5"/>
    <w:rsid w:val="00B8451B"/>
    <w:rsid w:val="00B85896"/>
    <w:rsid w:val="00B90D14"/>
    <w:rsid w:val="00BA0B99"/>
    <w:rsid w:val="00BA53C3"/>
    <w:rsid w:val="00BA60DC"/>
    <w:rsid w:val="00BA6D16"/>
    <w:rsid w:val="00BB29F6"/>
    <w:rsid w:val="00BB3854"/>
    <w:rsid w:val="00BB3A85"/>
    <w:rsid w:val="00BB54E0"/>
    <w:rsid w:val="00BB7DD5"/>
    <w:rsid w:val="00BC0983"/>
    <w:rsid w:val="00BC5C9C"/>
    <w:rsid w:val="00BC7B91"/>
    <w:rsid w:val="00BD0E31"/>
    <w:rsid w:val="00BD39BE"/>
    <w:rsid w:val="00BD48E4"/>
    <w:rsid w:val="00BE279E"/>
    <w:rsid w:val="00BE3786"/>
    <w:rsid w:val="00BE7DED"/>
    <w:rsid w:val="00BF0BFC"/>
    <w:rsid w:val="00BF382B"/>
    <w:rsid w:val="00BF43BD"/>
    <w:rsid w:val="00BF4BC4"/>
    <w:rsid w:val="00BF5118"/>
    <w:rsid w:val="00BF5228"/>
    <w:rsid w:val="00BF59DF"/>
    <w:rsid w:val="00C00768"/>
    <w:rsid w:val="00C03D6D"/>
    <w:rsid w:val="00C108BC"/>
    <w:rsid w:val="00C128FE"/>
    <w:rsid w:val="00C12EDE"/>
    <w:rsid w:val="00C15AD1"/>
    <w:rsid w:val="00C17209"/>
    <w:rsid w:val="00C17E72"/>
    <w:rsid w:val="00C220A6"/>
    <w:rsid w:val="00C2211B"/>
    <w:rsid w:val="00C25891"/>
    <w:rsid w:val="00C25DB7"/>
    <w:rsid w:val="00C31FE6"/>
    <w:rsid w:val="00C32D87"/>
    <w:rsid w:val="00C330AE"/>
    <w:rsid w:val="00C35268"/>
    <w:rsid w:val="00C359EE"/>
    <w:rsid w:val="00C36E6C"/>
    <w:rsid w:val="00C3745C"/>
    <w:rsid w:val="00C37CC4"/>
    <w:rsid w:val="00C44DAD"/>
    <w:rsid w:val="00C46F57"/>
    <w:rsid w:val="00C50364"/>
    <w:rsid w:val="00C51968"/>
    <w:rsid w:val="00C52BA3"/>
    <w:rsid w:val="00C5336F"/>
    <w:rsid w:val="00C5423A"/>
    <w:rsid w:val="00C56F6A"/>
    <w:rsid w:val="00C57831"/>
    <w:rsid w:val="00C6103E"/>
    <w:rsid w:val="00C628C6"/>
    <w:rsid w:val="00C649B9"/>
    <w:rsid w:val="00C67C57"/>
    <w:rsid w:val="00C74F21"/>
    <w:rsid w:val="00C80C05"/>
    <w:rsid w:val="00C815CB"/>
    <w:rsid w:val="00C826F3"/>
    <w:rsid w:val="00C8466C"/>
    <w:rsid w:val="00C8778D"/>
    <w:rsid w:val="00C94785"/>
    <w:rsid w:val="00CA3BAB"/>
    <w:rsid w:val="00CA4ADF"/>
    <w:rsid w:val="00CA5436"/>
    <w:rsid w:val="00CB2888"/>
    <w:rsid w:val="00CB3A14"/>
    <w:rsid w:val="00CB4EC9"/>
    <w:rsid w:val="00CC0269"/>
    <w:rsid w:val="00CC084C"/>
    <w:rsid w:val="00CC3253"/>
    <w:rsid w:val="00CD0A0F"/>
    <w:rsid w:val="00CD0B22"/>
    <w:rsid w:val="00CE1A20"/>
    <w:rsid w:val="00CE5163"/>
    <w:rsid w:val="00CE538B"/>
    <w:rsid w:val="00CE6DAD"/>
    <w:rsid w:val="00CF6004"/>
    <w:rsid w:val="00CF7D34"/>
    <w:rsid w:val="00D076E8"/>
    <w:rsid w:val="00D100A1"/>
    <w:rsid w:val="00D12BAF"/>
    <w:rsid w:val="00D12DFC"/>
    <w:rsid w:val="00D15F68"/>
    <w:rsid w:val="00D22267"/>
    <w:rsid w:val="00D22898"/>
    <w:rsid w:val="00D23CB8"/>
    <w:rsid w:val="00D2428E"/>
    <w:rsid w:val="00D255E2"/>
    <w:rsid w:val="00D26B94"/>
    <w:rsid w:val="00D30C1B"/>
    <w:rsid w:val="00D3133F"/>
    <w:rsid w:val="00D42E57"/>
    <w:rsid w:val="00D4387F"/>
    <w:rsid w:val="00D44C83"/>
    <w:rsid w:val="00D51281"/>
    <w:rsid w:val="00D513B3"/>
    <w:rsid w:val="00D54FEB"/>
    <w:rsid w:val="00D61C1D"/>
    <w:rsid w:val="00D6389C"/>
    <w:rsid w:val="00D67B67"/>
    <w:rsid w:val="00D725C0"/>
    <w:rsid w:val="00D72D42"/>
    <w:rsid w:val="00D75C27"/>
    <w:rsid w:val="00D83EC2"/>
    <w:rsid w:val="00D84E34"/>
    <w:rsid w:val="00D87689"/>
    <w:rsid w:val="00D92B92"/>
    <w:rsid w:val="00D9367D"/>
    <w:rsid w:val="00D93896"/>
    <w:rsid w:val="00D94F47"/>
    <w:rsid w:val="00D96D08"/>
    <w:rsid w:val="00DA21F6"/>
    <w:rsid w:val="00DA6C40"/>
    <w:rsid w:val="00DB4913"/>
    <w:rsid w:val="00DC39EE"/>
    <w:rsid w:val="00DC55D6"/>
    <w:rsid w:val="00DC5A19"/>
    <w:rsid w:val="00DD092D"/>
    <w:rsid w:val="00DD2218"/>
    <w:rsid w:val="00DD38DB"/>
    <w:rsid w:val="00DD3C0D"/>
    <w:rsid w:val="00DD3FD5"/>
    <w:rsid w:val="00DD5A96"/>
    <w:rsid w:val="00DD60E3"/>
    <w:rsid w:val="00DD793E"/>
    <w:rsid w:val="00DE445A"/>
    <w:rsid w:val="00DE4C18"/>
    <w:rsid w:val="00DF2012"/>
    <w:rsid w:val="00DF5CED"/>
    <w:rsid w:val="00E00D3D"/>
    <w:rsid w:val="00E03219"/>
    <w:rsid w:val="00E0741E"/>
    <w:rsid w:val="00E162FF"/>
    <w:rsid w:val="00E240EB"/>
    <w:rsid w:val="00E253EF"/>
    <w:rsid w:val="00E25E4F"/>
    <w:rsid w:val="00E315CE"/>
    <w:rsid w:val="00E31F9B"/>
    <w:rsid w:val="00E328F6"/>
    <w:rsid w:val="00E32BD7"/>
    <w:rsid w:val="00E37729"/>
    <w:rsid w:val="00E41187"/>
    <w:rsid w:val="00E456FA"/>
    <w:rsid w:val="00E551A8"/>
    <w:rsid w:val="00E56300"/>
    <w:rsid w:val="00E56798"/>
    <w:rsid w:val="00E640A5"/>
    <w:rsid w:val="00E67ACA"/>
    <w:rsid w:val="00E67FC6"/>
    <w:rsid w:val="00E70243"/>
    <w:rsid w:val="00E73A04"/>
    <w:rsid w:val="00E75C7B"/>
    <w:rsid w:val="00E7663F"/>
    <w:rsid w:val="00E80192"/>
    <w:rsid w:val="00E81678"/>
    <w:rsid w:val="00E816D9"/>
    <w:rsid w:val="00E833D7"/>
    <w:rsid w:val="00E84B46"/>
    <w:rsid w:val="00E9075D"/>
    <w:rsid w:val="00E91163"/>
    <w:rsid w:val="00E915F2"/>
    <w:rsid w:val="00E95540"/>
    <w:rsid w:val="00EA1186"/>
    <w:rsid w:val="00EA2180"/>
    <w:rsid w:val="00EA45FB"/>
    <w:rsid w:val="00EA719A"/>
    <w:rsid w:val="00EB05E7"/>
    <w:rsid w:val="00EB08F2"/>
    <w:rsid w:val="00EB0B8E"/>
    <w:rsid w:val="00EB38EC"/>
    <w:rsid w:val="00EC16AF"/>
    <w:rsid w:val="00EC1DAB"/>
    <w:rsid w:val="00EC4044"/>
    <w:rsid w:val="00EC58D5"/>
    <w:rsid w:val="00ED2E1A"/>
    <w:rsid w:val="00ED339D"/>
    <w:rsid w:val="00ED5EB4"/>
    <w:rsid w:val="00EE1EA4"/>
    <w:rsid w:val="00EE21BD"/>
    <w:rsid w:val="00EE3158"/>
    <w:rsid w:val="00EE50C7"/>
    <w:rsid w:val="00EE7F72"/>
    <w:rsid w:val="00EF0872"/>
    <w:rsid w:val="00EF248C"/>
    <w:rsid w:val="00EF2E8A"/>
    <w:rsid w:val="00EF5513"/>
    <w:rsid w:val="00EF7358"/>
    <w:rsid w:val="00F01B33"/>
    <w:rsid w:val="00F01C31"/>
    <w:rsid w:val="00F02A17"/>
    <w:rsid w:val="00F04B89"/>
    <w:rsid w:val="00F06FDE"/>
    <w:rsid w:val="00F07612"/>
    <w:rsid w:val="00F13000"/>
    <w:rsid w:val="00F139A5"/>
    <w:rsid w:val="00F17DC6"/>
    <w:rsid w:val="00F2323C"/>
    <w:rsid w:val="00F316C0"/>
    <w:rsid w:val="00F3368A"/>
    <w:rsid w:val="00F354C8"/>
    <w:rsid w:val="00F359DD"/>
    <w:rsid w:val="00F3602C"/>
    <w:rsid w:val="00F37040"/>
    <w:rsid w:val="00F40975"/>
    <w:rsid w:val="00F421FB"/>
    <w:rsid w:val="00F454C2"/>
    <w:rsid w:val="00F4729F"/>
    <w:rsid w:val="00F52FEE"/>
    <w:rsid w:val="00F5522D"/>
    <w:rsid w:val="00F61D4E"/>
    <w:rsid w:val="00F641FC"/>
    <w:rsid w:val="00F842FB"/>
    <w:rsid w:val="00F86212"/>
    <w:rsid w:val="00F92F8E"/>
    <w:rsid w:val="00F941B4"/>
    <w:rsid w:val="00F950AB"/>
    <w:rsid w:val="00F958A6"/>
    <w:rsid w:val="00F959E0"/>
    <w:rsid w:val="00F963D9"/>
    <w:rsid w:val="00FB0358"/>
    <w:rsid w:val="00FB08ED"/>
    <w:rsid w:val="00FB5590"/>
    <w:rsid w:val="00FD08EE"/>
    <w:rsid w:val="00FD34AD"/>
    <w:rsid w:val="00FD35B3"/>
    <w:rsid w:val="00FD6DCB"/>
    <w:rsid w:val="00FD707F"/>
    <w:rsid w:val="00FD7B9F"/>
    <w:rsid w:val="00FE0716"/>
    <w:rsid w:val="00FE5C98"/>
    <w:rsid w:val="00FF3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3379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6A5415"/>
    <w:pPr>
      <w:spacing w:before="1000" w:after="360"/>
      <w:outlineLvl w:val="0"/>
    </w:pPr>
    <w:rPr>
      <w:b/>
      <w:color w:val="264F90"/>
      <w:sz w:val="56"/>
      <w:szCs w:val="56"/>
    </w:rPr>
  </w:style>
  <w:style w:type="paragraph" w:styleId="Heading2">
    <w:name w:val="heading 2"/>
    <w:basedOn w:val="Normal"/>
    <w:next w:val="Normal"/>
    <w:link w:val="Heading2Char"/>
    <w:autoRedefine/>
    <w:qFormat/>
    <w:rsid w:val="00687422"/>
    <w:pPr>
      <w:spacing w:line="280" w:lineRule="exact"/>
      <w:outlineLvl w:val="1"/>
    </w:pPr>
    <w:rPr>
      <w:rFonts w:cs="Arial"/>
      <w:b/>
      <w:bCs/>
      <w:iCs w:val="0"/>
      <w:color w:val="264F90"/>
      <w:sz w:val="24"/>
      <w:szCs w:val="32"/>
    </w:rPr>
  </w:style>
  <w:style w:type="paragraph" w:styleId="Heading3">
    <w:name w:val="heading 3"/>
    <w:basedOn w:val="Heading2"/>
    <w:next w:val="Normal"/>
    <w:link w:val="Heading3Char"/>
    <w:qFormat/>
    <w:rsid w:val="00474AF0"/>
    <w:pPr>
      <w:numPr>
        <w:ilvl w:val="1"/>
      </w:numPr>
      <w:tabs>
        <w:tab w:val="left" w:pos="7676"/>
      </w:tabs>
      <w:outlineLvl w:val="2"/>
    </w:pPr>
  </w:style>
  <w:style w:type="paragraph" w:styleId="Heading4">
    <w:name w:val="heading 4"/>
    <w:basedOn w:val="Heading3"/>
    <w:next w:val="Normal"/>
    <w:link w:val="Heading4Char"/>
    <w:autoRedefine/>
    <w:qFormat/>
    <w:rsid w:val="00E73A04"/>
    <w:pPr>
      <w:numPr>
        <w:ilvl w:val="2"/>
      </w:numPr>
      <w:ind w:left="1134" w:hanging="1134"/>
      <w:outlineLvl w:val="3"/>
    </w:pPr>
    <w:rPr>
      <w:rFonts w:eastAsia="MS Mincho" w:cs="TimesNewRoman"/>
      <w:sz w:val="22"/>
      <w:szCs w:val="20"/>
    </w:rPr>
  </w:style>
  <w:style w:type="paragraph" w:styleId="Heading5">
    <w:name w:val="heading 5"/>
    <w:basedOn w:val="Heading4"/>
    <w:next w:val="Normal"/>
    <w:link w:val="Heading5Char"/>
    <w:qFormat/>
    <w:rsid w:val="00C17209"/>
    <w:pPr>
      <w:tabs>
        <w:tab w:val="left" w:pos="0"/>
      </w:tabs>
      <w:outlineLvl w:val="4"/>
    </w:pPr>
    <w:rPr>
      <w:bCs w:val="0"/>
      <w:iCs/>
      <w:sz w:val="28"/>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6103E"/>
    <w:pPr>
      <w:tabs>
        <w:tab w:val="center" w:pos="4153"/>
        <w:tab w:val="right" w:pos="8306"/>
      </w:tabs>
    </w:pPr>
    <w:rPr>
      <w:sz w:val="16"/>
    </w:rPr>
  </w:style>
  <w:style w:type="paragraph" w:styleId="ListNumber">
    <w:name w:val="List Number"/>
    <w:basedOn w:val="Normal"/>
    <w:rsid w:val="00BF43BD"/>
    <w:pPr>
      <w:numPr>
        <w:numId w:val="9"/>
      </w:numPr>
      <w:spacing w:before="60"/>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2"/>
      </w:numPr>
      <w:spacing w:line="240" w:lineRule="auto"/>
    </w:pPr>
  </w:style>
  <w:style w:type="character" w:customStyle="1" w:styleId="Heading1Char">
    <w:name w:val="Heading 1 Char"/>
    <w:basedOn w:val="DefaultParagraphFont"/>
    <w:link w:val="Heading1"/>
    <w:rsid w:val="006A5415"/>
    <w:rPr>
      <w:rFonts w:ascii="Arial" w:hAnsi="Arial"/>
      <w:b/>
      <w:iCs/>
      <w:color w:val="264F90"/>
      <w:sz w:val="56"/>
      <w:szCs w:val="56"/>
    </w:rPr>
  </w:style>
  <w:style w:type="paragraph" w:styleId="ListBullet3">
    <w:name w:val="List Bullet 3"/>
    <w:aliases w:val="Indent Quote Bullet"/>
    <w:rsid w:val="004918B1"/>
    <w:pPr>
      <w:numPr>
        <w:numId w:val="3"/>
      </w:numPr>
      <w:tabs>
        <w:tab w:val="clear" w:pos="1800"/>
        <w:tab w:val="num" w:pos="1080"/>
      </w:tabs>
      <w:ind w:left="1080"/>
    </w:pPr>
    <w:rPr>
      <w:rFonts w:ascii="TheSansOffice" w:hAnsi="TheSansOffice"/>
      <w:iCs/>
      <w:szCs w:val="24"/>
    </w:rPr>
  </w:style>
  <w:style w:type="paragraph" w:styleId="ListBullet">
    <w:name w:val="List Bullet"/>
    <w:basedOn w:val="Normal"/>
    <w:rsid w:val="00733797"/>
    <w:pPr>
      <w:numPr>
        <w:numId w:val="8"/>
      </w:numPr>
      <w:spacing w:before="60" w:after="60"/>
    </w:pPr>
    <w:rPr>
      <w:iCs w:val="0"/>
    </w:rPr>
  </w:style>
  <w:style w:type="character" w:customStyle="1" w:styleId="Heading2Char">
    <w:name w:val="Heading 2 Char"/>
    <w:basedOn w:val="DefaultParagraphFont"/>
    <w:link w:val="Heading2"/>
    <w:rsid w:val="00687422"/>
    <w:rPr>
      <w:rFonts w:ascii="Arial" w:hAnsi="Arial" w:cs="Arial"/>
      <w:b/>
      <w:bCs/>
      <w:color w:val="264F90"/>
      <w:sz w:val="24"/>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000886"/>
    <w:pPr>
      <w:numPr>
        <w:numId w:val="7"/>
      </w:numPr>
    </w:pPr>
  </w:style>
  <w:style w:type="paragraph" w:styleId="TOC4">
    <w:name w:val="toc 4"/>
    <w:basedOn w:val="Normal"/>
    <w:next w:val="Normal"/>
    <w:autoRedefine/>
    <w:uiPriority w:val="39"/>
    <w:rsid w:val="00217440"/>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1"/>
      </w:numPr>
      <w:spacing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2D52D1"/>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D52D1"/>
    <w:pPr>
      <w:tabs>
        <w:tab w:val="right" w:leader="dot" w:pos="8789"/>
      </w:tabs>
      <w:spacing w:after="60" w:line="240" w:lineRule="auto"/>
      <w:ind w:left="1077" w:hanging="720"/>
    </w:pPr>
    <w:rPr>
      <w:rFonts w:eastAsia="Calibri"/>
      <w:szCs w:val="22"/>
      <w:lang w:val="en-US"/>
    </w:rPr>
  </w:style>
  <w:style w:type="character" w:customStyle="1" w:styleId="Heading3Char">
    <w:name w:val="Heading 3 Char"/>
    <w:basedOn w:val="DefaultParagraphFont"/>
    <w:link w:val="Heading3"/>
    <w:rsid w:val="00474AF0"/>
    <w:rPr>
      <w:rFonts w:ascii="Arial" w:hAnsi="Arial" w:cs="Arial"/>
      <w:b/>
      <w:bCs/>
      <w:color w:val="264F90"/>
      <w:sz w:val="24"/>
      <w:szCs w:val="32"/>
    </w:rPr>
  </w:style>
  <w:style w:type="character" w:customStyle="1" w:styleId="Heading4Char">
    <w:name w:val="Heading 4 Char"/>
    <w:basedOn w:val="Heading3Char"/>
    <w:link w:val="Heading4"/>
    <w:rsid w:val="00E73A04"/>
    <w:rPr>
      <w:rFonts w:ascii="Arial" w:eastAsia="MS Mincho" w:hAnsi="Arial" w:cs="TimesNewRoman"/>
      <w:b/>
      <w:bCs/>
      <w:color w:val="264F90"/>
      <w:sz w:val="22"/>
      <w:szCs w:val="32"/>
    </w:rPr>
  </w:style>
  <w:style w:type="character" w:customStyle="1" w:styleId="Heading5Char">
    <w:name w:val="Heading 5 Char"/>
    <w:basedOn w:val="Heading4Char"/>
    <w:link w:val="Heading5"/>
    <w:rsid w:val="00C17209"/>
    <w:rPr>
      <w:rFonts w:ascii="Arial" w:eastAsia="MS Mincho" w:hAnsi="Arial" w:cs="TimesNewRoman"/>
      <w:b/>
      <w:bCs w:val="0"/>
      <w:iCs/>
      <w:color w:val="264F90"/>
      <w:sz w:val="28"/>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4"/>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5"/>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style>
  <w:style w:type="paragraph" w:customStyle="1" w:styleId="Heading3Appendix">
    <w:name w:val="Heading 3 Appendix"/>
    <w:basedOn w:val="Heading3"/>
    <w:qFormat/>
    <w:rsid w:val="009B6938"/>
    <w:pPr>
      <w:numPr>
        <w:ilvl w:val="0"/>
      </w:numPr>
    </w:pPr>
  </w:style>
  <w:style w:type="character" w:styleId="FollowedHyperlink">
    <w:name w:val="FollowedHyperlink"/>
    <w:basedOn w:val="DefaultParagraphFont"/>
    <w:rsid w:val="002C621C"/>
    <w:rPr>
      <w:color w:val="800080" w:themeColor="followedHyperlink"/>
      <w:u w:val="single"/>
    </w:rPr>
  </w:style>
  <w:style w:type="paragraph" w:customStyle="1" w:styleId="Normal18ptbefore">
    <w:name w:val="Normal + 18pt before"/>
    <w:basedOn w:val="Normal"/>
    <w:qFormat/>
    <w:rsid w:val="006A5415"/>
    <w:pPr>
      <w:spacing w:before="360"/>
    </w:pPr>
  </w:style>
  <w:style w:type="paragraph" w:customStyle="1" w:styleId="Normalheaderrow">
    <w:name w:val="Normal + header row"/>
    <w:basedOn w:val="Normal"/>
    <w:qFormat/>
    <w:rsid w:val="0011363F"/>
    <w:pPr>
      <w:jc w:val="center"/>
    </w:pPr>
    <w:rPr>
      <w:b/>
      <w:color w:val="FFFFFF" w:themeColor="background1"/>
      <w:sz w:val="22"/>
    </w:rPr>
  </w:style>
  <w:style w:type="paragraph" w:customStyle="1" w:styleId="Normal10ptbefore">
    <w:name w:val="Normal + 10 pt before"/>
    <w:basedOn w:val="Normal"/>
    <w:qFormat/>
    <w:rsid w:val="00BC0983"/>
    <w:pPr>
      <w:spacing w:before="200" w:line="280" w:lineRule="exact"/>
    </w:pPr>
  </w:style>
  <w:style w:type="paragraph" w:styleId="Subtitle">
    <w:name w:val="Subtitle"/>
    <w:basedOn w:val="Normal"/>
    <w:next w:val="Normal"/>
    <w:link w:val="SubtitleChar"/>
    <w:qFormat/>
    <w:rsid w:val="00954884"/>
    <w:pPr>
      <w:numPr>
        <w:ilvl w:val="1"/>
      </w:numPr>
    </w:pPr>
    <w:rPr>
      <w:rFonts w:asciiTheme="majorHAnsi" w:eastAsiaTheme="majorEastAsia" w:hAnsiTheme="majorHAnsi" w:cstheme="majorBidi"/>
      <w:i/>
      <w:iCs w:val="0"/>
      <w:color w:val="4F81BD" w:themeColor="accent1"/>
      <w:spacing w:val="15"/>
      <w:sz w:val="24"/>
    </w:rPr>
  </w:style>
  <w:style w:type="character" w:customStyle="1" w:styleId="SubtitleChar">
    <w:name w:val="Subtitle Char"/>
    <w:basedOn w:val="DefaultParagraphFont"/>
    <w:link w:val="Subtitle"/>
    <w:rsid w:val="00954884"/>
    <w:rPr>
      <w:rFonts w:asciiTheme="majorHAnsi" w:eastAsiaTheme="majorEastAsia" w:hAnsiTheme="majorHAnsi" w:cstheme="majorBidi"/>
      <w:i/>
      <w:color w:val="4F81BD" w:themeColor="accent1"/>
      <w:spacing w:val="15"/>
      <w:sz w:val="24"/>
      <w:szCs w:val="24"/>
    </w:rPr>
  </w:style>
  <w:style w:type="character" w:customStyle="1" w:styleId="FooterChar">
    <w:name w:val="Footer Char"/>
    <w:basedOn w:val="DefaultParagraphFont"/>
    <w:link w:val="Footer"/>
    <w:uiPriority w:val="99"/>
    <w:rsid w:val="0054052E"/>
    <w:rPr>
      <w:rFonts w:ascii="Arial" w:hAnsi="Arial"/>
      <w:i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3379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6A5415"/>
    <w:pPr>
      <w:spacing w:before="1000" w:after="360"/>
      <w:outlineLvl w:val="0"/>
    </w:pPr>
    <w:rPr>
      <w:b/>
      <w:color w:val="264F90"/>
      <w:sz w:val="56"/>
      <w:szCs w:val="56"/>
    </w:rPr>
  </w:style>
  <w:style w:type="paragraph" w:styleId="Heading2">
    <w:name w:val="heading 2"/>
    <w:basedOn w:val="Normal"/>
    <w:next w:val="Normal"/>
    <w:link w:val="Heading2Char"/>
    <w:autoRedefine/>
    <w:qFormat/>
    <w:rsid w:val="00687422"/>
    <w:pPr>
      <w:spacing w:line="280" w:lineRule="exact"/>
      <w:outlineLvl w:val="1"/>
    </w:pPr>
    <w:rPr>
      <w:rFonts w:cs="Arial"/>
      <w:b/>
      <w:bCs/>
      <w:iCs w:val="0"/>
      <w:color w:val="264F90"/>
      <w:sz w:val="24"/>
      <w:szCs w:val="32"/>
    </w:rPr>
  </w:style>
  <w:style w:type="paragraph" w:styleId="Heading3">
    <w:name w:val="heading 3"/>
    <w:basedOn w:val="Heading2"/>
    <w:next w:val="Normal"/>
    <w:link w:val="Heading3Char"/>
    <w:qFormat/>
    <w:rsid w:val="00474AF0"/>
    <w:pPr>
      <w:numPr>
        <w:ilvl w:val="1"/>
      </w:numPr>
      <w:tabs>
        <w:tab w:val="left" w:pos="7676"/>
      </w:tabs>
      <w:outlineLvl w:val="2"/>
    </w:pPr>
  </w:style>
  <w:style w:type="paragraph" w:styleId="Heading4">
    <w:name w:val="heading 4"/>
    <w:basedOn w:val="Heading3"/>
    <w:next w:val="Normal"/>
    <w:link w:val="Heading4Char"/>
    <w:autoRedefine/>
    <w:qFormat/>
    <w:rsid w:val="00E73A04"/>
    <w:pPr>
      <w:numPr>
        <w:ilvl w:val="2"/>
      </w:numPr>
      <w:ind w:left="1134" w:hanging="1134"/>
      <w:outlineLvl w:val="3"/>
    </w:pPr>
    <w:rPr>
      <w:rFonts w:eastAsia="MS Mincho" w:cs="TimesNewRoman"/>
      <w:sz w:val="22"/>
      <w:szCs w:val="20"/>
    </w:rPr>
  </w:style>
  <w:style w:type="paragraph" w:styleId="Heading5">
    <w:name w:val="heading 5"/>
    <w:basedOn w:val="Heading4"/>
    <w:next w:val="Normal"/>
    <w:link w:val="Heading5Char"/>
    <w:qFormat/>
    <w:rsid w:val="00C17209"/>
    <w:pPr>
      <w:tabs>
        <w:tab w:val="left" w:pos="0"/>
      </w:tabs>
      <w:outlineLvl w:val="4"/>
    </w:pPr>
    <w:rPr>
      <w:bCs w:val="0"/>
      <w:iCs/>
      <w:sz w:val="28"/>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6103E"/>
    <w:pPr>
      <w:tabs>
        <w:tab w:val="center" w:pos="4153"/>
        <w:tab w:val="right" w:pos="8306"/>
      </w:tabs>
    </w:pPr>
    <w:rPr>
      <w:sz w:val="16"/>
    </w:rPr>
  </w:style>
  <w:style w:type="paragraph" w:styleId="ListNumber">
    <w:name w:val="List Number"/>
    <w:basedOn w:val="Normal"/>
    <w:rsid w:val="00BF43BD"/>
    <w:pPr>
      <w:numPr>
        <w:numId w:val="9"/>
      </w:numPr>
      <w:spacing w:before="60"/>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Pr>
      <w:rFonts w:ascii="TheSansOffice" w:hAnsi="TheSansOffice"/>
      <w:sz w:val="16"/>
      <w:szCs w:val="24"/>
      <w:lang w:val="en-AU" w:eastAsia="en-AU" w:bidi="ar-SA"/>
    </w:rPr>
  </w:style>
  <w:style w:type="paragraph" w:styleId="ListBullet2">
    <w:name w:val="List Bullet 2"/>
    <w:aliases w:val="Dot-dash bullet"/>
    <w:basedOn w:val="ListBullet"/>
    <w:rsid w:val="004918B1"/>
    <w:pPr>
      <w:numPr>
        <w:numId w:val="2"/>
      </w:numPr>
      <w:spacing w:line="240" w:lineRule="auto"/>
    </w:pPr>
  </w:style>
  <w:style w:type="character" w:customStyle="1" w:styleId="Heading1Char">
    <w:name w:val="Heading 1 Char"/>
    <w:basedOn w:val="DefaultParagraphFont"/>
    <w:link w:val="Heading1"/>
    <w:rsid w:val="006A5415"/>
    <w:rPr>
      <w:rFonts w:ascii="Arial" w:hAnsi="Arial"/>
      <w:b/>
      <w:iCs/>
      <w:color w:val="264F90"/>
      <w:sz w:val="56"/>
      <w:szCs w:val="56"/>
    </w:rPr>
  </w:style>
  <w:style w:type="paragraph" w:styleId="ListBullet3">
    <w:name w:val="List Bullet 3"/>
    <w:aliases w:val="Indent Quote Bullet"/>
    <w:rsid w:val="004918B1"/>
    <w:pPr>
      <w:numPr>
        <w:numId w:val="3"/>
      </w:numPr>
      <w:tabs>
        <w:tab w:val="clear" w:pos="1800"/>
        <w:tab w:val="num" w:pos="1080"/>
      </w:tabs>
      <w:ind w:left="1080"/>
    </w:pPr>
    <w:rPr>
      <w:rFonts w:ascii="TheSansOffice" w:hAnsi="TheSansOffice"/>
      <w:iCs/>
      <w:szCs w:val="24"/>
    </w:rPr>
  </w:style>
  <w:style w:type="paragraph" w:styleId="ListBullet">
    <w:name w:val="List Bullet"/>
    <w:basedOn w:val="Normal"/>
    <w:rsid w:val="00733797"/>
    <w:pPr>
      <w:numPr>
        <w:numId w:val="8"/>
      </w:numPr>
      <w:spacing w:before="60" w:after="60"/>
    </w:pPr>
    <w:rPr>
      <w:iCs w:val="0"/>
    </w:rPr>
  </w:style>
  <w:style w:type="character" w:customStyle="1" w:styleId="Heading2Char">
    <w:name w:val="Heading 2 Char"/>
    <w:basedOn w:val="DefaultParagraphFont"/>
    <w:link w:val="Heading2"/>
    <w:rsid w:val="00687422"/>
    <w:rPr>
      <w:rFonts w:ascii="Arial" w:hAnsi="Arial" w:cs="Arial"/>
      <w:b/>
      <w:bCs/>
      <w:color w:val="264F90"/>
      <w:sz w:val="24"/>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000886"/>
    <w:pPr>
      <w:numPr>
        <w:numId w:val="7"/>
      </w:numPr>
    </w:pPr>
  </w:style>
  <w:style w:type="paragraph" w:styleId="TOC4">
    <w:name w:val="toc 4"/>
    <w:basedOn w:val="Normal"/>
    <w:next w:val="Normal"/>
    <w:autoRedefine/>
    <w:uiPriority w:val="39"/>
    <w:rsid w:val="00217440"/>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1"/>
      </w:numPr>
      <w:spacing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2D52D1"/>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D52D1"/>
    <w:pPr>
      <w:tabs>
        <w:tab w:val="right" w:leader="dot" w:pos="8789"/>
      </w:tabs>
      <w:spacing w:after="60" w:line="240" w:lineRule="auto"/>
      <w:ind w:left="1077" w:hanging="720"/>
    </w:pPr>
    <w:rPr>
      <w:rFonts w:eastAsia="Calibri"/>
      <w:szCs w:val="22"/>
      <w:lang w:val="en-US"/>
    </w:rPr>
  </w:style>
  <w:style w:type="character" w:customStyle="1" w:styleId="Heading3Char">
    <w:name w:val="Heading 3 Char"/>
    <w:basedOn w:val="DefaultParagraphFont"/>
    <w:link w:val="Heading3"/>
    <w:rsid w:val="00474AF0"/>
    <w:rPr>
      <w:rFonts w:ascii="Arial" w:hAnsi="Arial" w:cs="Arial"/>
      <w:b/>
      <w:bCs/>
      <w:color w:val="264F90"/>
      <w:sz w:val="24"/>
      <w:szCs w:val="32"/>
    </w:rPr>
  </w:style>
  <w:style w:type="character" w:customStyle="1" w:styleId="Heading4Char">
    <w:name w:val="Heading 4 Char"/>
    <w:basedOn w:val="Heading3Char"/>
    <w:link w:val="Heading4"/>
    <w:rsid w:val="00E73A04"/>
    <w:rPr>
      <w:rFonts w:ascii="Arial" w:eastAsia="MS Mincho" w:hAnsi="Arial" w:cs="TimesNewRoman"/>
      <w:b/>
      <w:bCs/>
      <w:color w:val="264F90"/>
      <w:sz w:val="22"/>
      <w:szCs w:val="32"/>
    </w:rPr>
  </w:style>
  <w:style w:type="character" w:customStyle="1" w:styleId="Heading5Char">
    <w:name w:val="Heading 5 Char"/>
    <w:basedOn w:val="Heading4Char"/>
    <w:link w:val="Heading5"/>
    <w:rsid w:val="00C17209"/>
    <w:rPr>
      <w:rFonts w:ascii="Arial" w:eastAsia="MS Mincho" w:hAnsi="Arial" w:cs="TimesNewRoman"/>
      <w:b/>
      <w:bCs w:val="0"/>
      <w:iCs/>
      <w:color w:val="264F90"/>
      <w:sz w:val="28"/>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4"/>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5"/>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style>
  <w:style w:type="paragraph" w:customStyle="1" w:styleId="Heading3Appendix">
    <w:name w:val="Heading 3 Appendix"/>
    <w:basedOn w:val="Heading3"/>
    <w:qFormat/>
    <w:rsid w:val="009B6938"/>
    <w:pPr>
      <w:numPr>
        <w:ilvl w:val="0"/>
      </w:numPr>
    </w:pPr>
  </w:style>
  <w:style w:type="character" w:styleId="FollowedHyperlink">
    <w:name w:val="FollowedHyperlink"/>
    <w:basedOn w:val="DefaultParagraphFont"/>
    <w:rsid w:val="002C621C"/>
    <w:rPr>
      <w:color w:val="800080" w:themeColor="followedHyperlink"/>
      <w:u w:val="single"/>
    </w:rPr>
  </w:style>
  <w:style w:type="paragraph" w:customStyle="1" w:styleId="Normal18ptbefore">
    <w:name w:val="Normal + 18pt before"/>
    <w:basedOn w:val="Normal"/>
    <w:qFormat/>
    <w:rsid w:val="006A5415"/>
    <w:pPr>
      <w:spacing w:before="360"/>
    </w:pPr>
  </w:style>
  <w:style w:type="paragraph" w:customStyle="1" w:styleId="Normalheaderrow">
    <w:name w:val="Normal + header row"/>
    <w:basedOn w:val="Normal"/>
    <w:qFormat/>
    <w:rsid w:val="0011363F"/>
    <w:pPr>
      <w:jc w:val="center"/>
    </w:pPr>
    <w:rPr>
      <w:b/>
      <w:color w:val="FFFFFF" w:themeColor="background1"/>
      <w:sz w:val="22"/>
    </w:rPr>
  </w:style>
  <w:style w:type="paragraph" w:customStyle="1" w:styleId="Normal10ptbefore">
    <w:name w:val="Normal + 10 pt before"/>
    <w:basedOn w:val="Normal"/>
    <w:qFormat/>
    <w:rsid w:val="00BC0983"/>
    <w:pPr>
      <w:spacing w:before="200" w:line="280" w:lineRule="exact"/>
    </w:pPr>
  </w:style>
  <w:style w:type="paragraph" w:styleId="Subtitle">
    <w:name w:val="Subtitle"/>
    <w:basedOn w:val="Normal"/>
    <w:next w:val="Normal"/>
    <w:link w:val="SubtitleChar"/>
    <w:qFormat/>
    <w:rsid w:val="00954884"/>
    <w:pPr>
      <w:numPr>
        <w:ilvl w:val="1"/>
      </w:numPr>
    </w:pPr>
    <w:rPr>
      <w:rFonts w:asciiTheme="majorHAnsi" w:eastAsiaTheme="majorEastAsia" w:hAnsiTheme="majorHAnsi" w:cstheme="majorBidi"/>
      <w:i/>
      <w:iCs w:val="0"/>
      <w:color w:val="4F81BD" w:themeColor="accent1"/>
      <w:spacing w:val="15"/>
      <w:sz w:val="24"/>
    </w:rPr>
  </w:style>
  <w:style w:type="character" w:customStyle="1" w:styleId="SubtitleChar">
    <w:name w:val="Subtitle Char"/>
    <w:basedOn w:val="DefaultParagraphFont"/>
    <w:link w:val="Subtitle"/>
    <w:rsid w:val="00954884"/>
    <w:rPr>
      <w:rFonts w:asciiTheme="majorHAnsi" w:eastAsiaTheme="majorEastAsia" w:hAnsiTheme="majorHAnsi" w:cstheme="majorBidi"/>
      <w:i/>
      <w:color w:val="4F81BD" w:themeColor="accent1"/>
      <w:spacing w:val="15"/>
      <w:sz w:val="24"/>
      <w:szCs w:val="24"/>
    </w:rPr>
  </w:style>
  <w:style w:type="character" w:customStyle="1" w:styleId="FooterChar">
    <w:name w:val="Footer Char"/>
    <w:basedOn w:val="DefaultParagraphFont"/>
    <w:link w:val="Footer"/>
    <w:uiPriority w:val="99"/>
    <w:rsid w:val="0054052E"/>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6F84E57F55B14188E9900741FD8BE0" ma:contentTypeVersion="2" ma:contentTypeDescription="Create a new document." ma:contentTypeScope="" ma:versionID="d5a2681145cde97c11355754cb3d104f">
  <xsd:schema xmlns:xsd="http://www.w3.org/2001/XMLSchema" xmlns:xs="http://www.w3.org/2001/XMLSchema" xmlns:p="http://schemas.microsoft.com/office/2006/metadata/properties" xmlns:ns2="http://schemas.microsoft.com/sharepoint/v4" targetNamespace="http://schemas.microsoft.com/office/2006/metadata/properties" ma:root="true" ma:fieldsID="c9e6142b4b239441363828343aa4e4b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file>

<file path=customXml/itemProps2.xml><?xml version="1.0" encoding="utf-8"?>
<ds:datastoreItem xmlns:ds="http://schemas.openxmlformats.org/officeDocument/2006/customXml" ds:itemID="{D106F536-A6CD-464B-B165-602F6B31A89A}"/>
</file>

<file path=customXml/itemProps3.xml><?xml version="1.0" encoding="utf-8"?>
<ds:datastoreItem xmlns:ds="http://schemas.openxmlformats.org/officeDocument/2006/customXml" ds:itemID="{9F6E2E88-EE6C-43C6-86B9-33AC0BB14B7F}"/>
</file>

<file path=customXml/itemProps4.xml><?xml version="1.0" encoding="utf-8"?>
<ds:datastoreItem xmlns:ds="http://schemas.openxmlformats.org/officeDocument/2006/customXml" ds:itemID="{51C52F10-DDFE-4DAC-8205-B85F60C07D09}"/>
</file>

<file path=customXml/itemProps5.xml><?xml version="1.0" encoding="utf-8"?>
<ds:datastoreItem xmlns:ds="http://schemas.openxmlformats.org/officeDocument/2006/customXml" ds:itemID="{5F3AC104-E54F-45ED-B24D-AD9A1B6C180C}"/>
</file>

<file path=docProps/app.xml><?xml version="1.0" encoding="utf-8"?>
<Properties xmlns="http://schemas.openxmlformats.org/officeDocument/2006/extended-properties" xmlns:vt="http://schemas.openxmlformats.org/officeDocument/2006/docPropsVTypes">
  <Template>Normal</Template>
  <TotalTime>4</TotalTime>
  <Pages>6</Pages>
  <Words>1945</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Customer Information Guide - Next Generation Manufacturing Investment Programme</vt:lpstr>
    </vt:vector>
  </TitlesOfParts>
  <Company>Department of Industry, Innovation, Science, Research and Tertiary Education</Company>
  <LinksUpToDate>false</LinksUpToDate>
  <CharactersWithSpaces>12852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Eligible Expenditure Guide - Next Generation Manufacturing Investment Programme</dc:title>
  <dc:creator>AusIndustry</dc:creator>
  <dc:description>AusIndustry word document template</dc:description>
  <cp:lastModifiedBy>Cooper, Colin</cp:lastModifiedBy>
  <cp:revision>6</cp:revision>
  <cp:lastPrinted>2016-01-28T02:49:00Z</cp:lastPrinted>
  <dcterms:created xsi:type="dcterms:W3CDTF">2016-01-19T02:27:00Z</dcterms:created>
  <dcterms:modified xsi:type="dcterms:W3CDTF">2016-01-28T02:50:00Z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0x010100456F84E57F55B14188E9900741FD8BE0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