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0BCB9" w14:textId="77777777" w:rsidR="002F60C0" w:rsidRDefault="00960D98" w:rsidP="004A7856">
      <w:pPr>
        <w:spacing w:after="240"/>
      </w:pPr>
      <w:bookmarkStart w:id="0" w:name="_Toc19289801"/>
      <w:r w:rsidRPr="00180BF8">
        <w:rPr>
          <w:noProof/>
          <w:lang w:eastAsia="en-AU"/>
        </w:rPr>
        <w:drawing>
          <wp:inline distT="0" distB="0" distL="0" distR="0" wp14:anchorId="02E6EEC3" wp14:editId="70625068">
            <wp:extent cx="2228400" cy="651600"/>
            <wp:effectExtent l="0" t="0" r="635" b="0"/>
            <wp:docPr id="3" name="Picture 3" descr="Australian Government | 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 Department of Industry, Science and Resource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28400" cy="6516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002F60C0" w:rsidRPr="002F60C0">
        <w:t xml:space="preserve"> </w:t>
      </w:r>
    </w:p>
    <w:p w14:paraId="0EBEF366" w14:textId="0EC18D03" w:rsidR="000276B8" w:rsidRDefault="00A36BD8" w:rsidP="001724A4">
      <w:pPr>
        <w:pStyle w:val="Heading1"/>
        <w:rPr>
          <w:rStyle w:val="SubtitleChar"/>
        </w:rPr>
      </w:pPr>
      <w:r>
        <w:rPr>
          <w:rFonts w:eastAsia="Times New Roman"/>
          <w:lang w:eastAsia="en-AU"/>
        </w:rPr>
        <w:t xml:space="preserve">The </w:t>
      </w:r>
      <w:r w:rsidR="000276B8">
        <w:rPr>
          <w:rFonts w:eastAsia="Times New Roman"/>
          <w:lang w:eastAsia="en-AU"/>
        </w:rPr>
        <w:t xml:space="preserve">2026 </w:t>
      </w:r>
      <w:r w:rsidR="001724A4" w:rsidRPr="001724A4">
        <w:rPr>
          <w:rFonts w:eastAsia="Times New Roman"/>
          <w:lang w:eastAsia="en-AU"/>
        </w:rPr>
        <w:t xml:space="preserve">Prime Minister's Prizes for Science </w:t>
      </w:r>
    </w:p>
    <w:p w14:paraId="69B8CFDA" w14:textId="3B4CDCCA" w:rsidR="001724A4" w:rsidRPr="001724A4" w:rsidRDefault="000276B8" w:rsidP="001724A4">
      <w:pPr>
        <w:pStyle w:val="Heading1"/>
        <w:rPr>
          <w:rFonts w:eastAsia="Times New Roman"/>
          <w:lang w:eastAsia="en-AU"/>
        </w:rPr>
      </w:pPr>
      <w:r>
        <w:rPr>
          <w:rStyle w:val="SubtitleChar"/>
        </w:rPr>
        <w:t>P</w:t>
      </w:r>
      <w:r w:rsidR="001724A4" w:rsidRPr="006559C1">
        <w:rPr>
          <w:rStyle w:val="SubtitleChar"/>
        </w:rPr>
        <w:t>rinciples for promoting diversity and inclusion</w:t>
      </w:r>
      <w:r w:rsidR="001724A4" w:rsidRPr="001724A4">
        <w:rPr>
          <w:rFonts w:eastAsia="Times New Roman"/>
          <w:lang w:eastAsia="en-AU"/>
        </w:rPr>
        <w:t xml:space="preserve"> </w:t>
      </w:r>
    </w:p>
    <w:p w14:paraId="35A4A7BA" w14:textId="17258D31" w:rsidR="001724A4" w:rsidRPr="001724A4" w:rsidRDefault="001724A4" w:rsidP="006559C1">
      <w:pPr>
        <w:rPr>
          <w:color w:val="3F3B3B"/>
          <w:lang w:eastAsia="en-AU"/>
        </w:rPr>
      </w:pPr>
      <w:r w:rsidRPr="001724A4">
        <w:rPr>
          <w:lang w:eastAsia="en-AU"/>
        </w:rPr>
        <w:t>The Department of Industry, Science and Resources</w:t>
      </w:r>
      <w:r w:rsidR="00357780">
        <w:rPr>
          <w:lang w:eastAsia="en-AU"/>
        </w:rPr>
        <w:t xml:space="preserve"> (the department)</w:t>
      </w:r>
      <w:r w:rsidRPr="001724A4">
        <w:rPr>
          <w:lang w:eastAsia="en-AU"/>
        </w:rPr>
        <w:t xml:space="preserve"> is committed to ensuring the nomination and </w:t>
      </w:r>
      <w:r w:rsidR="00357780">
        <w:rPr>
          <w:lang w:eastAsia="en-AU"/>
        </w:rPr>
        <w:t>assessment</w:t>
      </w:r>
      <w:r w:rsidRPr="001724A4">
        <w:rPr>
          <w:lang w:eastAsia="en-AU"/>
        </w:rPr>
        <w:t xml:space="preserve"> processes for the Prime Minister’s Prizes for Science (the Prizes) promotes inclusion and diversity and aligns with </w:t>
      </w:r>
      <w:r>
        <w:rPr>
          <w:lang w:eastAsia="en-AU"/>
        </w:rPr>
        <w:t>current</w:t>
      </w:r>
      <w:r w:rsidRPr="001724A4">
        <w:rPr>
          <w:lang w:eastAsia="en-AU"/>
        </w:rPr>
        <w:t xml:space="preserve"> best practice. </w:t>
      </w:r>
      <w:r w:rsidRPr="001724A4">
        <w:rPr>
          <w:color w:val="323232"/>
          <w:lang w:eastAsia="en-AU"/>
        </w:rPr>
        <w:t>This document</w:t>
      </w:r>
      <w:r w:rsidR="00357780">
        <w:rPr>
          <w:lang w:eastAsia="en-AU"/>
        </w:rPr>
        <w:t xml:space="preserve"> </w:t>
      </w:r>
      <w:r w:rsidRPr="001724A4">
        <w:rPr>
          <w:lang w:eastAsia="en-AU"/>
        </w:rPr>
        <w:t>outlines the department</w:t>
      </w:r>
      <w:r w:rsidR="00357780">
        <w:rPr>
          <w:lang w:eastAsia="en-AU"/>
        </w:rPr>
        <w:t>s approach</w:t>
      </w:r>
      <w:r w:rsidR="00226894">
        <w:rPr>
          <w:lang w:eastAsia="en-AU"/>
        </w:rPr>
        <w:t xml:space="preserve"> and the role of the assessment committee to support inclusion and diversity in the Prizes</w:t>
      </w:r>
      <w:r w:rsidR="00357780">
        <w:rPr>
          <w:lang w:eastAsia="en-AU"/>
        </w:rPr>
        <w:t>.</w:t>
      </w:r>
      <w:r w:rsidRPr="001724A4">
        <w:rPr>
          <w:lang w:eastAsia="en-AU"/>
        </w:rPr>
        <w:t xml:space="preserve"> </w:t>
      </w:r>
    </w:p>
    <w:p w14:paraId="08C34A90" w14:textId="77777777" w:rsidR="001724A4" w:rsidRPr="001724A4" w:rsidDel="001D1290" w:rsidRDefault="001724A4" w:rsidP="006559C1">
      <w:pPr>
        <w:pStyle w:val="Heading2"/>
        <w:rPr>
          <w:rFonts w:eastAsia="Times New Roman"/>
          <w:lang w:eastAsia="en-AU"/>
        </w:rPr>
      </w:pPr>
      <w:r w:rsidRPr="001724A4">
        <w:rPr>
          <w:rFonts w:eastAsia="Times New Roman"/>
          <w:lang w:eastAsia="en-AU"/>
        </w:rPr>
        <w:t xml:space="preserve">Role of the Department of Industry, Science and Resources </w:t>
      </w:r>
    </w:p>
    <w:p w14:paraId="47102E6F" w14:textId="77777777" w:rsidR="001724A4" w:rsidRPr="001724A4" w:rsidRDefault="001724A4" w:rsidP="006559C1">
      <w:pPr>
        <w:pStyle w:val="Heading3"/>
        <w:rPr>
          <w:rFonts w:eastAsia="Times New Roman"/>
          <w:lang w:eastAsia="en-AU"/>
        </w:rPr>
      </w:pPr>
      <w:r w:rsidRPr="001724A4">
        <w:rPr>
          <w:rFonts w:eastAsia="Times New Roman"/>
          <w:lang w:eastAsia="en-AU"/>
        </w:rPr>
        <w:t>Promote a large and diverse pool of nominees</w:t>
      </w:r>
    </w:p>
    <w:p w14:paraId="52D23409" w14:textId="3B6404B2" w:rsidR="001724A4" w:rsidRPr="001724A4" w:rsidRDefault="001724A4" w:rsidP="006559C1">
      <w:pPr>
        <w:rPr>
          <w:lang w:eastAsia="en-AU"/>
        </w:rPr>
      </w:pPr>
      <w:r w:rsidRPr="001724A4">
        <w:rPr>
          <w:lang w:eastAsia="en-AU"/>
        </w:rPr>
        <w:t xml:space="preserve">The department is committed to encouraging nominations from diverse cohorts. The department will develop communication plans aimed at increasing the awareness of the Prizes among the general community, the teaching community, </w:t>
      </w:r>
      <w:r>
        <w:rPr>
          <w:lang w:eastAsia="en-AU"/>
        </w:rPr>
        <w:t xml:space="preserve">Aboriginal and Torres Strait Islander peoples </w:t>
      </w:r>
      <w:r w:rsidRPr="001724A4">
        <w:rPr>
          <w:lang w:eastAsia="en-AU"/>
        </w:rPr>
        <w:t>and the science sector. The department will:</w:t>
      </w:r>
    </w:p>
    <w:p w14:paraId="101D491F" w14:textId="77777777" w:rsidR="001724A4" w:rsidRPr="006559C1" w:rsidRDefault="001724A4" w:rsidP="006559C1">
      <w:pPr>
        <w:pStyle w:val="ListParagraph"/>
        <w:numPr>
          <w:ilvl w:val="0"/>
          <w:numId w:val="14"/>
        </w:numPr>
        <w:rPr>
          <w:lang w:eastAsia="en-AU"/>
        </w:rPr>
      </w:pPr>
      <w:r w:rsidRPr="006559C1">
        <w:rPr>
          <w:lang w:eastAsia="en-AU"/>
        </w:rPr>
        <w:t xml:space="preserve">promote the nomination period across a range of channels </w:t>
      </w:r>
    </w:p>
    <w:p w14:paraId="4E8ADB7D" w14:textId="77777777" w:rsidR="001724A4" w:rsidRPr="006559C1" w:rsidRDefault="001724A4" w:rsidP="006559C1">
      <w:pPr>
        <w:pStyle w:val="ListParagraph"/>
        <w:numPr>
          <w:ilvl w:val="0"/>
          <w:numId w:val="14"/>
        </w:numPr>
        <w:rPr>
          <w:lang w:eastAsia="en-AU"/>
        </w:rPr>
      </w:pPr>
      <w:r w:rsidRPr="006559C1">
        <w:rPr>
          <w:lang w:eastAsia="en-AU"/>
        </w:rPr>
        <w:t xml:space="preserve">highlight a diverse range of role models and champions </w:t>
      </w:r>
    </w:p>
    <w:p w14:paraId="40133136" w14:textId="24426E4D" w:rsidR="001724A4" w:rsidRPr="006559C1" w:rsidRDefault="00DB2722" w:rsidP="006559C1">
      <w:pPr>
        <w:pStyle w:val="ListParagraph"/>
        <w:numPr>
          <w:ilvl w:val="0"/>
          <w:numId w:val="14"/>
        </w:numPr>
        <w:rPr>
          <w:lang w:eastAsia="en-AU"/>
        </w:rPr>
      </w:pPr>
      <w:r w:rsidRPr="006559C1">
        <w:rPr>
          <w:lang w:eastAsia="en-AU"/>
        </w:rPr>
        <w:t xml:space="preserve">use </w:t>
      </w:r>
      <w:r w:rsidR="001724A4" w:rsidRPr="006559C1">
        <w:rPr>
          <w:lang w:eastAsia="en-AU"/>
        </w:rPr>
        <w:t>communications materials that avoid elitist and exclusive language</w:t>
      </w:r>
    </w:p>
    <w:p w14:paraId="3B53C68D" w14:textId="26073E86" w:rsidR="001724A4" w:rsidRPr="006559C1" w:rsidRDefault="00226894" w:rsidP="006559C1">
      <w:pPr>
        <w:pStyle w:val="ListParagraph"/>
        <w:numPr>
          <w:ilvl w:val="0"/>
          <w:numId w:val="14"/>
        </w:numPr>
        <w:rPr>
          <w:lang w:eastAsia="en-AU"/>
        </w:rPr>
      </w:pPr>
      <w:r>
        <w:rPr>
          <w:lang w:eastAsia="en-AU"/>
        </w:rPr>
        <w:t>provide</w:t>
      </w:r>
      <w:r w:rsidR="001724A4" w:rsidRPr="006559C1">
        <w:rPr>
          <w:lang w:eastAsia="en-AU"/>
        </w:rPr>
        <w:t xml:space="preserve"> plain English guidance</w:t>
      </w:r>
    </w:p>
    <w:p w14:paraId="17F4D236" w14:textId="77777777" w:rsidR="001724A4" w:rsidRPr="006559C1" w:rsidRDefault="001724A4" w:rsidP="006559C1">
      <w:pPr>
        <w:pStyle w:val="ListParagraph"/>
        <w:numPr>
          <w:ilvl w:val="0"/>
          <w:numId w:val="14"/>
        </w:numPr>
        <w:rPr>
          <w:lang w:eastAsia="en-AU"/>
        </w:rPr>
      </w:pPr>
      <w:r w:rsidRPr="006559C1">
        <w:rPr>
          <w:lang w:eastAsia="en-AU"/>
        </w:rPr>
        <w:t>promote the Prizes to historically underrepresented groups and their associations.</w:t>
      </w:r>
    </w:p>
    <w:p w14:paraId="263123EE" w14:textId="7EF65592" w:rsidR="001724A4" w:rsidRPr="001724A4" w:rsidRDefault="001724A4" w:rsidP="006559C1">
      <w:pPr>
        <w:pStyle w:val="Heading3"/>
        <w:rPr>
          <w:rFonts w:eastAsia="Times New Roman"/>
          <w:lang w:eastAsia="en-AU"/>
        </w:rPr>
      </w:pPr>
      <w:r w:rsidRPr="001724A4">
        <w:rPr>
          <w:rFonts w:eastAsia="Times New Roman"/>
          <w:lang w:eastAsia="en-AU"/>
        </w:rPr>
        <w:t xml:space="preserve">Annual review of the </w:t>
      </w:r>
      <w:r w:rsidR="00226894">
        <w:rPr>
          <w:rFonts w:eastAsia="Times New Roman"/>
          <w:lang w:eastAsia="en-AU"/>
        </w:rPr>
        <w:t>Grant Opportunity Guidelines</w:t>
      </w:r>
    </w:p>
    <w:p w14:paraId="463C31C9" w14:textId="7855E8C6" w:rsidR="001724A4" w:rsidRPr="001724A4" w:rsidRDefault="001724A4" w:rsidP="006559C1">
      <w:pPr>
        <w:rPr>
          <w:lang w:eastAsia="en-AU"/>
        </w:rPr>
      </w:pPr>
      <w:r w:rsidRPr="001724A4">
        <w:rPr>
          <w:lang w:eastAsia="en-AU"/>
        </w:rPr>
        <w:t xml:space="preserve">The </w:t>
      </w:r>
      <w:r w:rsidR="00226894">
        <w:rPr>
          <w:lang w:eastAsia="en-AU"/>
        </w:rPr>
        <w:t>p</w:t>
      </w:r>
      <w:r w:rsidRPr="001724A4">
        <w:rPr>
          <w:lang w:eastAsia="en-AU"/>
        </w:rPr>
        <w:t xml:space="preserve">rize recipients are selected based on </w:t>
      </w:r>
      <w:r w:rsidR="00226894">
        <w:rPr>
          <w:lang w:eastAsia="en-AU"/>
        </w:rPr>
        <w:t xml:space="preserve">the eligibility and </w:t>
      </w:r>
      <w:r w:rsidRPr="001724A4">
        <w:rPr>
          <w:lang w:eastAsia="en-AU"/>
        </w:rPr>
        <w:t>assessment criteria outlined in the </w:t>
      </w:r>
      <w:hyperlink r:id="rId12" w:history="1">
        <w:r w:rsidRPr="001724A4">
          <w:rPr>
            <w:b/>
            <w:bCs/>
            <w:color w:val="0000FF"/>
            <w:lang w:eastAsia="en-AU"/>
          </w:rPr>
          <w:t>Grant Opportunity Guidelines</w:t>
        </w:r>
      </w:hyperlink>
      <w:r w:rsidR="00226894">
        <w:rPr>
          <w:rFonts w:ascii="Calibri" w:eastAsia="Calibri" w:hAnsi="Calibri" w:cs="Times New Roman"/>
          <w:kern w:val="2"/>
          <w:sz w:val="22"/>
          <w14:ligatures w14:val="standardContextual"/>
        </w:rPr>
        <w:t xml:space="preserve"> </w:t>
      </w:r>
      <w:r w:rsidR="00226894" w:rsidRPr="006559C1">
        <w:t>(the guidelines)</w:t>
      </w:r>
      <w:r w:rsidRPr="006559C1">
        <w:t>.</w:t>
      </w:r>
      <w:r w:rsidRPr="001724A4">
        <w:rPr>
          <w:lang w:eastAsia="en-AU"/>
        </w:rPr>
        <w:t xml:space="preserve"> The department will review the eligibility </w:t>
      </w:r>
      <w:r w:rsidR="00226894">
        <w:rPr>
          <w:lang w:eastAsia="en-AU"/>
        </w:rPr>
        <w:t>and assessment criteria</w:t>
      </w:r>
      <w:r w:rsidR="00226894" w:rsidRPr="001724A4">
        <w:rPr>
          <w:lang w:eastAsia="en-AU"/>
        </w:rPr>
        <w:t xml:space="preserve"> </w:t>
      </w:r>
      <w:r w:rsidRPr="001724A4">
        <w:rPr>
          <w:lang w:eastAsia="en-AU"/>
        </w:rPr>
        <w:t xml:space="preserve">annually, to ensure they remain current, and wherever possible, eliminate barriers to nominations for candidates from diverse </w:t>
      </w:r>
      <w:r w:rsidRPr="001724A4">
        <w:rPr>
          <w:lang w:eastAsia="en-AU"/>
        </w:rPr>
        <w:lastRenderedPageBreak/>
        <w:t xml:space="preserve">backgrounds. This includes reviewing the language used </w:t>
      </w:r>
      <w:r w:rsidR="00161BB1">
        <w:rPr>
          <w:lang w:eastAsia="en-AU"/>
        </w:rPr>
        <w:t>and accessibility</w:t>
      </w:r>
      <w:r w:rsidR="00F85624">
        <w:rPr>
          <w:lang w:eastAsia="en-AU"/>
        </w:rPr>
        <w:t xml:space="preserve"> </w:t>
      </w:r>
      <w:r w:rsidRPr="001724A4">
        <w:rPr>
          <w:lang w:eastAsia="en-AU"/>
        </w:rPr>
        <w:t>in the guidelines against best practice.</w:t>
      </w:r>
    </w:p>
    <w:p w14:paraId="0E4EBB12" w14:textId="12CFDFFB" w:rsidR="001724A4" w:rsidRPr="001724A4" w:rsidRDefault="001724A4" w:rsidP="006559C1">
      <w:pPr>
        <w:pStyle w:val="Heading3"/>
        <w:rPr>
          <w:rFonts w:eastAsia="Times New Roman"/>
          <w:lang w:eastAsia="en-AU"/>
        </w:rPr>
      </w:pPr>
      <w:r w:rsidRPr="001724A4">
        <w:rPr>
          <w:rFonts w:eastAsia="Times New Roman"/>
          <w:lang w:eastAsia="en-AU"/>
        </w:rPr>
        <w:t xml:space="preserve">Establishment of the Prizes assessment committees </w:t>
      </w:r>
    </w:p>
    <w:p w14:paraId="1D49C25B" w14:textId="733FE1D2" w:rsidR="001724A4" w:rsidRPr="001724A4" w:rsidRDefault="001724A4" w:rsidP="006559C1">
      <w:pPr>
        <w:rPr>
          <w:lang w:eastAsia="en-AU"/>
        </w:rPr>
      </w:pPr>
      <w:r w:rsidRPr="001724A4">
        <w:rPr>
          <w:lang w:eastAsia="en-AU"/>
        </w:rPr>
        <w:t xml:space="preserve">The department will establish an independent committee of experts to assess each eligible nomination against the relevant </w:t>
      </w:r>
      <w:r w:rsidR="00226894">
        <w:rPr>
          <w:lang w:eastAsia="en-AU"/>
        </w:rPr>
        <w:t>p</w:t>
      </w:r>
      <w:r w:rsidRPr="001724A4">
        <w:rPr>
          <w:lang w:eastAsia="en-AU"/>
        </w:rPr>
        <w:t xml:space="preserve">rize assessment criteria and compare it to other eligible nominations. The department will establish and maintain diversity in the committees, including diversity in gender in line with Australian Government gender balance </w:t>
      </w:r>
      <w:r w:rsidR="00F22D06" w:rsidRPr="001724A4">
        <w:rPr>
          <w:lang w:eastAsia="en-AU"/>
        </w:rPr>
        <w:t>targets</w:t>
      </w:r>
      <w:r w:rsidR="00F22D06">
        <w:rPr>
          <w:lang w:eastAsia="en-AU"/>
        </w:rPr>
        <w:t>. In</w:t>
      </w:r>
      <w:r w:rsidR="00DB2722">
        <w:rPr>
          <w:lang w:eastAsia="en-AU"/>
        </w:rPr>
        <w:t xml:space="preserve"> addition, </w:t>
      </w:r>
      <w:r w:rsidR="002F22F5">
        <w:rPr>
          <w:lang w:eastAsia="en-AU"/>
        </w:rPr>
        <w:t xml:space="preserve">the department will aim for </w:t>
      </w:r>
      <w:r w:rsidR="00F22D06">
        <w:rPr>
          <w:lang w:eastAsia="en-AU"/>
        </w:rPr>
        <w:t xml:space="preserve">representation across </w:t>
      </w:r>
      <w:r w:rsidRPr="001724A4">
        <w:rPr>
          <w:lang w:eastAsia="en-AU"/>
        </w:rPr>
        <w:t xml:space="preserve">disciplines, geographical location, </w:t>
      </w:r>
      <w:r w:rsidR="00226894">
        <w:rPr>
          <w:lang w:eastAsia="en-AU"/>
        </w:rPr>
        <w:t xml:space="preserve">Australian </w:t>
      </w:r>
      <w:r w:rsidR="00DB2722">
        <w:rPr>
          <w:lang w:eastAsia="en-AU"/>
        </w:rPr>
        <w:t>Indigenous mob/language group</w:t>
      </w:r>
      <w:r w:rsidR="002F22F5">
        <w:rPr>
          <w:lang w:eastAsia="en-AU"/>
        </w:rPr>
        <w:t>s</w:t>
      </w:r>
      <w:r w:rsidR="00DB2722">
        <w:rPr>
          <w:lang w:eastAsia="en-AU"/>
        </w:rPr>
        <w:t xml:space="preserve"> </w:t>
      </w:r>
      <w:r w:rsidRPr="001724A4">
        <w:rPr>
          <w:lang w:eastAsia="en-AU"/>
        </w:rPr>
        <w:t xml:space="preserve">and industry associations. </w:t>
      </w:r>
    </w:p>
    <w:p w14:paraId="31B1DBC6" w14:textId="77777777" w:rsidR="001724A4" w:rsidRPr="001724A4" w:rsidRDefault="001724A4" w:rsidP="006559C1">
      <w:pPr>
        <w:pStyle w:val="Heading2"/>
        <w:rPr>
          <w:rFonts w:eastAsia="Times New Roman"/>
          <w:lang w:eastAsia="en-AU"/>
        </w:rPr>
      </w:pPr>
      <w:r w:rsidRPr="001724A4">
        <w:rPr>
          <w:rFonts w:eastAsia="Times New Roman"/>
          <w:lang w:eastAsia="en-AU"/>
        </w:rPr>
        <w:t>Guidance for assessment committees</w:t>
      </w:r>
    </w:p>
    <w:p w14:paraId="0F49160C" w14:textId="4D23E7EA" w:rsidR="001724A4" w:rsidRPr="001724A4" w:rsidRDefault="001724A4" w:rsidP="006559C1">
      <w:pPr>
        <w:rPr>
          <w:lang w:eastAsia="en-AU"/>
        </w:rPr>
      </w:pPr>
      <w:r w:rsidRPr="001724A4">
        <w:rPr>
          <w:color w:val="323232"/>
          <w:lang w:eastAsia="en-AU"/>
        </w:rPr>
        <w:t>Assessment c</w:t>
      </w:r>
      <w:r w:rsidRPr="001724A4">
        <w:rPr>
          <w:lang w:eastAsia="en-AU"/>
        </w:rPr>
        <w:t>ommittee members are required to</w:t>
      </w:r>
      <w:r w:rsidR="00F336F2">
        <w:rPr>
          <w:lang w:eastAsia="en-AU"/>
        </w:rPr>
        <w:t xml:space="preserve"> review this guidance and uphold the Government’s commitment to diversity and inclusion</w:t>
      </w:r>
      <w:r w:rsidR="00F77C4A">
        <w:rPr>
          <w:lang w:eastAsia="en-AU"/>
        </w:rPr>
        <w:t xml:space="preserve">. </w:t>
      </w:r>
      <w:r w:rsidR="00392036">
        <w:rPr>
          <w:lang w:eastAsia="en-AU"/>
        </w:rPr>
        <w:t>During the assessment process</w:t>
      </w:r>
      <w:r w:rsidR="00802037">
        <w:rPr>
          <w:lang w:eastAsia="en-AU"/>
        </w:rPr>
        <w:t xml:space="preserve"> committee members will</w:t>
      </w:r>
      <w:r w:rsidRPr="001724A4">
        <w:rPr>
          <w:lang w:eastAsia="en-AU"/>
        </w:rPr>
        <w:t>:</w:t>
      </w:r>
    </w:p>
    <w:p w14:paraId="550EDEF2" w14:textId="5F78F917" w:rsidR="00F22D06" w:rsidRPr="006559C1" w:rsidRDefault="00F22D06" w:rsidP="006559C1">
      <w:pPr>
        <w:pStyle w:val="ListParagraph"/>
        <w:numPr>
          <w:ilvl w:val="0"/>
          <w:numId w:val="14"/>
        </w:numPr>
        <w:rPr>
          <w:lang w:eastAsia="en-AU"/>
        </w:rPr>
      </w:pPr>
      <w:r w:rsidRPr="006559C1">
        <w:rPr>
          <w:lang w:eastAsia="en-AU"/>
        </w:rPr>
        <w:t>m</w:t>
      </w:r>
      <w:r w:rsidR="002E5DA9">
        <w:rPr>
          <w:lang w:eastAsia="en-AU"/>
        </w:rPr>
        <w:t>anage</w:t>
      </w:r>
      <w:r w:rsidRPr="006559C1">
        <w:rPr>
          <w:lang w:eastAsia="en-AU"/>
        </w:rPr>
        <w:t xml:space="preserve"> </w:t>
      </w:r>
      <w:r w:rsidR="00E66BC9">
        <w:rPr>
          <w:lang w:eastAsia="en-AU"/>
        </w:rPr>
        <w:t>unconscious bias</w:t>
      </w:r>
      <w:r w:rsidRPr="006559C1">
        <w:rPr>
          <w:lang w:eastAsia="en-AU"/>
        </w:rPr>
        <w:t xml:space="preserve">  </w:t>
      </w:r>
    </w:p>
    <w:p w14:paraId="7254CE41" w14:textId="3FA1F5FB" w:rsidR="00F336F2" w:rsidRDefault="001724A4" w:rsidP="00F22D06">
      <w:pPr>
        <w:pStyle w:val="ListParagraph"/>
        <w:numPr>
          <w:ilvl w:val="0"/>
          <w:numId w:val="14"/>
        </w:numPr>
        <w:rPr>
          <w:lang w:eastAsia="en-AU"/>
        </w:rPr>
      </w:pPr>
      <w:r w:rsidRPr="006559C1">
        <w:rPr>
          <w:lang w:eastAsia="en-AU"/>
        </w:rPr>
        <w:t>advocate for inclusion and diversity</w:t>
      </w:r>
    </w:p>
    <w:p w14:paraId="587FCEFE" w14:textId="5BC092EF" w:rsidR="00F336F2" w:rsidRDefault="00CE0638" w:rsidP="00F22D06">
      <w:pPr>
        <w:pStyle w:val="ListParagraph"/>
        <w:numPr>
          <w:ilvl w:val="0"/>
          <w:numId w:val="14"/>
        </w:numPr>
        <w:rPr>
          <w:lang w:eastAsia="en-AU"/>
        </w:rPr>
      </w:pPr>
      <w:r>
        <w:rPr>
          <w:lang w:eastAsia="en-AU"/>
        </w:rPr>
        <w:t>establish committee consensus on the</w:t>
      </w:r>
      <w:r w:rsidR="00F336F2">
        <w:rPr>
          <w:lang w:eastAsia="en-AU"/>
        </w:rPr>
        <w:t xml:space="preserve"> assessment process </w:t>
      </w:r>
    </w:p>
    <w:p w14:paraId="46F33BA1" w14:textId="66976F7A" w:rsidR="00F336F2" w:rsidRDefault="00CE0638" w:rsidP="00F22D06">
      <w:pPr>
        <w:pStyle w:val="ListParagraph"/>
        <w:numPr>
          <w:ilvl w:val="0"/>
          <w:numId w:val="14"/>
        </w:numPr>
        <w:rPr>
          <w:lang w:eastAsia="en-AU"/>
        </w:rPr>
      </w:pPr>
      <w:r>
        <w:rPr>
          <w:lang w:eastAsia="en-AU"/>
        </w:rPr>
        <w:t>consider</w:t>
      </w:r>
      <w:r w:rsidR="00F336F2">
        <w:rPr>
          <w:lang w:eastAsia="en-AU"/>
        </w:rPr>
        <w:t xml:space="preserve"> career interruptions and other relevant circumstances</w:t>
      </w:r>
    </w:p>
    <w:p w14:paraId="55906709" w14:textId="77777777" w:rsidR="00F336F2" w:rsidRDefault="00F336F2" w:rsidP="00F22D06">
      <w:pPr>
        <w:pStyle w:val="ListParagraph"/>
        <w:numPr>
          <w:ilvl w:val="0"/>
          <w:numId w:val="14"/>
        </w:numPr>
        <w:rPr>
          <w:lang w:eastAsia="en-AU"/>
        </w:rPr>
      </w:pPr>
      <w:r>
        <w:rPr>
          <w:lang w:eastAsia="en-AU"/>
        </w:rPr>
        <w:t>identify top nominees before sharing with the committee</w:t>
      </w:r>
    </w:p>
    <w:p w14:paraId="3C00DE8B" w14:textId="436663D4" w:rsidR="001724A4" w:rsidRPr="006559C1" w:rsidRDefault="00F336F2" w:rsidP="006559C1">
      <w:pPr>
        <w:pStyle w:val="ListParagraph"/>
        <w:numPr>
          <w:ilvl w:val="0"/>
          <w:numId w:val="14"/>
        </w:numPr>
        <w:rPr>
          <w:lang w:eastAsia="en-AU"/>
        </w:rPr>
      </w:pPr>
      <w:r>
        <w:rPr>
          <w:lang w:eastAsia="en-AU"/>
        </w:rPr>
        <w:t xml:space="preserve">ensure every committee member can </w:t>
      </w:r>
      <w:r w:rsidR="00CE0638">
        <w:rPr>
          <w:lang w:eastAsia="en-AU"/>
        </w:rPr>
        <w:t xml:space="preserve">equally </w:t>
      </w:r>
      <w:r>
        <w:rPr>
          <w:lang w:eastAsia="en-AU"/>
        </w:rPr>
        <w:t xml:space="preserve">contribute to the </w:t>
      </w:r>
      <w:r w:rsidR="000276B8">
        <w:rPr>
          <w:lang w:eastAsia="en-AU"/>
        </w:rPr>
        <w:t xml:space="preserve">assessment </w:t>
      </w:r>
      <w:r>
        <w:rPr>
          <w:lang w:eastAsia="en-AU"/>
        </w:rPr>
        <w:t>process.</w:t>
      </w:r>
    </w:p>
    <w:p w14:paraId="5C972729" w14:textId="20C62626" w:rsidR="001724A4" w:rsidRPr="001724A4" w:rsidRDefault="001724A4" w:rsidP="006559C1">
      <w:pPr>
        <w:pStyle w:val="Heading3"/>
        <w:rPr>
          <w:rFonts w:eastAsia="Times New Roman"/>
          <w:lang w:eastAsia="en-AU"/>
        </w:rPr>
      </w:pPr>
      <w:r w:rsidRPr="001724A4">
        <w:rPr>
          <w:rFonts w:eastAsia="Times New Roman"/>
          <w:lang w:eastAsia="en-AU"/>
        </w:rPr>
        <w:t>M</w:t>
      </w:r>
      <w:r w:rsidR="002E5DA9">
        <w:rPr>
          <w:rFonts w:eastAsia="Times New Roman"/>
          <w:lang w:eastAsia="en-AU"/>
        </w:rPr>
        <w:t>anage</w:t>
      </w:r>
      <w:r w:rsidRPr="001724A4">
        <w:rPr>
          <w:rFonts w:eastAsia="Times New Roman"/>
          <w:lang w:eastAsia="en-AU"/>
        </w:rPr>
        <w:t xml:space="preserve"> </w:t>
      </w:r>
      <w:r w:rsidR="00E66BC9">
        <w:rPr>
          <w:rFonts w:eastAsia="Times New Roman"/>
          <w:lang w:eastAsia="en-AU"/>
        </w:rPr>
        <w:t>unconscious bias</w:t>
      </w:r>
    </w:p>
    <w:p w14:paraId="3D868E41" w14:textId="5602C3DB" w:rsidR="00BD30F1" w:rsidRDefault="00BD30F1" w:rsidP="006559C1">
      <w:pPr>
        <w:rPr>
          <w:lang w:eastAsia="en-AU"/>
        </w:rPr>
      </w:pPr>
      <w:r>
        <w:rPr>
          <w:lang w:eastAsia="en-AU"/>
        </w:rPr>
        <w:t xml:space="preserve">All committee members will proactively manage the influence of </w:t>
      </w:r>
      <w:r w:rsidR="003C0E9F">
        <w:rPr>
          <w:lang w:eastAsia="en-AU"/>
        </w:rPr>
        <w:t>unconscious</w:t>
      </w:r>
      <w:r>
        <w:rPr>
          <w:lang w:eastAsia="en-AU"/>
        </w:rPr>
        <w:t xml:space="preserve"> bias during the assessment of eligible nominations. This includes participating in the </w:t>
      </w:r>
      <w:r w:rsidR="00C04C5D">
        <w:rPr>
          <w:lang w:eastAsia="en-AU"/>
        </w:rPr>
        <w:t xml:space="preserve">unconscious bias </w:t>
      </w:r>
      <w:r>
        <w:rPr>
          <w:lang w:eastAsia="en-AU"/>
        </w:rPr>
        <w:t xml:space="preserve">training recommended by the department. This will </w:t>
      </w:r>
      <w:r w:rsidR="00C04C5D">
        <w:rPr>
          <w:lang w:eastAsia="en-AU"/>
        </w:rPr>
        <w:t>enable</w:t>
      </w:r>
      <w:r>
        <w:rPr>
          <w:lang w:eastAsia="en-AU"/>
        </w:rPr>
        <w:t xml:space="preserve"> a fair, </w:t>
      </w:r>
      <w:r w:rsidR="002E5DA9">
        <w:rPr>
          <w:lang w:eastAsia="en-AU"/>
        </w:rPr>
        <w:t>objective</w:t>
      </w:r>
      <w:r>
        <w:rPr>
          <w:lang w:eastAsia="en-AU"/>
        </w:rPr>
        <w:t xml:space="preserve"> and consistent approach to the assessment of nominations by the assessment committee members.</w:t>
      </w:r>
    </w:p>
    <w:p w14:paraId="2610C4E9" w14:textId="77777777" w:rsidR="001724A4" w:rsidRPr="001724A4" w:rsidRDefault="001724A4" w:rsidP="006559C1">
      <w:pPr>
        <w:pStyle w:val="Heading3"/>
        <w:rPr>
          <w:rFonts w:eastAsia="Times New Roman"/>
          <w:lang w:eastAsia="en-AU"/>
        </w:rPr>
      </w:pPr>
      <w:r w:rsidRPr="001724A4">
        <w:rPr>
          <w:rFonts w:eastAsia="Times New Roman"/>
          <w:lang w:eastAsia="en-AU"/>
        </w:rPr>
        <w:t>Advocate for inclusion and diversity</w:t>
      </w:r>
    </w:p>
    <w:p w14:paraId="6C5EE91F" w14:textId="74F00156" w:rsidR="001724A4" w:rsidRPr="001724A4" w:rsidRDefault="001724A4" w:rsidP="006559C1">
      <w:pPr>
        <w:rPr>
          <w:color w:val="323232"/>
          <w:lang w:eastAsia="en-AU"/>
        </w:rPr>
      </w:pPr>
      <w:r w:rsidRPr="001724A4">
        <w:rPr>
          <w:lang w:eastAsia="en-AU"/>
        </w:rPr>
        <w:t>All committee members will advocate for inclusion and diversity. Allyship reduces the burden on individuals from underrepresented groups and ensures committee members from historically underrepresented groups are not</w:t>
      </w:r>
      <w:r w:rsidR="00031DBA">
        <w:rPr>
          <w:lang w:eastAsia="en-AU"/>
        </w:rPr>
        <w:t xml:space="preserve"> solely</w:t>
      </w:r>
      <w:r w:rsidRPr="001724A4">
        <w:rPr>
          <w:lang w:eastAsia="en-AU"/>
        </w:rPr>
        <w:t xml:space="preserve"> responsible for championing inclusion and diversity in the Prizes.</w:t>
      </w:r>
    </w:p>
    <w:p w14:paraId="1022393C" w14:textId="0B954BBB" w:rsidR="001724A4" w:rsidRPr="001724A4" w:rsidRDefault="00226894" w:rsidP="006559C1">
      <w:pPr>
        <w:pStyle w:val="Heading3"/>
        <w:rPr>
          <w:rFonts w:eastAsia="Times New Roman"/>
          <w:lang w:eastAsia="en-AU"/>
        </w:rPr>
      </w:pPr>
      <w:r>
        <w:rPr>
          <w:rFonts w:eastAsia="Times New Roman"/>
          <w:lang w:eastAsia="en-AU"/>
        </w:rPr>
        <w:lastRenderedPageBreak/>
        <w:t>E</w:t>
      </w:r>
      <w:r w:rsidR="002D2762">
        <w:rPr>
          <w:rFonts w:eastAsia="Times New Roman"/>
          <w:lang w:eastAsia="en-AU"/>
        </w:rPr>
        <w:t xml:space="preserve">stablish </w:t>
      </w:r>
      <w:r w:rsidR="00F336F2">
        <w:rPr>
          <w:rFonts w:eastAsia="Times New Roman"/>
          <w:lang w:eastAsia="en-AU"/>
        </w:rPr>
        <w:t xml:space="preserve">committee consensus on </w:t>
      </w:r>
      <w:r w:rsidR="002D2762">
        <w:rPr>
          <w:rFonts w:eastAsia="Times New Roman"/>
          <w:lang w:eastAsia="en-AU"/>
        </w:rPr>
        <w:t>the assessment process</w:t>
      </w:r>
    </w:p>
    <w:p w14:paraId="0BFA66BA" w14:textId="57B9C455" w:rsidR="001724A4" w:rsidRPr="001724A4" w:rsidRDefault="001724A4" w:rsidP="006559C1">
      <w:pPr>
        <w:rPr>
          <w:lang w:eastAsia="en-AU"/>
        </w:rPr>
      </w:pPr>
      <w:r w:rsidRPr="001724A4">
        <w:rPr>
          <w:lang w:eastAsia="en-AU"/>
        </w:rPr>
        <w:t>Before the</w:t>
      </w:r>
      <w:r w:rsidR="002D2762">
        <w:rPr>
          <w:lang w:eastAsia="en-AU"/>
        </w:rPr>
        <w:t xml:space="preserve"> start of the</w:t>
      </w:r>
      <w:r w:rsidRPr="001724A4">
        <w:rPr>
          <w:lang w:eastAsia="en-AU"/>
        </w:rPr>
        <w:t xml:space="preserve"> assessment process, </w:t>
      </w:r>
      <w:r w:rsidR="002D2762">
        <w:rPr>
          <w:lang w:eastAsia="en-AU"/>
        </w:rPr>
        <w:t>the</w:t>
      </w:r>
      <w:r w:rsidR="00F336F2">
        <w:rPr>
          <w:lang w:eastAsia="en-AU"/>
        </w:rPr>
        <w:t xml:space="preserve"> </w:t>
      </w:r>
      <w:r w:rsidRPr="001724A4">
        <w:rPr>
          <w:lang w:eastAsia="en-AU"/>
        </w:rPr>
        <w:t xml:space="preserve">committee will </w:t>
      </w:r>
      <w:r w:rsidR="00F336F2">
        <w:rPr>
          <w:lang w:eastAsia="en-AU"/>
        </w:rPr>
        <w:t xml:space="preserve">discuss and confirm </w:t>
      </w:r>
      <w:r w:rsidRPr="001724A4">
        <w:rPr>
          <w:lang w:eastAsia="en-AU"/>
        </w:rPr>
        <w:t>the</w:t>
      </w:r>
      <w:r w:rsidR="00B75814">
        <w:rPr>
          <w:lang w:eastAsia="en-AU"/>
        </w:rPr>
        <w:t>ir prioritised list of</w:t>
      </w:r>
      <w:r w:rsidRPr="001724A4">
        <w:rPr>
          <w:lang w:eastAsia="en-AU"/>
        </w:rPr>
        <w:t xml:space="preserve"> attributes</w:t>
      </w:r>
      <w:r w:rsidR="002D2762">
        <w:rPr>
          <w:lang w:eastAsia="en-AU"/>
        </w:rPr>
        <w:t xml:space="preserve"> </w:t>
      </w:r>
      <w:r w:rsidR="00B75814">
        <w:rPr>
          <w:lang w:eastAsia="en-AU"/>
        </w:rPr>
        <w:t xml:space="preserve">match </w:t>
      </w:r>
      <w:r w:rsidRPr="001724A4">
        <w:rPr>
          <w:lang w:eastAsia="en-AU"/>
        </w:rPr>
        <w:t xml:space="preserve">the eligibility and assessment criteria </w:t>
      </w:r>
      <w:r w:rsidR="00B75814">
        <w:rPr>
          <w:lang w:eastAsia="en-AU"/>
        </w:rPr>
        <w:t xml:space="preserve">within the </w:t>
      </w:r>
      <w:r w:rsidR="002774F0">
        <w:rPr>
          <w:lang w:eastAsia="en-AU"/>
        </w:rPr>
        <w:t>g</w:t>
      </w:r>
      <w:r w:rsidR="00B75814">
        <w:rPr>
          <w:lang w:eastAsia="en-AU"/>
        </w:rPr>
        <w:t>uidelines</w:t>
      </w:r>
      <w:r w:rsidRPr="001724A4">
        <w:rPr>
          <w:lang w:eastAsia="en-AU"/>
        </w:rPr>
        <w:t xml:space="preserve">. </w:t>
      </w:r>
      <w:r w:rsidR="002D2762">
        <w:rPr>
          <w:lang w:eastAsia="en-AU"/>
        </w:rPr>
        <w:t>This will reduce the risk of i</w:t>
      </w:r>
      <w:r w:rsidRPr="001724A4">
        <w:rPr>
          <w:lang w:eastAsia="en-AU"/>
        </w:rPr>
        <w:t xml:space="preserve">mplicit bias </w:t>
      </w:r>
      <w:r w:rsidR="00B75814">
        <w:rPr>
          <w:lang w:eastAsia="en-AU"/>
        </w:rPr>
        <w:t xml:space="preserve">entering the assessment process </w:t>
      </w:r>
      <w:r w:rsidRPr="001724A4">
        <w:rPr>
          <w:lang w:eastAsia="en-AU"/>
        </w:rPr>
        <w:t>through inadvertent ‘criteria shifting’.</w:t>
      </w:r>
      <w:r w:rsidR="00B75814">
        <w:rPr>
          <w:lang w:eastAsia="en-AU"/>
        </w:rPr>
        <w:t xml:space="preserve"> </w:t>
      </w:r>
      <w:r w:rsidR="00B75814" w:rsidRPr="00B75814">
        <w:rPr>
          <w:lang w:eastAsia="en-AU"/>
        </w:rPr>
        <w:t xml:space="preserve">The </w:t>
      </w:r>
      <w:r w:rsidR="00B75814">
        <w:rPr>
          <w:lang w:eastAsia="en-AU"/>
        </w:rPr>
        <w:t>c</w:t>
      </w:r>
      <w:r w:rsidR="00B75814" w:rsidRPr="00B75814">
        <w:rPr>
          <w:lang w:eastAsia="en-AU"/>
        </w:rPr>
        <w:t xml:space="preserve">ommittee </w:t>
      </w:r>
      <w:r w:rsidR="00B75814">
        <w:rPr>
          <w:lang w:eastAsia="en-AU"/>
        </w:rPr>
        <w:t>will</w:t>
      </w:r>
      <w:r w:rsidR="00B75814" w:rsidRPr="00B75814">
        <w:rPr>
          <w:lang w:eastAsia="en-AU"/>
        </w:rPr>
        <w:t xml:space="preserve"> demonstrate complete impartiality to, and equitable treatment of, all nominations through a structured, objective assessment process. </w:t>
      </w:r>
    </w:p>
    <w:p w14:paraId="20439C54" w14:textId="0CADE672" w:rsidR="001724A4" w:rsidRPr="001724A4" w:rsidRDefault="00CE0638" w:rsidP="006559C1">
      <w:pPr>
        <w:pStyle w:val="Heading3"/>
        <w:rPr>
          <w:rFonts w:eastAsia="Times New Roman"/>
          <w:lang w:eastAsia="en-AU"/>
        </w:rPr>
      </w:pPr>
      <w:r>
        <w:rPr>
          <w:rFonts w:eastAsia="Times New Roman"/>
          <w:lang w:eastAsia="en-AU"/>
        </w:rPr>
        <w:t>Consider</w:t>
      </w:r>
      <w:r w:rsidRPr="001724A4">
        <w:rPr>
          <w:rFonts w:eastAsia="Times New Roman"/>
          <w:lang w:eastAsia="en-AU"/>
        </w:rPr>
        <w:t xml:space="preserve"> </w:t>
      </w:r>
      <w:r w:rsidR="001724A4" w:rsidRPr="001724A4">
        <w:rPr>
          <w:rFonts w:eastAsia="Times New Roman"/>
          <w:lang w:eastAsia="en-AU"/>
        </w:rPr>
        <w:t xml:space="preserve">career interruptions and other relevant circumstances </w:t>
      </w:r>
    </w:p>
    <w:p w14:paraId="5CD1032D" w14:textId="75158175" w:rsidR="001724A4" w:rsidRPr="001724A4" w:rsidRDefault="001724A4" w:rsidP="006559C1">
      <w:pPr>
        <w:rPr>
          <w:lang w:eastAsia="en-AU"/>
        </w:rPr>
      </w:pPr>
      <w:r w:rsidRPr="001724A4">
        <w:rPr>
          <w:lang w:eastAsia="en-AU"/>
        </w:rPr>
        <w:t xml:space="preserve">The </w:t>
      </w:r>
      <w:r w:rsidR="002774F0">
        <w:rPr>
          <w:lang w:eastAsia="en-AU"/>
        </w:rPr>
        <w:t>g</w:t>
      </w:r>
      <w:r w:rsidRPr="001724A4">
        <w:rPr>
          <w:lang w:eastAsia="en-AU"/>
        </w:rPr>
        <w:t xml:space="preserve">uidelines </w:t>
      </w:r>
      <w:r w:rsidR="002D2762">
        <w:rPr>
          <w:lang w:eastAsia="en-AU"/>
        </w:rPr>
        <w:t>include clauses that</w:t>
      </w:r>
      <w:r w:rsidR="002774F0">
        <w:rPr>
          <w:lang w:eastAsia="en-AU"/>
        </w:rPr>
        <w:t xml:space="preserve"> consider</w:t>
      </w:r>
      <w:r w:rsidRPr="001724A4">
        <w:rPr>
          <w:lang w:eastAsia="en-AU"/>
        </w:rPr>
        <w:t xml:space="preserve"> the range of circumstances that can affect opportunity. </w:t>
      </w:r>
      <w:r w:rsidR="002D2762">
        <w:rPr>
          <w:lang w:eastAsia="en-AU"/>
        </w:rPr>
        <w:t>There is</w:t>
      </w:r>
      <w:r w:rsidRPr="001724A4">
        <w:rPr>
          <w:lang w:eastAsia="en-AU"/>
        </w:rPr>
        <w:t xml:space="preserve"> particular emphasis on supporting </w:t>
      </w:r>
      <w:r w:rsidR="002D2762">
        <w:rPr>
          <w:lang w:eastAsia="en-AU"/>
        </w:rPr>
        <w:t>those from</w:t>
      </w:r>
      <w:r w:rsidRPr="001724A4">
        <w:rPr>
          <w:lang w:eastAsia="en-AU"/>
        </w:rPr>
        <w:t xml:space="preserve"> historically underrepresented groups</w:t>
      </w:r>
      <w:r w:rsidR="002D2762">
        <w:rPr>
          <w:lang w:eastAsia="en-AU"/>
        </w:rPr>
        <w:t xml:space="preserve"> and</w:t>
      </w:r>
      <w:r w:rsidRPr="001724A4">
        <w:rPr>
          <w:lang w:eastAsia="en-AU"/>
        </w:rPr>
        <w:t xml:space="preserve"> those </w:t>
      </w:r>
      <w:r w:rsidR="00D871E9">
        <w:rPr>
          <w:lang w:eastAsia="en-AU"/>
        </w:rPr>
        <w:t xml:space="preserve">who have </w:t>
      </w:r>
      <w:r w:rsidRPr="001724A4">
        <w:rPr>
          <w:lang w:eastAsia="en-AU"/>
        </w:rPr>
        <w:t>experienc</w:t>
      </w:r>
      <w:r w:rsidR="00D871E9">
        <w:rPr>
          <w:lang w:eastAsia="en-AU"/>
        </w:rPr>
        <w:t>ed</w:t>
      </w:r>
      <w:r w:rsidRPr="001724A4">
        <w:rPr>
          <w:lang w:eastAsia="en-AU"/>
        </w:rPr>
        <w:t xml:space="preserve"> career interruptions</w:t>
      </w:r>
      <w:r w:rsidR="002774F0">
        <w:rPr>
          <w:lang w:eastAsia="en-AU"/>
        </w:rPr>
        <w:t>.</w:t>
      </w:r>
    </w:p>
    <w:p w14:paraId="5973CC2F" w14:textId="18D4A948" w:rsidR="001724A4" w:rsidRPr="001724A4" w:rsidRDefault="001724A4" w:rsidP="006559C1">
      <w:pPr>
        <w:rPr>
          <w:lang w:eastAsia="en-AU"/>
        </w:rPr>
      </w:pPr>
      <w:r w:rsidRPr="001724A4">
        <w:rPr>
          <w:lang w:eastAsia="en-AU"/>
        </w:rPr>
        <w:t xml:space="preserve">Committee members will consider every nominee’s achievement in the context of opportunity and experience </w:t>
      </w:r>
      <w:r w:rsidR="00D871E9">
        <w:rPr>
          <w:lang w:eastAsia="en-AU"/>
        </w:rPr>
        <w:t>according to</w:t>
      </w:r>
      <w:r w:rsidRPr="001724A4">
        <w:rPr>
          <w:lang w:eastAsia="en-AU"/>
        </w:rPr>
        <w:t xml:space="preserve"> the </w:t>
      </w:r>
      <w:r w:rsidR="00034D78">
        <w:rPr>
          <w:lang w:eastAsia="en-AU"/>
        </w:rPr>
        <w:t>g</w:t>
      </w:r>
      <w:r w:rsidRPr="001724A4">
        <w:rPr>
          <w:lang w:eastAsia="en-AU"/>
        </w:rPr>
        <w:t>uidelines. This includes career interruptions</w:t>
      </w:r>
      <w:r w:rsidR="002D2762">
        <w:rPr>
          <w:lang w:eastAsia="en-AU"/>
        </w:rPr>
        <w:t xml:space="preserve"> that may be due to</w:t>
      </w:r>
      <w:r w:rsidRPr="001724A4">
        <w:rPr>
          <w:lang w:eastAsia="en-AU"/>
        </w:rPr>
        <w:t xml:space="preserve"> caring, cultural and community responsibilities. </w:t>
      </w:r>
    </w:p>
    <w:p w14:paraId="4A6D040F" w14:textId="316EFCDC" w:rsidR="001724A4" w:rsidRPr="001724A4" w:rsidRDefault="001724A4" w:rsidP="006559C1">
      <w:pPr>
        <w:rPr>
          <w:lang w:eastAsia="en-AU"/>
        </w:rPr>
      </w:pPr>
      <w:r w:rsidRPr="001724A4">
        <w:rPr>
          <w:lang w:eastAsia="en-AU"/>
        </w:rPr>
        <w:t xml:space="preserve">Career interruptions are not limited to a fixed set of circumstances and </w:t>
      </w:r>
      <w:r w:rsidR="00D871E9">
        <w:rPr>
          <w:lang w:eastAsia="en-AU"/>
        </w:rPr>
        <w:t>may</w:t>
      </w:r>
      <w:r w:rsidRPr="001724A4">
        <w:rPr>
          <w:lang w:eastAsia="en-AU"/>
        </w:rPr>
        <w:t xml:space="preserve"> include:</w:t>
      </w:r>
    </w:p>
    <w:p w14:paraId="53419D3F" w14:textId="77777777" w:rsidR="001724A4" w:rsidRPr="006559C1" w:rsidRDefault="001724A4" w:rsidP="006559C1">
      <w:pPr>
        <w:pStyle w:val="ListParagraph"/>
        <w:numPr>
          <w:ilvl w:val="0"/>
          <w:numId w:val="14"/>
        </w:numPr>
        <w:rPr>
          <w:lang w:eastAsia="en-AU"/>
        </w:rPr>
      </w:pPr>
      <w:r w:rsidRPr="006559C1">
        <w:rPr>
          <w:lang w:eastAsia="en-AU"/>
        </w:rPr>
        <w:t xml:space="preserve">unemployment </w:t>
      </w:r>
    </w:p>
    <w:p w14:paraId="173A6603" w14:textId="77777777" w:rsidR="001724A4" w:rsidRPr="006559C1" w:rsidRDefault="001724A4" w:rsidP="006559C1">
      <w:pPr>
        <w:pStyle w:val="ListParagraph"/>
        <w:numPr>
          <w:ilvl w:val="0"/>
          <w:numId w:val="14"/>
        </w:numPr>
        <w:rPr>
          <w:lang w:eastAsia="en-AU"/>
        </w:rPr>
      </w:pPr>
      <w:r w:rsidRPr="006559C1">
        <w:rPr>
          <w:lang w:eastAsia="en-AU"/>
        </w:rPr>
        <w:t>non-research and non-teaching employment</w:t>
      </w:r>
    </w:p>
    <w:p w14:paraId="366838B0" w14:textId="77777777" w:rsidR="001724A4" w:rsidRPr="006559C1" w:rsidRDefault="001724A4" w:rsidP="006559C1">
      <w:pPr>
        <w:pStyle w:val="ListParagraph"/>
        <w:numPr>
          <w:ilvl w:val="0"/>
          <w:numId w:val="14"/>
        </w:numPr>
        <w:rPr>
          <w:lang w:eastAsia="en-AU"/>
        </w:rPr>
      </w:pPr>
      <w:r w:rsidRPr="006559C1">
        <w:rPr>
          <w:lang w:eastAsia="en-AU"/>
        </w:rPr>
        <w:t>limited or no access to facilities and resources</w:t>
      </w:r>
    </w:p>
    <w:p w14:paraId="5753893C" w14:textId="77777777" w:rsidR="001724A4" w:rsidRPr="006559C1" w:rsidRDefault="001724A4" w:rsidP="006559C1">
      <w:pPr>
        <w:pStyle w:val="ListParagraph"/>
        <w:numPr>
          <w:ilvl w:val="0"/>
          <w:numId w:val="14"/>
        </w:numPr>
        <w:rPr>
          <w:lang w:eastAsia="en-AU"/>
        </w:rPr>
      </w:pPr>
      <w:r w:rsidRPr="006559C1">
        <w:rPr>
          <w:lang w:eastAsia="en-AU"/>
        </w:rPr>
        <w:t>disaster management and recovery</w:t>
      </w:r>
    </w:p>
    <w:p w14:paraId="3AC49FB5" w14:textId="77777777" w:rsidR="001724A4" w:rsidRPr="006559C1" w:rsidRDefault="001724A4" w:rsidP="006559C1">
      <w:pPr>
        <w:pStyle w:val="ListParagraph"/>
        <w:numPr>
          <w:ilvl w:val="0"/>
          <w:numId w:val="14"/>
        </w:numPr>
        <w:rPr>
          <w:lang w:eastAsia="en-AU"/>
        </w:rPr>
      </w:pPr>
      <w:r w:rsidRPr="006559C1">
        <w:rPr>
          <w:lang w:eastAsia="en-AU"/>
        </w:rPr>
        <w:t>medical conditions</w:t>
      </w:r>
    </w:p>
    <w:p w14:paraId="242FC596" w14:textId="77777777" w:rsidR="001724A4" w:rsidRPr="006559C1" w:rsidRDefault="001724A4" w:rsidP="006559C1">
      <w:pPr>
        <w:pStyle w:val="ListParagraph"/>
        <w:numPr>
          <w:ilvl w:val="0"/>
          <w:numId w:val="14"/>
        </w:numPr>
        <w:rPr>
          <w:lang w:eastAsia="en-AU"/>
        </w:rPr>
      </w:pPr>
      <w:r w:rsidRPr="006559C1">
        <w:rPr>
          <w:lang w:eastAsia="en-AU"/>
        </w:rPr>
        <w:t>disability</w:t>
      </w:r>
    </w:p>
    <w:p w14:paraId="57BBD55F" w14:textId="77777777" w:rsidR="001724A4" w:rsidRPr="006559C1" w:rsidRDefault="001724A4" w:rsidP="006559C1">
      <w:pPr>
        <w:pStyle w:val="ListParagraph"/>
        <w:numPr>
          <w:ilvl w:val="0"/>
          <w:numId w:val="14"/>
        </w:numPr>
        <w:rPr>
          <w:lang w:eastAsia="en-AU"/>
        </w:rPr>
      </w:pPr>
      <w:r w:rsidRPr="006559C1">
        <w:rPr>
          <w:lang w:eastAsia="en-AU"/>
        </w:rPr>
        <w:t>caring and parental responsibilities</w:t>
      </w:r>
    </w:p>
    <w:p w14:paraId="5BF57B19" w14:textId="77777777" w:rsidR="001724A4" w:rsidRPr="006559C1" w:rsidRDefault="001724A4" w:rsidP="006559C1">
      <w:pPr>
        <w:pStyle w:val="ListParagraph"/>
        <w:numPr>
          <w:ilvl w:val="0"/>
          <w:numId w:val="14"/>
        </w:numPr>
        <w:rPr>
          <w:lang w:eastAsia="en-AU"/>
        </w:rPr>
      </w:pPr>
      <w:r w:rsidRPr="006559C1">
        <w:rPr>
          <w:lang w:eastAsia="en-AU"/>
        </w:rPr>
        <w:t>community obligations, including Aboriginal and/or Torres Strait Islander cultural practices and protocols</w:t>
      </w:r>
    </w:p>
    <w:p w14:paraId="738042E6" w14:textId="0858DDCE" w:rsidR="001724A4" w:rsidRPr="006559C1" w:rsidRDefault="001724A4" w:rsidP="006559C1">
      <w:pPr>
        <w:pStyle w:val="ListParagraph"/>
        <w:numPr>
          <w:ilvl w:val="0"/>
          <w:numId w:val="14"/>
        </w:numPr>
        <w:rPr>
          <w:lang w:eastAsia="en-AU"/>
        </w:rPr>
      </w:pPr>
      <w:r w:rsidRPr="006559C1">
        <w:rPr>
          <w:lang w:eastAsia="en-AU"/>
        </w:rPr>
        <w:t xml:space="preserve">any other circumstances that have resulted in a </w:t>
      </w:r>
      <w:r w:rsidR="000276B8">
        <w:rPr>
          <w:lang w:eastAsia="en-AU"/>
        </w:rPr>
        <w:t xml:space="preserve">career </w:t>
      </w:r>
      <w:r w:rsidRPr="006559C1">
        <w:rPr>
          <w:lang w:eastAsia="en-AU"/>
        </w:rPr>
        <w:t>break.</w:t>
      </w:r>
    </w:p>
    <w:p w14:paraId="1A936313" w14:textId="7E30F61A" w:rsidR="001724A4" w:rsidRPr="001724A4" w:rsidRDefault="001724A4" w:rsidP="006559C1">
      <w:pPr>
        <w:pStyle w:val="Heading3"/>
        <w:rPr>
          <w:rFonts w:eastAsia="Times New Roman"/>
          <w:lang w:eastAsia="en-AU"/>
        </w:rPr>
      </w:pPr>
      <w:r w:rsidRPr="00E4741E">
        <w:rPr>
          <w:rFonts w:eastAsia="Times New Roman"/>
          <w:lang w:eastAsia="en-AU"/>
        </w:rPr>
        <w:t xml:space="preserve">Identify top </w:t>
      </w:r>
      <w:r w:rsidR="002F4014" w:rsidRPr="00E4741E">
        <w:rPr>
          <w:rFonts w:eastAsia="Times New Roman"/>
          <w:lang w:eastAsia="en-AU"/>
        </w:rPr>
        <w:t xml:space="preserve">nominations </w:t>
      </w:r>
      <w:r w:rsidRPr="00E4741E">
        <w:rPr>
          <w:rFonts w:eastAsia="Times New Roman"/>
          <w:lang w:eastAsia="en-AU"/>
        </w:rPr>
        <w:t xml:space="preserve">before </w:t>
      </w:r>
      <w:r w:rsidR="000276B8" w:rsidRPr="00E4741E">
        <w:rPr>
          <w:rFonts w:eastAsia="Times New Roman"/>
          <w:lang w:eastAsia="en-AU"/>
        </w:rPr>
        <w:t>sharing with the committee</w:t>
      </w:r>
    </w:p>
    <w:p w14:paraId="234C8A93" w14:textId="0C2CA042" w:rsidR="001724A4" w:rsidRPr="001724A4" w:rsidRDefault="001724A4" w:rsidP="006559C1">
      <w:pPr>
        <w:rPr>
          <w:lang w:eastAsia="en-AU"/>
        </w:rPr>
      </w:pPr>
      <w:r w:rsidRPr="001724A4">
        <w:rPr>
          <w:lang w:eastAsia="en-AU"/>
        </w:rPr>
        <w:t xml:space="preserve">Committee members will carefully review each </w:t>
      </w:r>
      <w:r w:rsidR="004F6A01" w:rsidRPr="004F6A01">
        <w:rPr>
          <w:lang w:eastAsia="en-AU"/>
        </w:rPr>
        <w:t>eligible nomination against the assessment criteria, compare them to other eligible nominations</w:t>
      </w:r>
      <w:r w:rsidR="002C143C">
        <w:rPr>
          <w:lang w:eastAsia="en-AU"/>
        </w:rPr>
        <w:t xml:space="preserve"> and rank in order of merit</w:t>
      </w:r>
      <w:r w:rsidRPr="001724A4">
        <w:rPr>
          <w:lang w:eastAsia="en-AU"/>
        </w:rPr>
        <w:t xml:space="preserve">. Committee members will give scores and </w:t>
      </w:r>
      <w:r w:rsidR="000276B8">
        <w:rPr>
          <w:lang w:eastAsia="en-AU"/>
        </w:rPr>
        <w:t xml:space="preserve">nominee </w:t>
      </w:r>
      <w:r w:rsidRPr="001724A4">
        <w:rPr>
          <w:lang w:eastAsia="en-AU"/>
        </w:rPr>
        <w:t>ranking</w:t>
      </w:r>
      <w:r w:rsidR="00FB1A5B">
        <w:rPr>
          <w:lang w:eastAsia="en-AU"/>
        </w:rPr>
        <w:t>s</w:t>
      </w:r>
      <w:r w:rsidRPr="001724A4">
        <w:rPr>
          <w:lang w:eastAsia="en-AU"/>
        </w:rPr>
        <w:t xml:space="preserve"> to the Program Delegate </w:t>
      </w:r>
      <w:r w:rsidR="000276B8">
        <w:rPr>
          <w:lang w:eastAsia="en-AU"/>
        </w:rPr>
        <w:t>prior to</w:t>
      </w:r>
      <w:r w:rsidRPr="001724A4">
        <w:rPr>
          <w:lang w:eastAsia="en-AU"/>
        </w:rPr>
        <w:t xml:space="preserve"> the committee meetings and before discussions occur. This will help mitigate the undue influence of any one member</w:t>
      </w:r>
      <w:r w:rsidRPr="006559C1">
        <w:rPr>
          <w:lang w:eastAsia="en-AU"/>
        </w:rPr>
        <w:t>.</w:t>
      </w:r>
      <w:r w:rsidR="002C143C">
        <w:rPr>
          <w:lang w:eastAsia="en-AU"/>
        </w:rPr>
        <w:t xml:space="preserve"> At the committee meetings t</w:t>
      </w:r>
      <w:r w:rsidR="002C143C" w:rsidRPr="002C143C">
        <w:rPr>
          <w:lang w:eastAsia="en-AU"/>
        </w:rPr>
        <w:t xml:space="preserve">he </w:t>
      </w:r>
      <w:r w:rsidR="002C143C">
        <w:rPr>
          <w:lang w:eastAsia="en-AU"/>
        </w:rPr>
        <w:t>c</w:t>
      </w:r>
      <w:r w:rsidR="002C143C" w:rsidRPr="002C143C">
        <w:rPr>
          <w:lang w:eastAsia="en-AU"/>
        </w:rPr>
        <w:t>ommittee members will discuss, reach consensus and rank the nominations in order of merit per prize category</w:t>
      </w:r>
      <w:r w:rsidR="002C143C">
        <w:rPr>
          <w:lang w:eastAsia="en-AU"/>
        </w:rPr>
        <w:t>.</w:t>
      </w:r>
    </w:p>
    <w:p w14:paraId="4A6CE57F" w14:textId="30BCDA52" w:rsidR="001724A4" w:rsidRPr="001724A4" w:rsidRDefault="001724A4" w:rsidP="006559C1">
      <w:pPr>
        <w:pStyle w:val="Heading3"/>
        <w:rPr>
          <w:rFonts w:eastAsia="Times New Roman"/>
          <w:lang w:eastAsia="en-AU"/>
        </w:rPr>
      </w:pPr>
      <w:r w:rsidRPr="00E4741E">
        <w:rPr>
          <w:rFonts w:eastAsia="Times New Roman"/>
          <w:lang w:eastAsia="en-AU"/>
        </w:rPr>
        <w:lastRenderedPageBreak/>
        <w:t>Ensure every committee member</w:t>
      </w:r>
      <w:r w:rsidR="000276B8" w:rsidRPr="00E4741E">
        <w:rPr>
          <w:rFonts w:eastAsia="Times New Roman"/>
          <w:lang w:eastAsia="en-AU"/>
        </w:rPr>
        <w:t xml:space="preserve"> can </w:t>
      </w:r>
      <w:r w:rsidR="00CE0638" w:rsidRPr="00E4741E">
        <w:rPr>
          <w:rFonts w:eastAsia="Times New Roman"/>
          <w:lang w:eastAsia="en-AU"/>
        </w:rPr>
        <w:t xml:space="preserve">equally </w:t>
      </w:r>
      <w:r w:rsidR="000276B8" w:rsidRPr="00E4741E">
        <w:rPr>
          <w:rFonts w:eastAsia="Times New Roman"/>
          <w:lang w:eastAsia="en-AU"/>
        </w:rPr>
        <w:t xml:space="preserve">contribute </w:t>
      </w:r>
    </w:p>
    <w:p w14:paraId="4EAD0689" w14:textId="3E45D487" w:rsidR="001724A4" w:rsidRPr="001724A4" w:rsidRDefault="002E5DA9" w:rsidP="006559C1">
      <w:pPr>
        <w:rPr>
          <w:lang w:eastAsia="en-AU"/>
        </w:rPr>
      </w:pPr>
      <w:r>
        <w:rPr>
          <w:lang w:eastAsia="en-AU"/>
        </w:rPr>
        <w:t>The department will share the consolidated scores and merit rankings to committee members p</w:t>
      </w:r>
      <w:r w:rsidR="005F0EC7">
        <w:rPr>
          <w:lang w:eastAsia="en-AU"/>
        </w:rPr>
        <w:t xml:space="preserve">rior to the committee meetings. </w:t>
      </w:r>
      <w:r w:rsidR="001724A4" w:rsidRPr="001724A4">
        <w:rPr>
          <w:lang w:eastAsia="en-AU"/>
        </w:rPr>
        <w:t>The</w:t>
      </w:r>
      <w:r w:rsidR="005F0EC7">
        <w:rPr>
          <w:lang w:eastAsia="en-AU"/>
        </w:rPr>
        <w:t xml:space="preserve"> Chair of the</w:t>
      </w:r>
      <w:r w:rsidR="001724A4" w:rsidRPr="001724A4">
        <w:rPr>
          <w:lang w:eastAsia="en-AU"/>
        </w:rPr>
        <w:t xml:space="preserve"> </w:t>
      </w:r>
      <w:r w:rsidR="000276B8">
        <w:rPr>
          <w:lang w:eastAsia="en-AU"/>
        </w:rPr>
        <w:t xml:space="preserve">assessment </w:t>
      </w:r>
      <w:r w:rsidR="001724A4" w:rsidRPr="001724A4">
        <w:rPr>
          <w:lang w:eastAsia="en-AU"/>
        </w:rPr>
        <w:t>committee will</w:t>
      </w:r>
      <w:r>
        <w:rPr>
          <w:lang w:eastAsia="en-AU"/>
        </w:rPr>
        <w:t xml:space="preserve"> </w:t>
      </w:r>
      <w:r w:rsidRPr="001724A4">
        <w:rPr>
          <w:lang w:eastAsia="en-AU"/>
        </w:rPr>
        <w:t xml:space="preserve">moderate </w:t>
      </w:r>
      <w:r>
        <w:rPr>
          <w:lang w:eastAsia="en-AU"/>
        </w:rPr>
        <w:t>assessment</w:t>
      </w:r>
      <w:r w:rsidRPr="001724A4">
        <w:rPr>
          <w:lang w:eastAsia="en-AU"/>
        </w:rPr>
        <w:t xml:space="preserve"> discussions to include all members </w:t>
      </w:r>
      <w:r>
        <w:rPr>
          <w:lang w:eastAsia="en-AU"/>
        </w:rPr>
        <w:t xml:space="preserve">and ensure </w:t>
      </w:r>
      <w:r w:rsidR="001724A4" w:rsidRPr="001724A4">
        <w:rPr>
          <w:lang w:eastAsia="en-AU"/>
        </w:rPr>
        <w:t xml:space="preserve">enough time for decision-making. </w:t>
      </w:r>
      <w:r w:rsidR="00791C10">
        <w:rPr>
          <w:lang w:eastAsia="en-AU"/>
        </w:rPr>
        <w:t xml:space="preserve">All committee members </w:t>
      </w:r>
      <w:r w:rsidR="00BB10A7">
        <w:rPr>
          <w:lang w:eastAsia="en-AU"/>
        </w:rPr>
        <w:t xml:space="preserve">must support the Chair in allowing all members to </w:t>
      </w:r>
      <w:r w:rsidR="002E589F">
        <w:rPr>
          <w:lang w:eastAsia="en-AU"/>
        </w:rPr>
        <w:t xml:space="preserve">equally </w:t>
      </w:r>
      <w:r w:rsidR="00BB10A7">
        <w:rPr>
          <w:lang w:eastAsia="en-AU"/>
        </w:rPr>
        <w:t xml:space="preserve">contribute to the assessment process. </w:t>
      </w:r>
      <w:r w:rsidR="005F0EC7">
        <w:rPr>
          <w:lang w:eastAsia="en-AU"/>
        </w:rPr>
        <w:t>This will ensure</w:t>
      </w:r>
      <w:r w:rsidR="001724A4" w:rsidRPr="001724A4">
        <w:rPr>
          <w:lang w:eastAsia="en-AU"/>
        </w:rPr>
        <w:t xml:space="preserve"> </w:t>
      </w:r>
      <w:r>
        <w:rPr>
          <w:lang w:eastAsia="en-AU"/>
        </w:rPr>
        <w:t xml:space="preserve">all members </w:t>
      </w:r>
      <w:r w:rsidR="00E27B20">
        <w:rPr>
          <w:lang w:eastAsia="en-AU"/>
        </w:rPr>
        <w:t>can</w:t>
      </w:r>
      <w:r>
        <w:rPr>
          <w:lang w:eastAsia="en-AU"/>
        </w:rPr>
        <w:t xml:space="preserve"> contribute </w:t>
      </w:r>
      <w:r w:rsidR="001724A4" w:rsidRPr="001724A4">
        <w:rPr>
          <w:lang w:eastAsia="en-AU"/>
        </w:rPr>
        <w:t>thoughtful reflection and discussion.</w:t>
      </w:r>
    </w:p>
    <w:p w14:paraId="6901980B" w14:textId="77777777" w:rsidR="001724A4" w:rsidRPr="001724A4" w:rsidRDefault="001724A4" w:rsidP="001724A4">
      <w:pPr>
        <w:spacing w:before="0" w:after="160" w:line="259" w:lineRule="auto"/>
        <w:rPr>
          <w:rFonts w:ascii="Calibri" w:eastAsia="Calibri" w:hAnsi="Calibri" w:cs="Times New Roman"/>
          <w:kern w:val="2"/>
          <w:sz w:val="22"/>
          <w14:ligatures w14:val="standardContextual"/>
        </w:rPr>
      </w:pPr>
    </w:p>
    <w:bookmarkEnd w:id="0"/>
    <w:p w14:paraId="4E13E721" w14:textId="77777777" w:rsidR="001724A4" w:rsidRDefault="001724A4" w:rsidP="004A7856">
      <w:pPr>
        <w:spacing w:after="240"/>
      </w:pPr>
    </w:p>
    <w:sectPr w:rsidR="001724A4" w:rsidSect="007741CC">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440" w:left="1440"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74E25" w14:textId="77777777" w:rsidR="00437A62" w:rsidRDefault="00437A62" w:rsidP="00B251DB">
      <w:pPr>
        <w:spacing w:after="0"/>
      </w:pPr>
      <w:r>
        <w:separator/>
      </w:r>
    </w:p>
  </w:endnote>
  <w:endnote w:type="continuationSeparator" w:id="0">
    <w:p w14:paraId="3B9D858B" w14:textId="77777777" w:rsidR="00437A62" w:rsidRDefault="00437A62" w:rsidP="00B25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1F171" w14:textId="77777777" w:rsidR="00335C23" w:rsidRDefault="006A092C">
    <w:pPr>
      <w:pStyle w:val="Footer"/>
    </w:pPr>
    <w:r>
      <w:rPr>
        <w:noProof/>
      </w:rPr>
      <mc:AlternateContent>
        <mc:Choice Requires="wps">
          <w:drawing>
            <wp:anchor distT="0" distB="0" distL="0" distR="0" simplePos="0" relativeHeight="251665408" behindDoc="0" locked="0" layoutInCell="1" allowOverlap="1" wp14:anchorId="7108C827" wp14:editId="78F36458">
              <wp:simplePos x="635" y="635"/>
              <wp:positionH relativeFrom="page">
                <wp:align>center</wp:align>
              </wp:positionH>
              <wp:positionV relativeFrom="page">
                <wp:align>bottom</wp:align>
              </wp:positionV>
              <wp:extent cx="551815" cy="452755"/>
              <wp:effectExtent l="0" t="0" r="635" b="0"/>
              <wp:wrapNone/>
              <wp:docPr id="38695223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C1E8D44"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08C827" id="_x0000_t202" coordsize="21600,21600" o:spt="202" path="m,l,21600r21600,l21600,xe">
              <v:stroke joinstyle="miter"/>
              <v:path gradientshapeok="t" o:connecttype="rect"/>
            </v:shapetype>
            <v:shape id="Text Box 5" o:spid="_x0000_s1028" type="#_x0000_t202" alt="OFFICIAL" style="position:absolute;margin-left:0;margin-top:0;width:43.45pt;height:35.6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2C1E8D44"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2C3A2" w14:textId="6B7AD0F3" w:rsidR="00CD36CB" w:rsidRPr="00F277D1" w:rsidRDefault="006A092C" w:rsidP="009D2329">
    <w:pPr>
      <w:pStyle w:val="Footer"/>
    </w:pPr>
    <w:r>
      <w:rPr>
        <w:noProof/>
      </w:rPr>
      <mc:AlternateContent>
        <mc:Choice Requires="wps">
          <w:drawing>
            <wp:anchor distT="0" distB="0" distL="0" distR="0" simplePos="0" relativeHeight="251666432" behindDoc="0" locked="0" layoutInCell="1" allowOverlap="1" wp14:anchorId="2C5D7EA1" wp14:editId="19CFA74E">
              <wp:simplePos x="914400" y="9782175"/>
              <wp:positionH relativeFrom="page">
                <wp:align>center</wp:align>
              </wp:positionH>
              <wp:positionV relativeFrom="page">
                <wp:align>bottom</wp:align>
              </wp:positionV>
              <wp:extent cx="551815" cy="452755"/>
              <wp:effectExtent l="0" t="0" r="635" b="0"/>
              <wp:wrapNone/>
              <wp:docPr id="205447746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F158B14"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5D7EA1" id="_x0000_t202" coordsize="21600,21600" o:spt="202" path="m,l,21600r21600,l21600,xe">
              <v:stroke joinstyle="miter"/>
              <v:path gradientshapeok="t" o:connecttype="rect"/>
            </v:shapetype>
            <v:shape id="Text Box 6" o:spid="_x0000_s1029" type="#_x0000_t202" alt="OFFICIAL" style="position:absolute;margin-left:0;margin-top:0;width:43.45pt;height:35.6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textbox style="mso-fit-shape-to-text:t" inset="0,0,0,15pt">
                <w:txbxContent>
                  <w:p w14:paraId="3F158B14"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v:textbox>
              <w10:wrap anchorx="page" anchory="page"/>
            </v:shape>
          </w:pict>
        </mc:Fallback>
      </mc:AlternateContent>
    </w:r>
    <w:sdt>
      <w:sdtPr>
        <w:alias w:val="Title"/>
        <w:tag w:val=""/>
        <w:id w:val="-1005120900"/>
        <w:dataBinding w:prefixMappings="xmlns:ns0='http://purl.org/dc/elements/1.1/' xmlns:ns1='http://schemas.openxmlformats.org/package/2006/metadata/core-properties' " w:xpath="/ns1:coreProperties[1]/ns0:title[1]" w:storeItemID="{6C3C8BC8-F283-45AE-878A-BAB7291924A1}"/>
        <w:text/>
      </w:sdtPr>
      <w:sdtEndPr/>
      <w:sdtContent>
        <w:r w:rsidR="00E204BA">
          <w:t>2026 Prime Minister’s Prizes for Science</w:t>
        </w:r>
        <w:r w:rsidR="00B266C1">
          <w:t xml:space="preserve"> – Principles for </w:t>
        </w:r>
        <w:r w:rsidR="00FC2300">
          <w:t>Promoting</w:t>
        </w:r>
        <w:r w:rsidR="00B266C1">
          <w:t xml:space="preserve"> Diversity and Inclusion</w:t>
        </w:r>
      </w:sdtContent>
    </w:sdt>
  </w:p>
  <w:p w14:paraId="44880B06" w14:textId="30BBB99C" w:rsidR="00194586" w:rsidRPr="00CD36CB" w:rsidRDefault="00CD36CB" w:rsidP="00CD36CB">
    <w:pPr>
      <w:pStyle w:val="Footer"/>
    </w:pPr>
    <w:r w:rsidRPr="00F277D1">
      <w:rPr>
        <w:b/>
        <w:bCs/>
        <w:color w:val="0766A5" w:themeColor="accent1"/>
      </w:rPr>
      <w:t xml:space="preserve">| </w:t>
    </w:r>
    <w:r w:rsidRPr="00F277D1">
      <w:rPr>
        <w:b/>
        <w:bCs/>
      </w:rPr>
      <w:t>industry</w:t>
    </w:r>
    <w:r w:rsidRPr="007741CC">
      <w:t>.</w:t>
    </w:r>
    <w:r w:rsidRPr="00F277D1">
      <w:t>gov.au/</w:t>
    </w:r>
    <w:r w:rsidR="00FC2300">
      <w:t>PMPRIZES</w:t>
    </w:r>
    <w:r w:rsidRPr="00F277D1">
      <w:tab/>
    </w:r>
    <w:r>
      <w:tab/>
    </w:r>
    <w:sdt>
      <w:sdtPr>
        <w:id w:val="-1044901746"/>
        <w:docPartObj>
          <w:docPartGallery w:val="Page Numbers (Bottom of Page)"/>
          <w:docPartUnique/>
        </w:docPartObj>
      </w:sdtPr>
      <w:sdtEndPr/>
      <w:sdtContent>
        <w:r w:rsidRPr="00F277D1">
          <w:fldChar w:fldCharType="begin"/>
        </w:r>
        <w:r w:rsidRPr="00F277D1">
          <w:instrText xml:space="preserve"> PAGE   \* MERGEFORMAT </w:instrText>
        </w:r>
        <w:r w:rsidRPr="00F277D1">
          <w:fldChar w:fldCharType="separate"/>
        </w:r>
        <w:r>
          <w:t>ii</w:t>
        </w:r>
        <w:r w:rsidRPr="00F277D1">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6CA8D" w14:textId="2CCC6FF6" w:rsidR="004A7856" w:rsidRPr="006A092C" w:rsidRDefault="006A092C" w:rsidP="006A092C">
    <w:pPr>
      <w:pStyle w:val="Footer"/>
    </w:pPr>
    <w:r>
      <w:rPr>
        <w:noProof/>
      </w:rPr>
      <mc:AlternateContent>
        <mc:Choice Requires="wps">
          <w:drawing>
            <wp:anchor distT="0" distB="0" distL="0" distR="0" simplePos="0" relativeHeight="251664384" behindDoc="0" locked="0" layoutInCell="1" allowOverlap="1" wp14:anchorId="43E1440E" wp14:editId="33FCA8A6">
              <wp:simplePos x="914400" y="9782175"/>
              <wp:positionH relativeFrom="page">
                <wp:align>center</wp:align>
              </wp:positionH>
              <wp:positionV relativeFrom="page">
                <wp:align>bottom</wp:align>
              </wp:positionV>
              <wp:extent cx="551815" cy="452755"/>
              <wp:effectExtent l="0" t="0" r="635" b="0"/>
              <wp:wrapNone/>
              <wp:docPr id="54329835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FA5C8E7"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E1440E" id="_x0000_t202" coordsize="21600,21600" o:spt="202" path="m,l,21600r21600,l21600,xe">
              <v:stroke joinstyle="miter"/>
              <v:path gradientshapeok="t" o:connecttype="rect"/>
            </v:shapetype>
            <v:shape id="Text Box 4" o:spid="_x0000_s1031" type="#_x0000_t202" alt="OFFICIAL" style="position:absolute;margin-left:0;margin-top:0;width:43.45pt;height:35.6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A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yNT9DpoTDuVg3Le3fN1h6Q3z4Zk5XDDOgaIN&#10;T3hIBX1N4WxR0oL78Td/zEfeMUpJj4KpqUFFU6K+GdxH1NZkuMnYJaO4zcsc4+ag7wFlWOCLsDyZ&#10;6HVBTaZ0oF9RzqtYCEPMcCxX091k3odRufgcuFitUhLKyLKwMVvLI3SkK3L5MrwyZ8+EB9zUI0xq&#10;YtUb3sfceNPb1SEg+2kpkdqRyDPjKMG01vNziRr/9T9lXR/18ic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mhwKQ4CAAAc&#10;BAAADgAAAAAAAAAAAAAAAAAuAgAAZHJzL2Uyb0RvYy54bWxQSwECLQAUAAYACAAAACEA763esdsA&#10;AAADAQAADwAAAAAAAAAAAAAAAABoBAAAZHJzL2Rvd25yZXYueG1sUEsFBgAAAAAEAAQA8wAAAHAF&#10;AAAAAA==&#10;" filled="f" stroked="f">
              <v:textbox style="mso-fit-shape-to-text:t" inset="0,0,0,15pt">
                <w:txbxContent>
                  <w:p w14:paraId="4FA5C8E7"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v:textbox>
              <w10:wrap anchorx="page" anchory="page"/>
            </v:shape>
          </w:pict>
        </mc:Fallback>
      </mc:AlternateContent>
    </w:r>
    <w:sdt>
      <w:sdtPr>
        <w:alias w:val="Title"/>
        <w:tag w:val=""/>
        <w:id w:val="2090884714"/>
        <w:dataBinding w:prefixMappings="xmlns:ns0='http://purl.org/dc/elements/1.1/' xmlns:ns1='http://schemas.openxmlformats.org/package/2006/metadata/core-properties' " w:xpath="/ns1:coreProperties[1]/ns0:title[1]" w:storeItemID="{6C3C8BC8-F283-45AE-878A-BAB7291924A1}"/>
        <w:text/>
      </w:sdtPr>
      <w:sdtEndPr/>
      <w:sdtContent>
        <w:r w:rsidR="00FC2300">
          <w:t>2026 Prime Minister’s Prizes for Science – Principles for Promoting Diversity and Inclusion</w:t>
        </w:r>
      </w:sdtContent>
    </w:sdt>
  </w:p>
  <w:p w14:paraId="6B856D78" w14:textId="1BFCCDB1" w:rsidR="00194586" w:rsidRPr="006A092C" w:rsidRDefault="004A7856" w:rsidP="006A092C">
    <w:pPr>
      <w:pStyle w:val="Footer"/>
    </w:pPr>
    <w:r w:rsidRPr="00BF6930">
      <w:rPr>
        <w:b/>
        <w:bCs/>
        <w:color w:val="0766A5" w:themeColor="accent1"/>
      </w:rPr>
      <w:t xml:space="preserve">| </w:t>
    </w:r>
    <w:r w:rsidRPr="006A092C">
      <w:rPr>
        <w:rStyle w:val="Strong"/>
      </w:rPr>
      <w:t>industry</w:t>
    </w:r>
    <w:r w:rsidRPr="006A092C">
      <w:t>.gov.au/</w:t>
    </w:r>
    <w:r w:rsidR="00FC2300">
      <w:t>PMPRIZES</w:t>
    </w:r>
    <w:r w:rsidRPr="006A092C">
      <w:tab/>
    </w:r>
    <w:r w:rsidR="00CD36CB" w:rsidRPr="006A092C">
      <w:tab/>
    </w:r>
    <w:sdt>
      <w:sdtPr>
        <w:id w:val="1655647692"/>
        <w:docPartObj>
          <w:docPartGallery w:val="Page Numbers (Bottom of Page)"/>
          <w:docPartUnique/>
        </w:docPartObj>
      </w:sdtPr>
      <w:sdtEndPr/>
      <w:sdtContent>
        <w:r w:rsidRPr="006A092C">
          <w:fldChar w:fldCharType="begin"/>
        </w:r>
        <w:r w:rsidRPr="006A092C">
          <w:instrText xml:space="preserve"> PAGE   \* MERGEFORMAT </w:instrText>
        </w:r>
        <w:r w:rsidRPr="006A092C">
          <w:fldChar w:fldCharType="separate"/>
        </w:r>
        <w:r w:rsidRPr="006A092C">
          <w:t>1</w:t>
        </w:r>
        <w:r w:rsidRPr="006A092C">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5161E" w14:textId="77777777" w:rsidR="00437A62" w:rsidRDefault="00437A62" w:rsidP="00B251DB">
      <w:pPr>
        <w:spacing w:after="0"/>
      </w:pPr>
      <w:r>
        <w:separator/>
      </w:r>
    </w:p>
  </w:footnote>
  <w:footnote w:type="continuationSeparator" w:id="0">
    <w:p w14:paraId="7EF73E1E" w14:textId="77777777" w:rsidR="00437A62" w:rsidRDefault="00437A62" w:rsidP="00B251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742EB" w14:textId="77777777" w:rsidR="00335C23" w:rsidRDefault="006A092C">
    <w:pPr>
      <w:pStyle w:val="Header"/>
    </w:pPr>
    <w:r>
      <w:rPr>
        <w:noProof/>
      </w:rPr>
      <mc:AlternateContent>
        <mc:Choice Requires="wps">
          <w:drawing>
            <wp:anchor distT="0" distB="0" distL="0" distR="0" simplePos="0" relativeHeight="251662336" behindDoc="0" locked="0" layoutInCell="1" allowOverlap="1" wp14:anchorId="66F80943" wp14:editId="54884055">
              <wp:simplePos x="635" y="635"/>
              <wp:positionH relativeFrom="page">
                <wp:align>center</wp:align>
              </wp:positionH>
              <wp:positionV relativeFrom="page">
                <wp:align>top</wp:align>
              </wp:positionV>
              <wp:extent cx="551815" cy="452755"/>
              <wp:effectExtent l="0" t="0" r="635" b="4445"/>
              <wp:wrapNone/>
              <wp:docPr id="180522813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EDEC0CB"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F80943"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7EDEC0CB"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15F7E" w14:textId="77777777" w:rsidR="00194586" w:rsidRPr="00CD36CB" w:rsidRDefault="006A092C" w:rsidP="00CD36CB">
    <w:pPr>
      <w:pStyle w:val="Header"/>
    </w:pPr>
    <w:r>
      <w:rPr>
        <w:noProof/>
      </w:rPr>
      <mc:AlternateContent>
        <mc:Choice Requires="wps">
          <w:drawing>
            <wp:anchor distT="0" distB="0" distL="0" distR="0" simplePos="0" relativeHeight="251663360" behindDoc="0" locked="0" layoutInCell="1" allowOverlap="1" wp14:anchorId="0A18D36D" wp14:editId="7573A834">
              <wp:simplePos x="914400" y="542925"/>
              <wp:positionH relativeFrom="page">
                <wp:align>center</wp:align>
              </wp:positionH>
              <wp:positionV relativeFrom="page">
                <wp:align>top</wp:align>
              </wp:positionV>
              <wp:extent cx="551815" cy="452755"/>
              <wp:effectExtent l="0" t="0" r="635" b="4445"/>
              <wp:wrapNone/>
              <wp:docPr id="3389086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9B7DAE5"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18D36D" id="_x0000_t202" coordsize="21600,21600" o:spt="202" path="m,l,21600r21600,l21600,xe">
              <v:stroke joinstyle="miter"/>
              <v:path gradientshapeok="t" o:connecttype="rect"/>
            </v:shapetype>
            <v:shape id="Text Box 3" o:spid="_x0000_s1027" type="#_x0000_t202" alt="OFFICIAL" style="position:absolute;margin-left:0;margin-top:0;width:43.45pt;height:35.6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filled="f" stroked="f">
              <v:textbox style="mso-fit-shape-to-text:t" inset="0,15pt,0,0">
                <w:txbxContent>
                  <w:p w14:paraId="39B7DAE5"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96BA3" w14:textId="77777777" w:rsidR="00194586" w:rsidRPr="00CD36CB" w:rsidRDefault="006A092C" w:rsidP="00CD36CB">
    <w:pPr>
      <w:pStyle w:val="Header"/>
      <w:rPr>
        <w:noProof/>
      </w:rPr>
    </w:pPr>
    <w:r>
      <w:rPr>
        <w:noProof/>
      </w:rPr>
      <mc:AlternateContent>
        <mc:Choice Requires="wps">
          <w:drawing>
            <wp:anchor distT="0" distB="0" distL="0" distR="0" simplePos="0" relativeHeight="251661312" behindDoc="0" locked="0" layoutInCell="1" allowOverlap="1" wp14:anchorId="4E521362" wp14:editId="3DBE6B59">
              <wp:simplePos x="914400" y="542925"/>
              <wp:positionH relativeFrom="page">
                <wp:align>center</wp:align>
              </wp:positionH>
              <wp:positionV relativeFrom="page">
                <wp:align>top</wp:align>
              </wp:positionV>
              <wp:extent cx="551815" cy="452755"/>
              <wp:effectExtent l="0" t="0" r="635" b="4445"/>
              <wp:wrapNone/>
              <wp:docPr id="163085076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F46ED55"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521362" id="_x0000_t202" coordsize="21600,21600" o:spt="202" path="m,l,21600r21600,l21600,xe">
              <v:stroke joinstyle="miter"/>
              <v:path gradientshapeok="t" o:connecttype="rect"/>
            </v:shapetype>
            <v:shape id="Text Box 1" o:spid="_x0000_s1030" type="#_x0000_t202" alt="OFFICIAL" style="position:absolute;margin-left:0;margin-top:0;width:43.45pt;height:35.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OgDQ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VYfOp+B80Jh3Iw7ttbvu6w9Ib58MwcLhjnQNGG&#10;Jzykgr6mcLYoacH9+Js/5iPvGKWkR8HU1KCiKVHfDO4jaisZxW1e5nhzk3s3Geag7wFlWOCLsDyZ&#10;MS+oyZQO9CvKeRULYYgZjuVqGibzPozKxefAxWqVklBGloWN2VoeoSNdkcuX4ZU5eyY84KYeYVIT&#10;q97wPubGP71dHQKyn5YSqR2JPDOOEkxrPT+XqPFf7ynr+qiXPwE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DUQk6ANAgAAHAQA&#10;AA4AAAAAAAAAAAAAAAAALgIAAGRycy9lMm9Eb2MueG1sUEsBAi0AFAAGAAgAAAAhAAxeAg7aAAAA&#10;AwEAAA8AAAAAAAAAAAAAAAAAZwQAAGRycy9kb3ducmV2LnhtbFBLBQYAAAAABAAEAPMAAABuBQAA&#10;AAA=&#10;" filled="f" stroked="f">
              <v:textbox style="mso-fit-shape-to-text:t" inset="0,15pt,0,0">
                <w:txbxContent>
                  <w:p w14:paraId="6F46ED55"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v:textbox>
              <w10:wrap anchorx="page" anchory="page"/>
            </v:shape>
          </w:pict>
        </mc:Fallback>
      </mc:AlternateContent>
    </w:r>
    <w:r w:rsidR="00CD36CB" w:rsidRPr="00F277D1">
      <w:rPr>
        <w:noProof/>
      </w:rPr>
      <mc:AlternateContent>
        <mc:Choice Requires="wps">
          <w:drawing>
            <wp:anchor distT="0" distB="0" distL="114300" distR="114300" simplePos="0" relativeHeight="251659264" behindDoc="0" locked="0" layoutInCell="1" allowOverlap="1" wp14:anchorId="4D28F984" wp14:editId="37F92208">
              <wp:simplePos x="0" y="0"/>
              <wp:positionH relativeFrom="page">
                <wp:posOffset>0</wp:posOffset>
              </wp:positionH>
              <wp:positionV relativeFrom="page">
                <wp:posOffset>0</wp:posOffset>
              </wp:positionV>
              <wp:extent cx="1962000" cy="284400"/>
              <wp:effectExtent l="0" t="0" r="635" b="1905"/>
              <wp:wrapNone/>
              <wp:docPr id="7"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62000" cy="284400"/>
                      </a:xfrm>
                      <a:custGeom>
                        <a:avLst/>
                        <a:gdLst>
                          <a:gd name="connsiteX0" fmla="*/ 0 w 2332168"/>
                          <a:gd name="connsiteY0" fmla="*/ 0 h 336570"/>
                          <a:gd name="connsiteX1" fmla="*/ 2332168 w 2332168"/>
                          <a:gd name="connsiteY1" fmla="*/ 0 h 336570"/>
                          <a:gd name="connsiteX2" fmla="*/ 2332168 w 2332168"/>
                          <a:gd name="connsiteY2" fmla="*/ 336570 h 336570"/>
                          <a:gd name="connsiteX3" fmla="*/ 0 w 2332168"/>
                          <a:gd name="connsiteY3" fmla="*/ 336570 h 336570"/>
                          <a:gd name="connsiteX4" fmla="*/ 0 w 2332168"/>
                          <a:gd name="connsiteY4" fmla="*/ 0 h 336570"/>
                          <a:gd name="connsiteX0" fmla="*/ 0 w 2332168"/>
                          <a:gd name="connsiteY0" fmla="*/ 0 h 336570"/>
                          <a:gd name="connsiteX1" fmla="*/ 2332168 w 2332168"/>
                          <a:gd name="connsiteY1" fmla="*/ 0 h 336570"/>
                          <a:gd name="connsiteX2" fmla="*/ 2266641 w 2332168"/>
                          <a:gd name="connsiteY2" fmla="*/ 196581 h 336570"/>
                          <a:gd name="connsiteX3" fmla="*/ 0 w 2332168"/>
                          <a:gd name="connsiteY3" fmla="*/ 336570 h 336570"/>
                          <a:gd name="connsiteX4" fmla="*/ 0 w 2332168"/>
                          <a:gd name="connsiteY4" fmla="*/ 0 h 3365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32168" h="336570">
                            <a:moveTo>
                              <a:pt x="0" y="0"/>
                            </a:moveTo>
                            <a:lnTo>
                              <a:pt x="2332168" y="0"/>
                            </a:lnTo>
                            <a:lnTo>
                              <a:pt x="2266641" y="196581"/>
                            </a:lnTo>
                            <a:lnTo>
                              <a:pt x="0" y="33657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32AC7AF" id="Rectangle 12" o:spid="_x0000_s1026" alt="&quot;&quot;" style="position:absolute;margin-left:0;margin-top:0;width:154.5pt;height:2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332168,33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" path="m,l2332168,r-65527,196581l,336570,,xe" fillcolor="#0766a5 [3204]" stroked="f" strokeweight="1pt">
              <v:stroke joinstyle="miter"/>
              <v:path arrowok="t" o:connecttype="custom" o:connectlocs="0,0;1962000,0;1906874,166110;0,284400;0,0" o:connectangles="0,0,0,0,0"/>
              <w10:wrap anchorx="page" anchory="page"/>
            </v:shape>
          </w:pict>
        </mc:Fallback>
      </mc:AlternateContent>
    </w:r>
    <w:r w:rsidR="00CD36CB" w:rsidRPr="00F277D1">
      <w:rPr>
        <w:noProof/>
      </w:rPr>
      <w:drawing>
        <wp:anchor distT="0" distB="0" distL="114300" distR="114300" simplePos="0" relativeHeight="251660288" behindDoc="1" locked="0" layoutInCell="1" allowOverlap="1" wp14:anchorId="6B9B6804" wp14:editId="43F25CDC">
          <wp:simplePos x="0" y="0"/>
          <wp:positionH relativeFrom="page">
            <wp:posOffset>3669030</wp:posOffset>
          </wp:positionH>
          <wp:positionV relativeFrom="page">
            <wp:posOffset>0</wp:posOffset>
          </wp:positionV>
          <wp:extent cx="3891600" cy="1843200"/>
          <wp:effectExtent l="0" t="0" r="0" b="5080"/>
          <wp:wrapNone/>
          <wp:docPr id="14" name="Graphic 14">
            <a:extLst xmlns:a="http://schemas.openxmlformats.org/drawingml/2006/main">
              <a:ext uri="{FF2B5EF4-FFF2-40B4-BE49-F238E27FC236}">
                <a16:creationId xmlns:a16="http://schemas.microsoft.com/office/drawing/2014/main" id="{F0273C98-FF5B-EEDD-4D61-610D3AF7E60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extLst>
                      <a:ext uri="{FF2B5EF4-FFF2-40B4-BE49-F238E27FC236}">
                        <a16:creationId xmlns:a16="http://schemas.microsoft.com/office/drawing/2014/main" id="{F0273C98-FF5B-EEDD-4D61-610D3AF7E608}"/>
                      </a:ex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263"/>
                  <a:stretch/>
                </pic:blipFill>
                <pic:spPr>
                  <a:xfrm>
                    <a:off x="0" y="0"/>
                    <a:ext cx="3891600" cy="184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83E0F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CCF4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2A5BE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D74F4"/>
    <w:multiLevelType w:val="hybridMultilevel"/>
    <w:tmpl w:val="D6283F8E"/>
    <w:lvl w:ilvl="0" w:tplc="6A00F20A">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C47A52"/>
    <w:multiLevelType w:val="hybridMultilevel"/>
    <w:tmpl w:val="CC602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275559"/>
    <w:multiLevelType w:val="hybridMultilevel"/>
    <w:tmpl w:val="DF542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F078C0"/>
    <w:multiLevelType w:val="hybridMultilevel"/>
    <w:tmpl w:val="6A641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5E04C7F"/>
    <w:multiLevelType w:val="hybridMultilevel"/>
    <w:tmpl w:val="DB6A1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7F4B1A"/>
    <w:multiLevelType w:val="hybridMultilevel"/>
    <w:tmpl w:val="7A22CA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A305039"/>
    <w:multiLevelType w:val="hybridMultilevel"/>
    <w:tmpl w:val="AFE440F6"/>
    <w:lvl w:ilvl="0" w:tplc="8A9E7376">
      <w:start w:val="1"/>
      <w:numFmt w:val="bullet"/>
      <w:lvlText w:val="•"/>
      <w:lvlJc w:val="left"/>
      <w:pPr>
        <w:tabs>
          <w:tab w:val="num" w:pos="720"/>
        </w:tabs>
        <w:ind w:left="720" w:hanging="360"/>
      </w:pPr>
      <w:rPr>
        <w:rFonts w:ascii="Arial" w:hAnsi="Arial" w:hint="default"/>
      </w:rPr>
    </w:lvl>
    <w:lvl w:ilvl="1" w:tplc="EC44B51E" w:tentative="1">
      <w:start w:val="1"/>
      <w:numFmt w:val="bullet"/>
      <w:lvlText w:val="•"/>
      <w:lvlJc w:val="left"/>
      <w:pPr>
        <w:tabs>
          <w:tab w:val="num" w:pos="1440"/>
        </w:tabs>
        <w:ind w:left="1440" w:hanging="360"/>
      </w:pPr>
      <w:rPr>
        <w:rFonts w:ascii="Arial" w:hAnsi="Arial" w:hint="default"/>
      </w:rPr>
    </w:lvl>
    <w:lvl w:ilvl="2" w:tplc="F30A5B74" w:tentative="1">
      <w:start w:val="1"/>
      <w:numFmt w:val="bullet"/>
      <w:lvlText w:val="•"/>
      <w:lvlJc w:val="left"/>
      <w:pPr>
        <w:tabs>
          <w:tab w:val="num" w:pos="2160"/>
        </w:tabs>
        <w:ind w:left="2160" w:hanging="360"/>
      </w:pPr>
      <w:rPr>
        <w:rFonts w:ascii="Arial" w:hAnsi="Arial" w:hint="default"/>
      </w:rPr>
    </w:lvl>
    <w:lvl w:ilvl="3" w:tplc="EE5AA906" w:tentative="1">
      <w:start w:val="1"/>
      <w:numFmt w:val="bullet"/>
      <w:lvlText w:val="•"/>
      <w:lvlJc w:val="left"/>
      <w:pPr>
        <w:tabs>
          <w:tab w:val="num" w:pos="2880"/>
        </w:tabs>
        <w:ind w:left="2880" w:hanging="360"/>
      </w:pPr>
      <w:rPr>
        <w:rFonts w:ascii="Arial" w:hAnsi="Arial" w:hint="default"/>
      </w:rPr>
    </w:lvl>
    <w:lvl w:ilvl="4" w:tplc="DECA6484" w:tentative="1">
      <w:start w:val="1"/>
      <w:numFmt w:val="bullet"/>
      <w:lvlText w:val="•"/>
      <w:lvlJc w:val="left"/>
      <w:pPr>
        <w:tabs>
          <w:tab w:val="num" w:pos="3600"/>
        </w:tabs>
        <w:ind w:left="3600" w:hanging="360"/>
      </w:pPr>
      <w:rPr>
        <w:rFonts w:ascii="Arial" w:hAnsi="Arial" w:hint="default"/>
      </w:rPr>
    </w:lvl>
    <w:lvl w:ilvl="5" w:tplc="85383BD0" w:tentative="1">
      <w:start w:val="1"/>
      <w:numFmt w:val="bullet"/>
      <w:lvlText w:val="•"/>
      <w:lvlJc w:val="left"/>
      <w:pPr>
        <w:tabs>
          <w:tab w:val="num" w:pos="4320"/>
        </w:tabs>
        <w:ind w:left="4320" w:hanging="360"/>
      </w:pPr>
      <w:rPr>
        <w:rFonts w:ascii="Arial" w:hAnsi="Arial" w:hint="default"/>
      </w:rPr>
    </w:lvl>
    <w:lvl w:ilvl="6" w:tplc="0B18D63A" w:tentative="1">
      <w:start w:val="1"/>
      <w:numFmt w:val="bullet"/>
      <w:lvlText w:val="•"/>
      <w:lvlJc w:val="left"/>
      <w:pPr>
        <w:tabs>
          <w:tab w:val="num" w:pos="5040"/>
        </w:tabs>
        <w:ind w:left="5040" w:hanging="360"/>
      </w:pPr>
      <w:rPr>
        <w:rFonts w:ascii="Arial" w:hAnsi="Arial" w:hint="default"/>
      </w:rPr>
    </w:lvl>
    <w:lvl w:ilvl="7" w:tplc="EE68C1F2" w:tentative="1">
      <w:start w:val="1"/>
      <w:numFmt w:val="bullet"/>
      <w:lvlText w:val="•"/>
      <w:lvlJc w:val="left"/>
      <w:pPr>
        <w:tabs>
          <w:tab w:val="num" w:pos="5760"/>
        </w:tabs>
        <w:ind w:left="5760" w:hanging="360"/>
      </w:pPr>
      <w:rPr>
        <w:rFonts w:ascii="Arial" w:hAnsi="Arial" w:hint="default"/>
      </w:rPr>
    </w:lvl>
    <w:lvl w:ilvl="8" w:tplc="F71211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52E10FD"/>
    <w:multiLevelType w:val="hybridMultilevel"/>
    <w:tmpl w:val="66D46394"/>
    <w:lvl w:ilvl="0" w:tplc="E2F097D6">
      <w:numFmt w:val="bullet"/>
      <w:pStyle w:val="ListParagraph"/>
      <w:lvlText w:val=""/>
      <w:lvlJc w:val="left"/>
      <w:pPr>
        <w:ind w:left="567" w:hanging="567"/>
      </w:pPr>
      <w:rPr>
        <w:rFonts w:ascii="Symbol" w:eastAsiaTheme="minorHAnsi" w:hAnsi="Symbol" w:cstheme="minorBidi" w:hint="default"/>
      </w:rPr>
    </w:lvl>
    <w:lvl w:ilvl="1" w:tplc="6606920E">
      <w:numFmt w:val="bullet"/>
      <w:lvlText w:val="-"/>
      <w:lvlJc w:val="left"/>
      <w:pPr>
        <w:ind w:left="1134" w:hanging="567"/>
      </w:pPr>
      <w:rPr>
        <w:rFonts w:ascii="Calibri" w:eastAsiaTheme="minorHAnsi" w:hAnsi="Calibri" w:hint="default"/>
      </w:rPr>
    </w:lvl>
    <w:lvl w:ilvl="2" w:tplc="75C69B6E">
      <w:start w:val="1"/>
      <w:numFmt w:val="bullet"/>
      <w:lvlText w:val=""/>
      <w:lvlJc w:val="left"/>
      <w:pPr>
        <w:ind w:left="1701" w:hanging="567"/>
      </w:pPr>
      <w:rPr>
        <w:rFonts w:ascii="Wingdings" w:hAnsi="Wingdings" w:hint="default"/>
      </w:rPr>
    </w:lvl>
    <w:lvl w:ilvl="3" w:tplc="B84A8EA2">
      <w:start w:val="1"/>
      <w:numFmt w:val="bullet"/>
      <w:lvlText w:val=""/>
      <w:lvlJc w:val="left"/>
      <w:pPr>
        <w:ind w:left="2268" w:hanging="567"/>
      </w:pPr>
      <w:rPr>
        <w:rFonts w:ascii="Symbol" w:hAnsi="Symbol" w:hint="default"/>
      </w:rPr>
    </w:lvl>
    <w:lvl w:ilvl="4" w:tplc="9E469228">
      <w:start w:val="1"/>
      <w:numFmt w:val="bullet"/>
      <w:lvlText w:val="o"/>
      <w:lvlJc w:val="left"/>
      <w:pPr>
        <w:ind w:left="2835" w:hanging="567"/>
      </w:pPr>
      <w:rPr>
        <w:rFonts w:ascii="Courier New" w:hAnsi="Courier New" w:hint="default"/>
      </w:rPr>
    </w:lvl>
    <w:lvl w:ilvl="5" w:tplc="406CF0B6">
      <w:start w:val="1"/>
      <w:numFmt w:val="bullet"/>
      <w:lvlText w:val=""/>
      <w:lvlJc w:val="left"/>
      <w:pPr>
        <w:ind w:left="3402" w:hanging="567"/>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5E78A8"/>
    <w:multiLevelType w:val="hybridMultilevel"/>
    <w:tmpl w:val="CF22F768"/>
    <w:lvl w:ilvl="0" w:tplc="0D524BF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55074E5"/>
    <w:multiLevelType w:val="hybridMultilevel"/>
    <w:tmpl w:val="15CA3E48"/>
    <w:lvl w:ilvl="0" w:tplc="93BAD356">
      <w:start w:val="1"/>
      <w:numFmt w:val="decimal"/>
      <w:lvlText w:val="%1."/>
      <w:lvlJc w:val="left"/>
      <w:pPr>
        <w:ind w:left="567" w:hanging="567"/>
      </w:pPr>
      <w:rPr>
        <w:rFonts w:hint="default"/>
      </w:rPr>
    </w:lvl>
    <w:lvl w:ilvl="1" w:tplc="D2E408C2">
      <w:start w:val="1"/>
      <w:numFmt w:val="lowerLetter"/>
      <w:lvlText w:val="%2."/>
      <w:lvlJc w:val="left"/>
      <w:pPr>
        <w:ind w:left="1134" w:hanging="567"/>
      </w:pPr>
      <w:rPr>
        <w:rFonts w:hint="default"/>
      </w:rPr>
    </w:lvl>
    <w:lvl w:ilvl="2" w:tplc="528088D0">
      <w:start w:val="1"/>
      <w:numFmt w:val="lowerRoman"/>
      <w:lvlText w:val="%3."/>
      <w:lvlJc w:val="right"/>
      <w:pPr>
        <w:ind w:left="1701" w:hanging="567"/>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6EF1114"/>
    <w:multiLevelType w:val="multilevel"/>
    <w:tmpl w:val="A864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605387">
    <w:abstractNumId w:val="10"/>
  </w:num>
  <w:num w:numId="2" w16cid:durableId="648444589">
    <w:abstractNumId w:val="12"/>
  </w:num>
  <w:num w:numId="3" w16cid:durableId="1474374502">
    <w:abstractNumId w:val="2"/>
  </w:num>
  <w:num w:numId="4" w16cid:durableId="660547498">
    <w:abstractNumId w:val="1"/>
  </w:num>
  <w:num w:numId="5" w16cid:durableId="1405948882">
    <w:abstractNumId w:val="0"/>
  </w:num>
  <w:num w:numId="6" w16cid:durableId="1770931210">
    <w:abstractNumId w:val="3"/>
  </w:num>
  <w:num w:numId="7" w16cid:durableId="1514956900">
    <w:abstractNumId w:val="6"/>
  </w:num>
  <w:num w:numId="8" w16cid:durableId="1928151220">
    <w:abstractNumId w:val="11"/>
  </w:num>
  <w:num w:numId="9" w16cid:durableId="1919442051">
    <w:abstractNumId w:val="8"/>
  </w:num>
  <w:num w:numId="10" w16cid:durableId="1203635149">
    <w:abstractNumId w:val="9"/>
  </w:num>
  <w:num w:numId="11" w16cid:durableId="402726632">
    <w:abstractNumId w:val="13"/>
  </w:num>
  <w:num w:numId="12" w16cid:durableId="497044245">
    <w:abstractNumId w:val="7"/>
  </w:num>
  <w:num w:numId="13" w16cid:durableId="1068455841">
    <w:abstractNumId w:val="4"/>
  </w:num>
  <w:num w:numId="14" w16cid:durableId="7684450">
    <w:abstractNumId w:val="5"/>
  </w:num>
  <w:num w:numId="15" w16cid:durableId="1695837371">
    <w:abstractNumId w:val="10"/>
  </w:num>
  <w:num w:numId="16" w16cid:durableId="1742023070">
    <w:abstractNumId w:val="10"/>
  </w:num>
  <w:num w:numId="17" w16cid:durableId="855000602">
    <w:abstractNumId w:val="10"/>
  </w:num>
  <w:num w:numId="18" w16cid:durableId="35411436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9C"/>
    <w:rsid w:val="000006D5"/>
    <w:rsid w:val="00003766"/>
    <w:rsid w:val="000276B8"/>
    <w:rsid w:val="00031DBA"/>
    <w:rsid w:val="00032995"/>
    <w:rsid w:val="00034867"/>
    <w:rsid w:val="00034D78"/>
    <w:rsid w:val="00043F36"/>
    <w:rsid w:val="000552B3"/>
    <w:rsid w:val="0007067B"/>
    <w:rsid w:val="0008167B"/>
    <w:rsid w:val="00081D07"/>
    <w:rsid w:val="000874A3"/>
    <w:rsid w:val="00090DDB"/>
    <w:rsid w:val="0009735C"/>
    <w:rsid w:val="000A75CB"/>
    <w:rsid w:val="000B6C60"/>
    <w:rsid w:val="000C3494"/>
    <w:rsid w:val="000C3D25"/>
    <w:rsid w:val="000C729C"/>
    <w:rsid w:val="000E0F53"/>
    <w:rsid w:val="000E2F54"/>
    <w:rsid w:val="000E599A"/>
    <w:rsid w:val="000E5C60"/>
    <w:rsid w:val="000F2564"/>
    <w:rsid w:val="0010572C"/>
    <w:rsid w:val="00153C15"/>
    <w:rsid w:val="00161BB1"/>
    <w:rsid w:val="00171757"/>
    <w:rsid w:val="001724A4"/>
    <w:rsid w:val="0018753C"/>
    <w:rsid w:val="00191E1A"/>
    <w:rsid w:val="00193F92"/>
    <w:rsid w:val="001943BC"/>
    <w:rsid w:val="00194586"/>
    <w:rsid w:val="001A38CC"/>
    <w:rsid w:val="001B314C"/>
    <w:rsid w:val="001D1314"/>
    <w:rsid w:val="001D216A"/>
    <w:rsid w:val="001D2E82"/>
    <w:rsid w:val="001D51DA"/>
    <w:rsid w:val="001F5AB1"/>
    <w:rsid w:val="00205DF3"/>
    <w:rsid w:val="0022083E"/>
    <w:rsid w:val="00222D0B"/>
    <w:rsid w:val="00226894"/>
    <w:rsid w:val="00233322"/>
    <w:rsid w:val="00241D3D"/>
    <w:rsid w:val="002448E9"/>
    <w:rsid w:val="00254DA8"/>
    <w:rsid w:val="0026374D"/>
    <w:rsid w:val="00266F7C"/>
    <w:rsid w:val="0027227F"/>
    <w:rsid w:val="00272B04"/>
    <w:rsid w:val="0027324B"/>
    <w:rsid w:val="00274C94"/>
    <w:rsid w:val="002774F0"/>
    <w:rsid w:val="00282ED3"/>
    <w:rsid w:val="002A101F"/>
    <w:rsid w:val="002B3A3A"/>
    <w:rsid w:val="002B5C69"/>
    <w:rsid w:val="002C143C"/>
    <w:rsid w:val="002D230B"/>
    <w:rsid w:val="002D2762"/>
    <w:rsid w:val="002E589F"/>
    <w:rsid w:val="002E5DA9"/>
    <w:rsid w:val="002F22F5"/>
    <w:rsid w:val="002F4014"/>
    <w:rsid w:val="002F60C0"/>
    <w:rsid w:val="0031048E"/>
    <w:rsid w:val="003141B4"/>
    <w:rsid w:val="0031654A"/>
    <w:rsid w:val="00330C0B"/>
    <w:rsid w:val="00335C23"/>
    <w:rsid w:val="00337130"/>
    <w:rsid w:val="0034527C"/>
    <w:rsid w:val="0035140F"/>
    <w:rsid w:val="00357780"/>
    <w:rsid w:val="00361A37"/>
    <w:rsid w:val="00361D74"/>
    <w:rsid w:val="00392036"/>
    <w:rsid w:val="00393784"/>
    <w:rsid w:val="003A0E7F"/>
    <w:rsid w:val="003C0E9F"/>
    <w:rsid w:val="003D16A4"/>
    <w:rsid w:val="003D38ED"/>
    <w:rsid w:val="003D747D"/>
    <w:rsid w:val="00406032"/>
    <w:rsid w:val="00423B2E"/>
    <w:rsid w:val="00423D13"/>
    <w:rsid w:val="0043720A"/>
    <w:rsid w:val="00437A62"/>
    <w:rsid w:val="004632E9"/>
    <w:rsid w:val="0046678C"/>
    <w:rsid w:val="0048236F"/>
    <w:rsid w:val="004A7856"/>
    <w:rsid w:val="004B2E70"/>
    <w:rsid w:val="004B4254"/>
    <w:rsid w:val="004D3B0F"/>
    <w:rsid w:val="004E23A9"/>
    <w:rsid w:val="004E5181"/>
    <w:rsid w:val="004E75D2"/>
    <w:rsid w:val="004F5BB1"/>
    <w:rsid w:val="004F6A01"/>
    <w:rsid w:val="005047A1"/>
    <w:rsid w:val="005048A1"/>
    <w:rsid w:val="00512647"/>
    <w:rsid w:val="00516B0E"/>
    <w:rsid w:val="00527381"/>
    <w:rsid w:val="005419C2"/>
    <w:rsid w:val="00552184"/>
    <w:rsid w:val="0055419E"/>
    <w:rsid w:val="005706FD"/>
    <w:rsid w:val="00572521"/>
    <w:rsid w:val="005777BC"/>
    <w:rsid w:val="00584B74"/>
    <w:rsid w:val="00587967"/>
    <w:rsid w:val="00596B24"/>
    <w:rsid w:val="005A1B5C"/>
    <w:rsid w:val="005B3A4F"/>
    <w:rsid w:val="005B6C30"/>
    <w:rsid w:val="005D27F7"/>
    <w:rsid w:val="005E5F5F"/>
    <w:rsid w:val="005F0EC7"/>
    <w:rsid w:val="00603DDF"/>
    <w:rsid w:val="006060CE"/>
    <w:rsid w:val="00607188"/>
    <w:rsid w:val="006337C7"/>
    <w:rsid w:val="006559C1"/>
    <w:rsid w:val="00667762"/>
    <w:rsid w:val="00671D1D"/>
    <w:rsid w:val="00671FC8"/>
    <w:rsid w:val="0068286F"/>
    <w:rsid w:val="00695ACF"/>
    <w:rsid w:val="00695B12"/>
    <w:rsid w:val="00697567"/>
    <w:rsid w:val="00697C73"/>
    <w:rsid w:val="006A092C"/>
    <w:rsid w:val="006A160C"/>
    <w:rsid w:val="006C4C9C"/>
    <w:rsid w:val="006D2221"/>
    <w:rsid w:val="006D63C0"/>
    <w:rsid w:val="006E1636"/>
    <w:rsid w:val="006E1E6A"/>
    <w:rsid w:val="006E4001"/>
    <w:rsid w:val="006F58A5"/>
    <w:rsid w:val="00703734"/>
    <w:rsid w:val="00711349"/>
    <w:rsid w:val="00723C5D"/>
    <w:rsid w:val="0073362E"/>
    <w:rsid w:val="007741CC"/>
    <w:rsid w:val="007833EE"/>
    <w:rsid w:val="00791C10"/>
    <w:rsid w:val="00797CDD"/>
    <w:rsid w:val="007B553F"/>
    <w:rsid w:val="007B66BF"/>
    <w:rsid w:val="007C37F2"/>
    <w:rsid w:val="007D357F"/>
    <w:rsid w:val="007F0D66"/>
    <w:rsid w:val="00802037"/>
    <w:rsid w:val="00806473"/>
    <w:rsid w:val="00826293"/>
    <w:rsid w:val="00853A7A"/>
    <w:rsid w:val="008653E9"/>
    <w:rsid w:val="00872DFF"/>
    <w:rsid w:val="00875D50"/>
    <w:rsid w:val="0087690D"/>
    <w:rsid w:val="0087776A"/>
    <w:rsid w:val="00880C0E"/>
    <w:rsid w:val="00892B6E"/>
    <w:rsid w:val="008B7B1E"/>
    <w:rsid w:val="008C2718"/>
    <w:rsid w:val="008C3B21"/>
    <w:rsid w:val="008D170A"/>
    <w:rsid w:val="008D244C"/>
    <w:rsid w:val="008D4316"/>
    <w:rsid w:val="008E3C31"/>
    <w:rsid w:val="008E5E4B"/>
    <w:rsid w:val="00900E48"/>
    <w:rsid w:val="009059E9"/>
    <w:rsid w:val="0091556D"/>
    <w:rsid w:val="00917329"/>
    <w:rsid w:val="00960D98"/>
    <w:rsid w:val="009830D1"/>
    <w:rsid w:val="00984EC5"/>
    <w:rsid w:val="009A549D"/>
    <w:rsid w:val="009A64AF"/>
    <w:rsid w:val="009C60B9"/>
    <w:rsid w:val="009D2329"/>
    <w:rsid w:val="009E2114"/>
    <w:rsid w:val="009E39E6"/>
    <w:rsid w:val="00A107A2"/>
    <w:rsid w:val="00A36BD8"/>
    <w:rsid w:val="00A36C15"/>
    <w:rsid w:val="00A3781B"/>
    <w:rsid w:val="00A52F3D"/>
    <w:rsid w:val="00A61699"/>
    <w:rsid w:val="00A6365B"/>
    <w:rsid w:val="00A731BB"/>
    <w:rsid w:val="00A822D4"/>
    <w:rsid w:val="00AA6DC6"/>
    <w:rsid w:val="00AA740C"/>
    <w:rsid w:val="00AD22BA"/>
    <w:rsid w:val="00B15C01"/>
    <w:rsid w:val="00B17B99"/>
    <w:rsid w:val="00B23BFE"/>
    <w:rsid w:val="00B251DB"/>
    <w:rsid w:val="00B266C1"/>
    <w:rsid w:val="00B26C25"/>
    <w:rsid w:val="00B35C0C"/>
    <w:rsid w:val="00B40A60"/>
    <w:rsid w:val="00B45B98"/>
    <w:rsid w:val="00B630E9"/>
    <w:rsid w:val="00B75814"/>
    <w:rsid w:val="00B75B75"/>
    <w:rsid w:val="00BA11B5"/>
    <w:rsid w:val="00BA4108"/>
    <w:rsid w:val="00BB10A7"/>
    <w:rsid w:val="00BB350F"/>
    <w:rsid w:val="00BB4232"/>
    <w:rsid w:val="00BD0F8A"/>
    <w:rsid w:val="00BD30F1"/>
    <w:rsid w:val="00BD5778"/>
    <w:rsid w:val="00BE1CB4"/>
    <w:rsid w:val="00BE53C7"/>
    <w:rsid w:val="00BE6EEA"/>
    <w:rsid w:val="00BF6930"/>
    <w:rsid w:val="00C000F6"/>
    <w:rsid w:val="00C04C5D"/>
    <w:rsid w:val="00C2431F"/>
    <w:rsid w:val="00C27CB3"/>
    <w:rsid w:val="00C3228D"/>
    <w:rsid w:val="00C42F09"/>
    <w:rsid w:val="00C43D48"/>
    <w:rsid w:val="00C45F50"/>
    <w:rsid w:val="00C50A9A"/>
    <w:rsid w:val="00C63C0E"/>
    <w:rsid w:val="00C65E4E"/>
    <w:rsid w:val="00C846C6"/>
    <w:rsid w:val="00CB2DE1"/>
    <w:rsid w:val="00CB7499"/>
    <w:rsid w:val="00CD0279"/>
    <w:rsid w:val="00CD36CB"/>
    <w:rsid w:val="00CD5839"/>
    <w:rsid w:val="00CE0638"/>
    <w:rsid w:val="00CE4789"/>
    <w:rsid w:val="00CE6BBD"/>
    <w:rsid w:val="00CE7F17"/>
    <w:rsid w:val="00CF353B"/>
    <w:rsid w:val="00D220CF"/>
    <w:rsid w:val="00D27B99"/>
    <w:rsid w:val="00D34D1C"/>
    <w:rsid w:val="00D64BFA"/>
    <w:rsid w:val="00D841E9"/>
    <w:rsid w:val="00D871E9"/>
    <w:rsid w:val="00D9122B"/>
    <w:rsid w:val="00D93B16"/>
    <w:rsid w:val="00DB2722"/>
    <w:rsid w:val="00DB7CD2"/>
    <w:rsid w:val="00DE04A8"/>
    <w:rsid w:val="00DE1060"/>
    <w:rsid w:val="00E01D7D"/>
    <w:rsid w:val="00E04DA0"/>
    <w:rsid w:val="00E11B00"/>
    <w:rsid w:val="00E204BA"/>
    <w:rsid w:val="00E27B20"/>
    <w:rsid w:val="00E3027E"/>
    <w:rsid w:val="00E37443"/>
    <w:rsid w:val="00E4741E"/>
    <w:rsid w:val="00E51E43"/>
    <w:rsid w:val="00E51EC5"/>
    <w:rsid w:val="00E66BC9"/>
    <w:rsid w:val="00E94613"/>
    <w:rsid w:val="00E95372"/>
    <w:rsid w:val="00EA0739"/>
    <w:rsid w:val="00EA12FA"/>
    <w:rsid w:val="00EA256A"/>
    <w:rsid w:val="00EA68AE"/>
    <w:rsid w:val="00EB2A69"/>
    <w:rsid w:val="00ED173E"/>
    <w:rsid w:val="00EE1F4B"/>
    <w:rsid w:val="00EE27D2"/>
    <w:rsid w:val="00F00AA2"/>
    <w:rsid w:val="00F1441E"/>
    <w:rsid w:val="00F16FE0"/>
    <w:rsid w:val="00F22BB9"/>
    <w:rsid w:val="00F22D06"/>
    <w:rsid w:val="00F32757"/>
    <w:rsid w:val="00F336F2"/>
    <w:rsid w:val="00F3409A"/>
    <w:rsid w:val="00F50FA6"/>
    <w:rsid w:val="00F62B4E"/>
    <w:rsid w:val="00F669E4"/>
    <w:rsid w:val="00F66A4B"/>
    <w:rsid w:val="00F7629A"/>
    <w:rsid w:val="00F77C4A"/>
    <w:rsid w:val="00F85624"/>
    <w:rsid w:val="00F93AEE"/>
    <w:rsid w:val="00F97124"/>
    <w:rsid w:val="00FA2434"/>
    <w:rsid w:val="00FB1A5B"/>
    <w:rsid w:val="00FC2300"/>
    <w:rsid w:val="00FE4569"/>
    <w:rsid w:val="00FE7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47B45"/>
  <w15:chartTrackingRefBased/>
  <w15:docId w15:val="{AEEB715C-42C3-4024-A4BE-016BEF58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8AE"/>
    <w:pPr>
      <w:spacing w:before="120" w:after="120" w:line="240" w:lineRule="auto"/>
    </w:pPr>
    <w:rPr>
      <w:sz w:val="24"/>
    </w:rPr>
  </w:style>
  <w:style w:type="paragraph" w:styleId="Heading1">
    <w:name w:val="heading 1"/>
    <w:basedOn w:val="Normal"/>
    <w:next w:val="Normal"/>
    <w:link w:val="Heading1Char"/>
    <w:uiPriority w:val="9"/>
    <w:qFormat/>
    <w:rsid w:val="000874A3"/>
    <w:pPr>
      <w:keepNext/>
      <w:keepLines/>
      <w:spacing w:before="600"/>
      <w:contextualSpacing/>
      <w:outlineLvl w:val="0"/>
    </w:pPr>
    <w:rPr>
      <w:rFonts w:asciiTheme="majorHAnsi" w:eastAsiaTheme="majorEastAsia" w:hAnsiTheme="majorHAnsi" w:cstheme="majorBidi"/>
      <w:color w:val="0766A5" w:themeColor="accent1"/>
      <w:sz w:val="72"/>
      <w:szCs w:val="32"/>
    </w:rPr>
  </w:style>
  <w:style w:type="paragraph" w:styleId="Heading2">
    <w:name w:val="heading 2"/>
    <w:basedOn w:val="Normal"/>
    <w:next w:val="Normal"/>
    <w:link w:val="Heading2Char"/>
    <w:uiPriority w:val="9"/>
    <w:qFormat/>
    <w:rsid w:val="00BD5778"/>
    <w:pPr>
      <w:keepNext/>
      <w:keepLines/>
      <w:spacing w:before="360"/>
      <w:outlineLvl w:val="1"/>
    </w:pPr>
    <w:rPr>
      <w:rFonts w:asciiTheme="majorHAnsi" w:eastAsiaTheme="majorEastAsia" w:hAnsiTheme="majorHAnsi" w:cstheme="majorBidi"/>
      <w:color w:val="0766A5" w:themeColor="accent1"/>
      <w:sz w:val="48"/>
      <w:szCs w:val="48"/>
    </w:rPr>
  </w:style>
  <w:style w:type="paragraph" w:styleId="Heading3">
    <w:name w:val="heading 3"/>
    <w:basedOn w:val="Normal"/>
    <w:next w:val="Normal"/>
    <w:link w:val="Heading3Char"/>
    <w:uiPriority w:val="9"/>
    <w:qFormat/>
    <w:rsid w:val="00BD5778"/>
    <w:pPr>
      <w:keepNext/>
      <w:keepLines/>
      <w:spacing w:before="240"/>
      <w:outlineLvl w:val="2"/>
    </w:pPr>
    <w:rPr>
      <w:rFonts w:asciiTheme="majorHAnsi" w:eastAsiaTheme="majorEastAsia" w:hAnsiTheme="majorHAnsi" w:cstheme="majorBidi"/>
      <w:color w:val="0766A5" w:themeColor="accent1"/>
      <w:sz w:val="40"/>
      <w:szCs w:val="40"/>
    </w:rPr>
  </w:style>
  <w:style w:type="paragraph" w:styleId="Heading4">
    <w:name w:val="heading 4"/>
    <w:basedOn w:val="Normal"/>
    <w:next w:val="Normal"/>
    <w:link w:val="Heading4Char"/>
    <w:uiPriority w:val="9"/>
    <w:qFormat/>
    <w:rsid w:val="00BD5778"/>
    <w:pPr>
      <w:keepNext/>
      <w:keepLines/>
      <w:spacing w:before="240"/>
      <w:outlineLvl w:val="3"/>
    </w:pPr>
    <w:rPr>
      <w:rFonts w:asciiTheme="majorHAnsi" w:eastAsiaTheme="majorEastAsia" w:hAnsiTheme="majorHAnsi" w:cstheme="majorBidi"/>
      <w:iCs/>
      <w:color w:val="0766A5" w:themeColor="accent1"/>
      <w:sz w:val="32"/>
      <w:szCs w:val="28"/>
    </w:rPr>
  </w:style>
  <w:style w:type="paragraph" w:styleId="Heading5">
    <w:name w:val="heading 5"/>
    <w:basedOn w:val="Normal"/>
    <w:next w:val="Normal"/>
    <w:link w:val="Heading5Char"/>
    <w:uiPriority w:val="9"/>
    <w:unhideWhenUsed/>
    <w:qFormat/>
    <w:rsid w:val="00900E48"/>
    <w:pPr>
      <w:keepNext/>
      <w:keepLines/>
      <w:spacing w:before="240"/>
      <w:outlineLvl w:val="4"/>
    </w:pPr>
    <w:rPr>
      <w:rFonts w:asciiTheme="majorHAnsi" w:eastAsiaTheme="majorEastAsia" w:hAnsiTheme="majorHAnsi" w:cstheme="majorBidi"/>
      <w:color w:val="0766A5" w:themeColor="accent1"/>
      <w:sz w:val="26"/>
      <w:szCs w:val="26"/>
    </w:rPr>
  </w:style>
  <w:style w:type="paragraph" w:styleId="Heading6">
    <w:name w:val="heading 6"/>
    <w:basedOn w:val="Normal"/>
    <w:next w:val="Normal"/>
    <w:link w:val="Heading6Char"/>
    <w:uiPriority w:val="9"/>
    <w:unhideWhenUsed/>
    <w:rsid w:val="00C50A9A"/>
    <w:pPr>
      <w:keepNext/>
      <w:keepLines/>
      <w:spacing w:before="24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unhideWhenUsed/>
    <w:rsid w:val="00C50A9A"/>
    <w:pPr>
      <w:keepNext/>
      <w:keepLines/>
      <w:spacing w:before="240"/>
      <w:outlineLvl w:val="6"/>
    </w:pPr>
    <w:rPr>
      <w:rFonts w:asciiTheme="majorHAnsi" w:eastAsiaTheme="majorEastAsia" w:hAnsiTheme="majorHAnsi" w:cstheme="majorBidi"/>
      <w:b/>
      <w:iCs/>
      <w:color w:val="0766A5" w:themeColor="accent1"/>
    </w:rPr>
  </w:style>
  <w:style w:type="paragraph" w:styleId="Heading8">
    <w:name w:val="heading 8"/>
    <w:basedOn w:val="Normal"/>
    <w:next w:val="Normal"/>
    <w:link w:val="Heading8Char"/>
    <w:uiPriority w:val="9"/>
    <w:unhideWhenUsed/>
    <w:rsid w:val="00C50A9A"/>
    <w:pPr>
      <w:keepNext/>
      <w:keepLines/>
      <w:spacing w:before="24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A6DC6"/>
    <w:pPr>
      <w:tabs>
        <w:tab w:val="center" w:pos="4513"/>
        <w:tab w:val="right" w:pos="9026"/>
      </w:tabs>
      <w:spacing w:after="0"/>
    </w:pPr>
    <w:rPr>
      <w:sz w:val="20"/>
    </w:rPr>
  </w:style>
  <w:style w:type="character" w:customStyle="1" w:styleId="HeaderChar">
    <w:name w:val="Header Char"/>
    <w:basedOn w:val="DefaultParagraphFont"/>
    <w:link w:val="Header"/>
    <w:uiPriority w:val="99"/>
    <w:rsid w:val="00AA6DC6"/>
    <w:rPr>
      <w:sz w:val="20"/>
    </w:rPr>
  </w:style>
  <w:style w:type="paragraph" w:styleId="Footer">
    <w:name w:val="footer"/>
    <w:basedOn w:val="Normal"/>
    <w:link w:val="FooterChar"/>
    <w:uiPriority w:val="99"/>
    <w:rsid w:val="00AA6DC6"/>
    <w:pPr>
      <w:tabs>
        <w:tab w:val="center" w:pos="4513"/>
        <w:tab w:val="right" w:pos="9026"/>
      </w:tabs>
      <w:spacing w:after="0"/>
    </w:pPr>
    <w:rPr>
      <w:color w:val="001B35" w:themeColor="text2"/>
      <w:sz w:val="20"/>
    </w:rPr>
  </w:style>
  <w:style w:type="character" w:customStyle="1" w:styleId="FooterChar">
    <w:name w:val="Footer Char"/>
    <w:basedOn w:val="DefaultParagraphFont"/>
    <w:link w:val="Footer"/>
    <w:uiPriority w:val="99"/>
    <w:rsid w:val="00AA6DC6"/>
    <w:rPr>
      <w:color w:val="001B35" w:themeColor="text2"/>
      <w:sz w:val="20"/>
    </w:rPr>
  </w:style>
  <w:style w:type="character" w:customStyle="1" w:styleId="Heading1Char">
    <w:name w:val="Heading 1 Char"/>
    <w:basedOn w:val="DefaultParagraphFont"/>
    <w:link w:val="Heading1"/>
    <w:uiPriority w:val="9"/>
    <w:rsid w:val="000874A3"/>
    <w:rPr>
      <w:rFonts w:asciiTheme="majorHAnsi" w:eastAsiaTheme="majorEastAsia" w:hAnsiTheme="majorHAnsi" w:cstheme="majorBidi"/>
      <w:color w:val="0766A5" w:themeColor="accent1"/>
      <w:sz w:val="72"/>
      <w:szCs w:val="32"/>
    </w:rPr>
  </w:style>
  <w:style w:type="table" w:customStyle="1" w:styleId="Verticaltable">
    <w:name w:val="Vertical table"/>
    <w:basedOn w:val="TableNormal"/>
    <w:uiPriority w:val="99"/>
    <w:rsid w:val="00AA6DC6"/>
    <w:pPr>
      <w:spacing w:after="0" w:line="240" w:lineRule="auto"/>
    </w:pPr>
    <w:tblPr>
      <w:tblBorders>
        <w:top w:val="single" w:sz="4" w:space="0" w:color="0766A5" w:themeColor="accent1"/>
        <w:left w:val="single" w:sz="4" w:space="0" w:color="0766A5" w:themeColor="accent1"/>
        <w:bottom w:val="single" w:sz="4" w:space="0" w:color="0766A5" w:themeColor="accent1"/>
        <w:right w:val="single" w:sz="4" w:space="0" w:color="0766A5" w:themeColor="accent1"/>
        <w:insideH w:val="single" w:sz="4" w:space="0" w:color="0766A5" w:themeColor="accent1"/>
        <w:insideV w:val="single" w:sz="4" w:space="0" w:color="0766A5" w:themeColor="accent1"/>
      </w:tblBorders>
    </w:tblPr>
    <w:tblStylePr w:type="lastRow">
      <w:rPr>
        <w:b w:val="0"/>
      </w:rPr>
    </w:tblStylePr>
    <w:tblStylePr w:type="firstCol">
      <w:rPr>
        <w:b/>
        <w:color w:val="FFFFFF" w:themeColor="background1"/>
      </w:rPr>
      <w:tblPr/>
      <w:tcPr>
        <w:tcBorders>
          <w:insideH w:val="single" w:sz="4" w:space="0" w:color="FFFFFF" w:themeColor="background1"/>
        </w:tcBorders>
        <w:shd w:val="clear" w:color="auto" w:fill="0766A5" w:themeFill="accent1"/>
      </w:tcPr>
    </w:tblStylePr>
  </w:style>
  <w:style w:type="character" w:styleId="FollowedHyperlink">
    <w:name w:val="FollowedHyperlink"/>
    <w:basedOn w:val="DefaultParagraphFont"/>
    <w:uiPriority w:val="99"/>
    <w:semiHidden/>
    <w:unhideWhenUsed/>
    <w:rsid w:val="00872DFF"/>
    <w:rPr>
      <w:color w:val="001B35" w:themeColor="followedHyperlink"/>
      <w:u w:val="single"/>
    </w:rPr>
  </w:style>
  <w:style w:type="paragraph" w:styleId="Subtitle">
    <w:name w:val="Subtitle"/>
    <w:basedOn w:val="Normal"/>
    <w:next w:val="Normal"/>
    <w:link w:val="SubtitleChar"/>
    <w:uiPriority w:val="11"/>
    <w:qFormat/>
    <w:rsid w:val="006A092C"/>
    <w:pPr>
      <w:numPr>
        <w:ilvl w:val="1"/>
      </w:numPr>
    </w:pPr>
    <w:rPr>
      <w:rFonts w:eastAsiaTheme="minorEastAsia"/>
      <w:color w:val="001B35" w:themeColor="text2"/>
      <w:sz w:val="40"/>
    </w:rPr>
  </w:style>
  <w:style w:type="character" w:customStyle="1" w:styleId="SubtitleChar">
    <w:name w:val="Subtitle Char"/>
    <w:basedOn w:val="DefaultParagraphFont"/>
    <w:link w:val="Subtitle"/>
    <w:uiPriority w:val="11"/>
    <w:rsid w:val="006A092C"/>
    <w:rPr>
      <w:rFonts w:eastAsiaTheme="minorEastAsia"/>
      <w:color w:val="001B35" w:themeColor="text2"/>
      <w:sz w:val="40"/>
    </w:rPr>
  </w:style>
  <w:style w:type="character" w:customStyle="1" w:styleId="Heading2Char">
    <w:name w:val="Heading 2 Char"/>
    <w:basedOn w:val="DefaultParagraphFont"/>
    <w:link w:val="Heading2"/>
    <w:uiPriority w:val="9"/>
    <w:rsid w:val="00EA68AE"/>
    <w:rPr>
      <w:rFonts w:asciiTheme="majorHAnsi" w:eastAsiaTheme="majorEastAsia" w:hAnsiTheme="majorHAnsi" w:cstheme="majorBidi"/>
      <w:color w:val="0766A5" w:themeColor="accent1"/>
      <w:sz w:val="48"/>
      <w:szCs w:val="48"/>
    </w:rPr>
  </w:style>
  <w:style w:type="character" w:customStyle="1" w:styleId="Heading3Char">
    <w:name w:val="Heading 3 Char"/>
    <w:basedOn w:val="DefaultParagraphFont"/>
    <w:link w:val="Heading3"/>
    <w:uiPriority w:val="9"/>
    <w:rsid w:val="00EA68AE"/>
    <w:rPr>
      <w:rFonts w:asciiTheme="majorHAnsi" w:eastAsiaTheme="majorEastAsia" w:hAnsiTheme="majorHAnsi" w:cstheme="majorBidi"/>
      <w:color w:val="0766A5" w:themeColor="accent1"/>
      <w:sz w:val="40"/>
      <w:szCs w:val="40"/>
    </w:rPr>
  </w:style>
  <w:style w:type="character" w:customStyle="1" w:styleId="Heading4Char">
    <w:name w:val="Heading 4 Char"/>
    <w:basedOn w:val="DefaultParagraphFont"/>
    <w:link w:val="Heading4"/>
    <w:uiPriority w:val="9"/>
    <w:rsid w:val="00EA68AE"/>
    <w:rPr>
      <w:rFonts w:asciiTheme="majorHAnsi" w:eastAsiaTheme="majorEastAsia" w:hAnsiTheme="majorHAnsi" w:cstheme="majorBidi"/>
      <w:iCs/>
      <w:color w:val="0766A5" w:themeColor="accent1"/>
      <w:sz w:val="32"/>
      <w:szCs w:val="28"/>
    </w:rPr>
  </w:style>
  <w:style w:type="character" w:customStyle="1" w:styleId="Heading5Char">
    <w:name w:val="Heading 5 Char"/>
    <w:basedOn w:val="DefaultParagraphFont"/>
    <w:link w:val="Heading5"/>
    <w:uiPriority w:val="9"/>
    <w:rsid w:val="00900E48"/>
    <w:rPr>
      <w:rFonts w:asciiTheme="majorHAnsi" w:eastAsiaTheme="majorEastAsia" w:hAnsiTheme="majorHAnsi" w:cstheme="majorBidi"/>
      <w:color w:val="0766A5" w:themeColor="accent1"/>
      <w:sz w:val="26"/>
      <w:szCs w:val="26"/>
    </w:rPr>
  </w:style>
  <w:style w:type="paragraph" w:styleId="Quote">
    <w:name w:val="Quote"/>
    <w:basedOn w:val="Normal"/>
    <w:next w:val="Normal"/>
    <w:link w:val="QuoteChar"/>
    <w:uiPriority w:val="29"/>
    <w:qFormat/>
    <w:rsid w:val="00BD5778"/>
    <w:pPr>
      <w:pBdr>
        <w:top w:val="single" w:sz="4" w:space="6" w:color="0766A5" w:themeColor="accent1"/>
        <w:bottom w:val="single" w:sz="4" w:space="6" w:color="0766A5" w:themeColor="accent1"/>
      </w:pBdr>
      <w:spacing w:before="240" w:after="240"/>
      <w:ind w:right="2835"/>
    </w:pPr>
    <w:rPr>
      <w:iCs/>
      <w:color w:val="000000" w:themeColor="text1"/>
      <w:szCs w:val="24"/>
    </w:rPr>
  </w:style>
  <w:style w:type="character" w:customStyle="1" w:styleId="QuoteChar">
    <w:name w:val="Quote Char"/>
    <w:basedOn w:val="DefaultParagraphFont"/>
    <w:link w:val="Quote"/>
    <w:uiPriority w:val="29"/>
    <w:rsid w:val="00BD5778"/>
    <w:rPr>
      <w:iCs/>
      <w:color w:val="000000" w:themeColor="text1"/>
      <w:sz w:val="24"/>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uiPriority w:val="34"/>
    <w:qFormat/>
    <w:rsid w:val="00090DDB"/>
    <w:pPr>
      <w:numPr>
        <w:numId w:val="1"/>
      </w:numPr>
      <w:spacing w:before="0"/>
    </w:pPr>
  </w:style>
  <w:style w:type="character" w:styleId="Hyperlink">
    <w:name w:val="Hyperlink"/>
    <w:basedOn w:val="DefaultParagraphFont"/>
    <w:uiPriority w:val="99"/>
    <w:rsid w:val="00BF6930"/>
    <w:rPr>
      <w:color w:val="0766A5" w:themeColor="accent1"/>
      <w:u w:val="single"/>
    </w:rPr>
  </w:style>
  <w:style w:type="table" w:styleId="TableGrid">
    <w:name w:val="Table Grid"/>
    <w:aliases w:val="DISR plain Table 1"/>
    <w:basedOn w:val="TableNormal"/>
    <w:uiPriority w:val="39"/>
    <w:rsid w:val="0057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qFormat/>
    <w:rsid w:val="005777BC"/>
    <w:rPr>
      <w:b/>
      <w:iCs/>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BD5778"/>
    <w:pPr>
      <w:spacing w:after="0" w:line="240" w:lineRule="auto"/>
    </w:pPr>
    <w:rPr>
      <w:rFonts w:eastAsiaTheme="minorEastAsia"/>
      <w:sz w:val="24"/>
      <w:lang w:val="en-US"/>
    </w:rPr>
  </w:style>
  <w:style w:type="character" w:customStyle="1" w:styleId="NoSpacingChar">
    <w:name w:val="No Spacing Char"/>
    <w:basedOn w:val="DefaultParagraphFont"/>
    <w:link w:val="NoSpacing"/>
    <w:uiPriority w:val="1"/>
    <w:rsid w:val="00BD5778"/>
    <w:rPr>
      <w:rFonts w:eastAsiaTheme="minorEastAsia"/>
      <w:sz w:val="24"/>
      <w:lang w:val="en-US"/>
    </w:rPr>
  </w:style>
  <w:style w:type="paragraph" w:styleId="TOCHeading">
    <w:name w:val="TOC Heading"/>
    <w:basedOn w:val="Heading2"/>
    <w:next w:val="Normal"/>
    <w:uiPriority w:val="39"/>
    <w:unhideWhenUsed/>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43720A"/>
    <w:pPr>
      <w:spacing w:after="100"/>
    </w:pPr>
  </w:style>
  <w:style w:type="paragraph" w:styleId="TOC3">
    <w:name w:val="toc 3"/>
    <w:basedOn w:val="Normal"/>
    <w:next w:val="Normal"/>
    <w:autoRedefine/>
    <w:uiPriority w:val="39"/>
    <w:unhideWhenUsed/>
    <w:rsid w:val="0043720A"/>
    <w:pPr>
      <w:spacing w:after="100"/>
      <w:ind w:left="221"/>
    </w:pPr>
  </w:style>
  <w:style w:type="paragraph" w:customStyle="1" w:styleId="Address">
    <w:name w:val="Address"/>
    <w:basedOn w:val="Subtitle"/>
    <w:semiHidden/>
    <w:rsid w:val="009A549D"/>
    <w:pPr>
      <w:spacing w:after="0"/>
    </w:pPr>
    <w:rPr>
      <w:sz w:val="24"/>
    </w:rPr>
  </w:style>
  <w:style w:type="paragraph" w:styleId="BalloonText">
    <w:name w:val="Balloon Text"/>
    <w:basedOn w:val="Normal"/>
    <w:link w:val="BalloonTextChar"/>
    <w:uiPriority w:val="99"/>
    <w:semiHidden/>
    <w:unhideWhenUsed/>
    <w:rsid w:val="00E302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960000" w:themeColor="accent2"/>
        <w:left w:val="single" w:sz="4" w:space="0" w:color="960000" w:themeColor="accent2"/>
        <w:bottom w:val="single" w:sz="4" w:space="0" w:color="960000" w:themeColor="accent2"/>
        <w:right w:val="single" w:sz="4" w:space="0" w:color="960000" w:themeColor="accent2"/>
      </w:tblBorders>
    </w:tblPr>
    <w:tblStylePr w:type="firstRow">
      <w:rPr>
        <w:b/>
        <w:bCs/>
        <w:color w:val="FFFFFF" w:themeColor="background1"/>
      </w:rPr>
      <w:tblPr/>
      <w:tcPr>
        <w:shd w:val="clear" w:color="auto" w:fill="960000" w:themeFill="accent2"/>
      </w:tcPr>
    </w:tblStylePr>
    <w:tblStylePr w:type="lastRow">
      <w:rPr>
        <w:b/>
        <w:bCs/>
      </w:rPr>
      <w:tblPr/>
      <w:tcPr>
        <w:tcBorders>
          <w:top w:val="double" w:sz="4" w:space="0" w:color="96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0000" w:themeColor="accent2"/>
          <w:right w:val="single" w:sz="4" w:space="0" w:color="960000" w:themeColor="accent2"/>
        </w:tcBorders>
      </w:tcPr>
    </w:tblStylePr>
    <w:tblStylePr w:type="band1Horz">
      <w:tblPr/>
      <w:tcPr>
        <w:tcBorders>
          <w:top w:val="single" w:sz="4" w:space="0" w:color="960000" w:themeColor="accent2"/>
          <w:bottom w:val="single" w:sz="4" w:space="0" w:color="96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0000" w:themeColor="accent2"/>
          <w:left w:val="nil"/>
        </w:tcBorders>
      </w:tcPr>
    </w:tblStylePr>
    <w:tblStylePr w:type="swCell">
      <w:tblPr/>
      <w:tcPr>
        <w:tcBorders>
          <w:top w:val="double" w:sz="4" w:space="0" w:color="960000"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4999E1" w:themeColor="accent3"/>
        <w:left w:val="single" w:sz="4" w:space="0" w:color="4999E1" w:themeColor="accent3"/>
        <w:bottom w:val="single" w:sz="4" w:space="0" w:color="4999E1" w:themeColor="accent3"/>
        <w:right w:val="single" w:sz="4" w:space="0" w:color="4999E1" w:themeColor="accent3"/>
      </w:tblBorders>
    </w:tblPr>
    <w:tblStylePr w:type="firstRow">
      <w:rPr>
        <w:b/>
        <w:bCs/>
        <w:color w:val="FFFFFF" w:themeColor="background1"/>
      </w:rPr>
      <w:tblPr/>
      <w:tcPr>
        <w:shd w:val="clear" w:color="auto" w:fill="4999E1" w:themeFill="accent3"/>
      </w:tcPr>
    </w:tblStylePr>
    <w:tblStylePr w:type="lastRow">
      <w:rPr>
        <w:b/>
        <w:bCs/>
      </w:rPr>
      <w:tblPr/>
      <w:tcPr>
        <w:tcBorders>
          <w:top w:val="double" w:sz="4" w:space="0" w:color="4999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99E1" w:themeColor="accent3"/>
          <w:right w:val="single" w:sz="4" w:space="0" w:color="4999E1" w:themeColor="accent3"/>
        </w:tcBorders>
      </w:tcPr>
    </w:tblStylePr>
    <w:tblStylePr w:type="band1Horz">
      <w:tblPr/>
      <w:tcPr>
        <w:tcBorders>
          <w:top w:val="single" w:sz="4" w:space="0" w:color="4999E1" w:themeColor="accent3"/>
          <w:bottom w:val="single" w:sz="4" w:space="0" w:color="4999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99E1" w:themeColor="accent3"/>
          <w:left w:val="nil"/>
        </w:tcBorders>
      </w:tcPr>
    </w:tblStylePr>
    <w:tblStylePr w:type="swCell">
      <w:tblPr/>
      <w:tcPr>
        <w:tcBorders>
          <w:top w:val="double" w:sz="4" w:space="0" w:color="4999E1" w:themeColor="accent3"/>
          <w:right w:val="nil"/>
        </w:tcBorders>
      </w:tcPr>
    </w:tblStylePr>
  </w:style>
  <w:style w:type="paragraph" w:styleId="IntenseQuote">
    <w:name w:val="Intense Quote"/>
    <w:basedOn w:val="Normal"/>
    <w:next w:val="Normal"/>
    <w:link w:val="IntenseQuoteChar"/>
    <w:uiPriority w:val="30"/>
    <w:rsid w:val="00CD36CB"/>
    <w:pPr>
      <w:pBdr>
        <w:top w:val="single" w:sz="4" w:space="6" w:color="0766A5" w:themeColor="accent1"/>
        <w:bottom w:val="single" w:sz="4" w:space="6" w:color="0766A5" w:themeColor="accent1"/>
      </w:pBdr>
      <w:spacing w:before="360" w:after="360"/>
      <w:ind w:right="2835"/>
    </w:pPr>
    <w:rPr>
      <w:b/>
      <w:iCs/>
    </w:rPr>
  </w:style>
  <w:style w:type="character" w:customStyle="1" w:styleId="IntenseQuoteChar">
    <w:name w:val="Intense Quote Char"/>
    <w:basedOn w:val="DefaultParagraphFont"/>
    <w:link w:val="IntenseQuote"/>
    <w:uiPriority w:val="30"/>
    <w:rsid w:val="00CD36CB"/>
    <w:rPr>
      <w:b/>
      <w:iCs/>
      <w:sz w:val="24"/>
    </w:rPr>
  </w:style>
  <w:style w:type="paragraph" w:customStyle="1" w:styleId="Calloutbox">
    <w:name w:val="Call out box"/>
    <w:basedOn w:val="Normal"/>
    <w:qFormat/>
    <w:rsid w:val="00BF6930"/>
    <w:pPr>
      <w:pBdr>
        <w:top w:val="single" w:sz="4" w:space="6" w:color="E2E1E1" w:themeColor="accent5" w:themeTint="33"/>
        <w:left w:val="single" w:sz="4" w:space="4" w:color="E2E1E1" w:themeColor="accent5" w:themeTint="33"/>
        <w:bottom w:val="single" w:sz="4" w:space="6" w:color="E2E1E1" w:themeColor="accent5" w:themeTint="33"/>
        <w:right w:val="single" w:sz="4" w:space="4" w:color="E2E1E1" w:themeColor="accent5" w:themeTint="33"/>
      </w:pBdr>
      <w:shd w:val="clear" w:color="auto" w:fill="E2E1E1" w:themeFill="accent5" w:themeFillTint="33"/>
    </w:pPr>
  </w:style>
  <w:style w:type="character" w:customStyle="1" w:styleId="Heading6Char">
    <w:name w:val="Heading 6 Char"/>
    <w:basedOn w:val="DefaultParagraphFont"/>
    <w:link w:val="Heading6"/>
    <w:uiPriority w:val="9"/>
    <w:rsid w:val="00C50A9A"/>
    <w:rPr>
      <w:rFonts w:asciiTheme="majorHAnsi" w:eastAsiaTheme="majorEastAsia" w:hAnsiTheme="majorHAnsi" w:cstheme="majorBidi"/>
      <w:color w:val="000000" w:themeColor="text1"/>
      <w:sz w:val="24"/>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FF2727" w:themeColor="accent2" w:themeTint="99"/>
        <w:left w:val="single" w:sz="4" w:space="0" w:color="FF2727" w:themeColor="accent2" w:themeTint="99"/>
        <w:bottom w:val="single" w:sz="4" w:space="0" w:color="FF2727" w:themeColor="accent2" w:themeTint="99"/>
        <w:right w:val="single" w:sz="4" w:space="0" w:color="FF2727" w:themeColor="accent2" w:themeTint="99"/>
        <w:insideH w:val="single" w:sz="4" w:space="0" w:color="FF2727" w:themeColor="accent2" w:themeTint="99"/>
        <w:insideV w:val="single" w:sz="4" w:space="0" w:color="FF2727" w:themeColor="accent2" w:themeTint="99"/>
      </w:tblBorders>
    </w:tblPr>
    <w:tblStylePr w:type="firstRow">
      <w:rPr>
        <w:b/>
        <w:bCs/>
        <w:color w:val="FFFFFF" w:themeColor="background1"/>
      </w:rPr>
      <w:tblPr/>
      <w:tcPr>
        <w:tcBorders>
          <w:top w:val="single" w:sz="4" w:space="0" w:color="960000" w:themeColor="accent2"/>
          <w:left w:val="single" w:sz="4" w:space="0" w:color="960000" w:themeColor="accent2"/>
          <w:bottom w:val="single" w:sz="4" w:space="0" w:color="960000" w:themeColor="accent2"/>
          <w:right w:val="single" w:sz="4" w:space="0" w:color="960000" w:themeColor="accent2"/>
          <w:insideH w:val="nil"/>
          <w:insideV w:val="nil"/>
        </w:tcBorders>
        <w:shd w:val="clear" w:color="auto" w:fill="960000" w:themeFill="accent2"/>
      </w:tcPr>
    </w:tblStylePr>
    <w:tblStylePr w:type="lastRow">
      <w:rPr>
        <w:b/>
        <w:bCs/>
      </w:rPr>
      <w:tblPr/>
      <w:tcPr>
        <w:tcBorders>
          <w:top w:val="double" w:sz="4" w:space="0" w:color="960000" w:themeColor="accent2"/>
        </w:tcBorders>
      </w:tcPr>
    </w:tblStylePr>
    <w:tblStylePr w:type="firstCol">
      <w:rPr>
        <w:b/>
        <w:bCs/>
      </w:rPr>
    </w:tblStylePr>
    <w:tblStylePr w:type="lastCol">
      <w:rPr>
        <w:b/>
        <w:bCs/>
      </w:rPr>
    </w:tblStylePr>
    <w:tblStylePr w:type="band1Vert">
      <w:tblPr/>
      <w:tcPr>
        <w:shd w:val="clear" w:color="auto" w:fill="FFB7B7" w:themeFill="accent2" w:themeFillTint="33"/>
      </w:tcPr>
    </w:tblStylePr>
    <w:tblStylePr w:type="band1Horz">
      <w:tblPr/>
      <w:tcPr>
        <w:shd w:val="clear" w:color="auto" w:fill="FFB7B7"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FF6F6F" w:themeColor="accent2" w:themeTint="66"/>
        <w:left w:val="single" w:sz="4" w:space="0" w:color="FF6F6F" w:themeColor="accent2" w:themeTint="66"/>
        <w:bottom w:val="single" w:sz="4" w:space="0" w:color="FF6F6F" w:themeColor="accent2" w:themeTint="66"/>
        <w:right w:val="single" w:sz="4" w:space="0" w:color="FF6F6F" w:themeColor="accent2" w:themeTint="66"/>
        <w:insideH w:val="single" w:sz="4" w:space="0" w:color="FF6F6F" w:themeColor="accent2" w:themeTint="66"/>
        <w:insideV w:val="single" w:sz="4" w:space="0" w:color="FF6F6F" w:themeColor="accent2" w:themeTint="66"/>
      </w:tblBorders>
    </w:tblPr>
    <w:tblStylePr w:type="firstRow">
      <w:rPr>
        <w:b/>
        <w:bCs/>
      </w:rPr>
      <w:tblPr/>
      <w:tcPr>
        <w:tcBorders>
          <w:bottom w:val="single" w:sz="12" w:space="0" w:color="FF2727" w:themeColor="accent2" w:themeTint="99"/>
        </w:tcBorders>
      </w:tcPr>
    </w:tblStylePr>
    <w:tblStylePr w:type="lastRow">
      <w:rPr>
        <w:b/>
        <w:bCs/>
      </w:rPr>
      <w:tblPr/>
      <w:tcPr>
        <w:tcBorders>
          <w:top w:val="double" w:sz="2" w:space="0" w:color="FF2727"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3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766A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766A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66A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766A5" w:themeFill="accent1"/>
      </w:tcPr>
    </w:tblStylePr>
    <w:tblStylePr w:type="band1Vert">
      <w:tblPr/>
      <w:tcPr>
        <w:shd w:val="clear" w:color="auto" w:fill="7DC7F9" w:themeFill="accent1" w:themeFillTint="66"/>
      </w:tcPr>
    </w:tblStylePr>
    <w:tblStylePr w:type="band1Horz">
      <w:tblPr/>
      <w:tcPr>
        <w:shd w:val="clear" w:color="auto" w:fill="7DC7F9" w:themeFill="accent1" w:themeFillTint="66"/>
      </w:tcPr>
    </w:tblStylePr>
  </w:style>
  <w:style w:type="table" w:styleId="GridTable4-Accent1">
    <w:name w:val="Grid Table 4 Accent 1"/>
    <w:basedOn w:val="TableNormal"/>
    <w:uiPriority w:val="49"/>
    <w:rsid w:val="00F32757"/>
    <w:pPr>
      <w:spacing w:after="0" w:line="240" w:lineRule="auto"/>
    </w:pPr>
    <w:tblPr>
      <w:tblStyleRowBandSize w:val="1"/>
      <w:tblStyleColBandSize w:val="1"/>
      <w:tblBorders>
        <w:top w:val="single" w:sz="4" w:space="0" w:color="3CACF6" w:themeColor="accent1" w:themeTint="99"/>
        <w:left w:val="single" w:sz="4" w:space="0" w:color="3CACF6" w:themeColor="accent1" w:themeTint="99"/>
        <w:bottom w:val="single" w:sz="4" w:space="0" w:color="3CACF6" w:themeColor="accent1" w:themeTint="99"/>
        <w:right w:val="single" w:sz="4" w:space="0" w:color="3CACF6" w:themeColor="accent1" w:themeTint="99"/>
        <w:insideH w:val="single" w:sz="4" w:space="0" w:color="3CACF6" w:themeColor="accent1" w:themeTint="99"/>
        <w:insideV w:val="single" w:sz="4" w:space="0" w:color="3CACF6" w:themeColor="accent1" w:themeTint="99"/>
      </w:tblBorders>
    </w:tblPr>
    <w:tblStylePr w:type="firstRow">
      <w:rPr>
        <w:b/>
        <w:bCs/>
        <w:color w:val="FFFFFF" w:themeColor="background1"/>
      </w:rPr>
      <w:tblPr/>
      <w:tcPr>
        <w:shd w:val="clear" w:color="auto" w:fill="054C7B" w:themeFill="accent1" w:themeFillShade="BF"/>
      </w:tcPr>
    </w:tblStylePr>
    <w:tblStylePr w:type="lastRow">
      <w:rPr>
        <w:b/>
        <w:bCs/>
      </w:rPr>
      <w:tblPr/>
      <w:tcPr>
        <w:tcBorders>
          <w:top w:val="double" w:sz="4" w:space="0" w:color="0766A5" w:themeColor="accent1"/>
        </w:tcBorders>
      </w:tcPr>
    </w:tblStylePr>
    <w:tblStylePr w:type="firstCol">
      <w:rPr>
        <w:b/>
        <w:bCs/>
      </w:rPr>
    </w:tblStylePr>
    <w:tblStylePr w:type="lastCol">
      <w:rPr>
        <w:b/>
        <w:bCs/>
      </w:rPr>
    </w:tblStylePr>
    <w:tblStylePr w:type="band1Vert">
      <w:tblPr/>
      <w:tcPr>
        <w:shd w:val="clear" w:color="auto" w:fill="BEE3FC" w:themeFill="accent1" w:themeFillTint="33"/>
      </w:tcPr>
    </w:tblStylePr>
    <w:tblStylePr w:type="band1Horz">
      <w:tblPr/>
      <w:tcPr>
        <w:shd w:val="clear" w:color="auto" w:fill="BEE3FC"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A9A7A7" w:themeColor="accent5" w:themeTint="99"/>
        <w:left w:val="single" w:sz="4" w:space="0" w:color="A9A7A7" w:themeColor="accent5" w:themeTint="99"/>
        <w:bottom w:val="single" w:sz="4" w:space="0" w:color="A9A7A7" w:themeColor="accent5" w:themeTint="99"/>
        <w:right w:val="single" w:sz="4" w:space="0" w:color="A9A7A7" w:themeColor="accent5" w:themeTint="99"/>
        <w:insideH w:val="single" w:sz="4" w:space="0" w:color="A9A7A7" w:themeColor="accent5" w:themeTint="99"/>
        <w:insideV w:val="single" w:sz="4" w:space="0" w:color="A9A7A7" w:themeColor="accent5" w:themeTint="99"/>
      </w:tblBorders>
    </w:tblPr>
    <w:tblStylePr w:type="firstRow">
      <w:rPr>
        <w:b/>
        <w:bCs/>
        <w:color w:val="FFFFFF" w:themeColor="background1"/>
      </w:rPr>
      <w:tblPr/>
      <w:tcPr>
        <w:tcBorders>
          <w:top w:val="single" w:sz="4" w:space="0" w:color="706E6E" w:themeColor="accent5"/>
          <w:left w:val="single" w:sz="4" w:space="0" w:color="706E6E" w:themeColor="accent5"/>
          <w:bottom w:val="single" w:sz="4" w:space="0" w:color="706E6E" w:themeColor="accent5"/>
          <w:right w:val="single" w:sz="4" w:space="0" w:color="706E6E" w:themeColor="accent5"/>
          <w:insideH w:val="nil"/>
          <w:insideV w:val="nil"/>
        </w:tcBorders>
        <w:shd w:val="clear" w:color="auto" w:fill="706E6E" w:themeFill="accent5"/>
      </w:tcPr>
    </w:tblStylePr>
    <w:tblStylePr w:type="lastRow">
      <w:rPr>
        <w:b/>
        <w:bCs/>
      </w:rPr>
      <w:tblPr/>
      <w:tcPr>
        <w:tcBorders>
          <w:top w:val="double" w:sz="4" w:space="0" w:color="706E6E" w:themeColor="accent5"/>
        </w:tcBorders>
      </w:tcPr>
    </w:tblStylePr>
    <w:tblStylePr w:type="firstCol">
      <w:rPr>
        <w:b/>
        <w:bCs/>
      </w:rPr>
    </w:tblStylePr>
    <w:tblStylePr w:type="lastCol">
      <w:rPr>
        <w:b/>
        <w:bCs/>
      </w:rPr>
    </w:tblStylePr>
    <w:tblStylePr w:type="band1Vert">
      <w:tblPr/>
      <w:tcPr>
        <w:shd w:val="clear" w:color="auto" w:fill="E2E1E1" w:themeFill="accent5" w:themeFillTint="33"/>
      </w:tcPr>
    </w:tblStylePr>
    <w:tblStylePr w:type="band1Horz">
      <w:tblPr/>
      <w:tcPr>
        <w:shd w:val="clear" w:color="auto" w:fill="E2E1E1" w:themeFill="accent5" w:themeFillTint="33"/>
      </w:tcPr>
    </w:tblStylePr>
  </w:style>
  <w:style w:type="table" w:styleId="GridTable4-Accent4">
    <w:name w:val="Grid Table 4 Accent 4"/>
    <w:aliases w:val="DISR banded - Table 2"/>
    <w:basedOn w:val="TableNormal"/>
    <w:uiPriority w:val="49"/>
    <w:rsid w:val="00BF6930"/>
    <w:pPr>
      <w:spacing w:after="0" w:line="240" w:lineRule="auto"/>
    </w:pPr>
    <w:tblPr>
      <w:tblStyleRowBandSize w:val="1"/>
      <w:tblStyleColBandSize w:val="1"/>
      <w:tblBorders>
        <w:top w:val="single" w:sz="4" w:space="0" w:color="0766A5" w:themeColor="accent1"/>
        <w:left w:val="single" w:sz="4" w:space="0" w:color="0766A5" w:themeColor="accent1"/>
        <w:bottom w:val="single" w:sz="4" w:space="0" w:color="0766A5" w:themeColor="accent1"/>
        <w:right w:val="single" w:sz="4" w:space="0" w:color="0766A5" w:themeColor="accent1"/>
        <w:insideH w:val="single" w:sz="4" w:space="0" w:color="0766A5" w:themeColor="accent1"/>
        <w:insideV w:val="single" w:sz="4" w:space="0" w:color="0766A5" w:themeColor="accent1"/>
      </w:tblBorders>
    </w:tblPr>
    <w:tblStylePr w:type="firstRow">
      <w:rPr>
        <w:b/>
        <w:bCs/>
        <w:color w:val="FFFFFF" w:themeColor="background1"/>
      </w:rPr>
      <w:tblPr/>
      <w:tcPr>
        <w:shd w:val="clear" w:color="auto" w:fill="0766A5" w:themeFill="accent1"/>
      </w:tcPr>
    </w:tblStylePr>
    <w:tblStylePr w:type="lastRow">
      <w:rPr>
        <w:b/>
        <w:bCs/>
      </w:rPr>
      <w:tblPr/>
      <w:tcPr>
        <w:tcBorders>
          <w:top w:val="single" w:sz="18" w:space="0" w:color="0B474D" w:themeColor="accent4"/>
        </w:tcBorders>
      </w:tcPr>
    </w:tblStylePr>
    <w:tblStylePr w:type="firstCol">
      <w:rPr>
        <w:b/>
        <w:bCs/>
      </w:rPr>
    </w:tblStylePr>
    <w:tblStylePr w:type="lastCol">
      <w:rPr>
        <w:b/>
        <w:bCs/>
      </w:rPr>
    </w:tblStylePr>
    <w:tblStylePr w:type="band1Vert">
      <w:tblPr/>
      <w:tcPr>
        <w:shd w:val="clear" w:color="auto" w:fill="B4EEF4" w:themeFill="accent4" w:themeFillTint="33"/>
      </w:tcPr>
    </w:tblStylePr>
    <w:tblStylePr w:type="band1Horz">
      <w:tblPr/>
      <w:tcPr>
        <w:shd w:val="clear" w:color="auto" w:fill="E2E1E1" w:themeFill="accent5"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91C1ED" w:themeColor="accent3" w:themeTint="99"/>
        <w:left w:val="single" w:sz="4" w:space="0" w:color="91C1ED" w:themeColor="accent3" w:themeTint="99"/>
        <w:bottom w:val="single" w:sz="4" w:space="0" w:color="91C1ED" w:themeColor="accent3" w:themeTint="99"/>
        <w:right w:val="single" w:sz="4" w:space="0" w:color="91C1ED" w:themeColor="accent3" w:themeTint="99"/>
        <w:insideH w:val="single" w:sz="4" w:space="0" w:color="91C1ED" w:themeColor="accent3" w:themeTint="99"/>
        <w:insideV w:val="single" w:sz="4" w:space="0" w:color="91C1ED" w:themeColor="accent3" w:themeTint="99"/>
      </w:tblBorders>
    </w:tblPr>
    <w:tblStylePr w:type="firstRow">
      <w:rPr>
        <w:b/>
        <w:bCs/>
        <w:color w:val="FFFFFF" w:themeColor="background1"/>
      </w:rPr>
      <w:tblPr/>
      <w:tcPr>
        <w:tcBorders>
          <w:top w:val="single" w:sz="4" w:space="0" w:color="4999E1" w:themeColor="accent3"/>
          <w:left w:val="single" w:sz="4" w:space="0" w:color="4999E1" w:themeColor="accent3"/>
          <w:bottom w:val="single" w:sz="4" w:space="0" w:color="4999E1" w:themeColor="accent3"/>
          <w:right w:val="single" w:sz="4" w:space="0" w:color="4999E1" w:themeColor="accent3"/>
          <w:insideH w:val="nil"/>
          <w:insideV w:val="nil"/>
        </w:tcBorders>
        <w:shd w:val="clear" w:color="auto" w:fill="4999E1" w:themeFill="accent3"/>
      </w:tcPr>
    </w:tblStylePr>
    <w:tblStylePr w:type="lastRow">
      <w:rPr>
        <w:b/>
        <w:bCs/>
      </w:rPr>
      <w:tblPr/>
      <w:tcPr>
        <w:tcBorders>
          <w:top w:val="double" w:sz="4" w:space="0" w:color="4999E1" w:themeColor="accent3"/>
        </w:tcBorders>
      </w:tcPr>
    </w:tblStylePr>
    <w:tblStylePr w:type="firstCol">
      <w:rPr>
        <w:b/>
        <w:bCs/>
      </w:rPr>
    </w:tblStylePr>
    <w:tblStylePr w:type="lastCol">
      <w:rPr>
        <w:b/>
        <w:bCs/>
      </w:rPr>
    </w:tblStylePr>
    <w:tblStylePr w:type="band1Vert">
      <w:tblPr/>
      <w:tcPr>
        <w:shd w:val="clear" w:color="auto" w:fill="DAEAF9" w:themeFill="accent3" w:themeFillTint="33"/>
      </w:tcPr>
    </w:tblStylePr>
    <w:tblStylePr w:type="band1Horz">
      <w:tblPr/>
      <w:tcPr>
        <w:shd w:val="clear" w:color="auto" w:fill="DAEAF9" w:themeFill="accent3" w:themeFillTint="33"/>
      </w:tcPr>
    </w:tblStylePr>
  </w:style>
  <w:style w:type="paragraph" w:customStyle="1" w:styleId="Authoranddate">
    <w:name w:val="Author and date"/>
    <w:basedOn w:val="Subtitle"/>
    <w:link w:val="AuthoranddateChar"/>
    <w:rsid w:val="001D51DA"/>
    <w:rPr>
      <w:szCs w:val="40"/>
    </w:rPr>
  </w:style>
  <w:style w:type="character" w:customStyle="1" w:styleId="AuthoranddateChar">
    <w:name w:val="Author and date Char"/>
    <w:basedOn w:val="SubtitleChar"/>
    <w:link w:val="Authoranddate"/>
    <w:rsid w:val="001D51DA"/>
    <w:rPr>
      <w:rFonts w:eastAsiaTheme="minorEastAsia"/>
      <w:color w:val="CE5958" w:themeColor="background2"/>
      <w:sz w:val="40"/>
      <w:szCs w:val="40"/>
    </w:rPr>
  </w:style>
  <w:style w:type="character" w:customStyle="1" w:styleId="Heading7Char">
    <w:name w:val="Heading 7 Char"/>
    <w:basedOn w:val="DefaultParagraphFont"/>
    <w:link w:val="Heading7"/>
    <w:uiPriority w:val="9"/>
    <w:rsid w:val="00C50A9A"/>
    <w:rPr>
      <w:rFonts w:asciiTheme="majorHAnsi" w:eastAsiaTheme="majorEastAsia" w:hAnsiTheme="majorHAnsi" w:cstheme="majorBidi"/>
      <w:b/>
      <w:iCs/>
      <w:color w:val="0766A5" w:themeColor="accent1"/>
    </w:rPr>
  </w:style>
  <w:style w:type="character" w:styleId="UnresolvedMention">
    <w:name w:val="Unresolved Mention"/>
    <w:basedOn w:val="DefaultParagraphFont"/>
    <w:uiPriority w:val="99"/>
    <w:semiHidden/>
    <w:unhideWhenUsed/>
    <w:rsid w:val="00282ED3"/>
    <w:rPr>
      <w:color w:val="605E5C"/>
      <w:shd w:val="clear" w:color="auto" w:fill="E1DFDD"/>
    </w:rPr>
  </w:style>
  <w:style w:type="table" w:styleId="GridTable4">
    <w:name w:val="Grid Table 4"/>
    <w:basedOn w:val="TableNormal"/>
    <w:uiPriority w:val="49"/>
    <w:rsid w:val="004060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31654A"/>
    <w:pPr>
      <w:spacing w:after="0" w:line="240" w:lineRule="auto"/>
    </w:pPr>
    <w:tblPr>
      <w:tblStyleRowBandSize w:val="1"/>
      <w:tblStyleColBandSize w:val="1"/>
      <w:tblBorders>
        <w:top w:val="single" w:sz="4" w:space="0" w:color="0B474D" w:themeColor="accent4"/>
        <w:left w:val="single" w:sz="4" w:space="0" w:color="0B474D" w:themeColor="accent4"/>
        <w:bottom w:val="single" w:sz="4" w:space="0" w:color="0B474D" w:themeColor="accent4"/>
        <w:right w:val="single" w:sz="4" w:space="0" w:color="0B474D" w:themeColor="accent4"/>
      </w:tblBorders>
    </w:tblPr>
    <w:tblStylePr w:type="firstRow">
      <w:rPr>
        <w:b/>
        <w:bCs/>
        <w:color w:val="FFFFFF" w:themeColor="background1"/>
      </w:rPr>
      <w:tblPr/>
      <w:tcPr>
        <w:shd w:val="clear" w:color="auto" w:fill="0B474D" w:themeFill="accent4"/>
      </w:tcPr>
    </w:tblStylePr>
    <w:tblStylePr w:type="lastRow">
      <w:rPr>
        <w:b/>
        <w:bCs/>
      </w:rPr>
      <w:tblPr/>
      <w:tcPr>
        <w:tcBorders>
          <w:top w:val="double" w:sz="4" w:space="0" w:color="0B47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474D" w:themeColor="accent4"/>
          <w:right w:val="single" w:sz="4" w:space="0" w:color="0B474D" w:themeColor="accent4"/>
        </w:tcBorders>
      </w:tcPr>
    </w:tblStylePr>
    <w:tblStylePr w:type="band1Horz">
      <w:tblPr/>
      <w:tcPr>
        <w:tcBorders>
          <w:top w:val="single" w:sz="4" w:space="0" w:color="0B474D" w:themeColor="accent4"/>
          <w:bottom w:val="single" w:sz="4" w:space="0" w:color="0B47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474D" w:themeColor="accent4"/>
          <w:left w:val="nil"/>
        </w:tcBorders>
      </w:tcPr>
    </w:tblStylePr>
    <w:tblStylePr w:type="swCell">
      <w:tblPr/>
      <w:tcPr>
        <w:tcBorders>
          <w:top w:val="double" w:sz="4" w:space="0" w:color="0B474D" w:themeColor="accent4"/>
          <w:right w:val="nil"/>
        </w:tcBorders>
      </w:tcPr>
    </w:tblStylePr>
  </w:style>
  <w:style w:type="paragraph" w:styleId="TOC4">
    <w:name w:val="toc 4"/>
    <w:basedOn w:val="Normal"/>
    <w:next w:val="Normal"/>
    <w:autoRedefine/>
    <w:uiPriority w:val="39"/>
    <w:unhideWhenUsed/>
    <w:rsid w:val="0043720A"/>
    <w:pPr>
      <w:spacing w:after="100"/>
      <w:ind w:left="442"/>
    </w:pPr>
  </w:style>
  <w:style w:type="paragraph" w:styleId="TOC5">
    <w:name w:val="toc 5"/>
    <w:basedOn w:val="Normal"/>
    <w:next w:val="Normal"/>
    <w:autoRedefine/>
    <w:uiPriority w:val="39"/>
    <w:unhideWhenUsed/>
    <w:rsid w:val="0043720A"/>
    <w:pPr>
      <w:spacing w:after="100"/>
      <w:ind w:left="601"/>
    </w:pPr>
  </w:style>
  <w:style w:type="paragraph" w:styleId="ListBullet">
    <w:name w:val="List Bullet"/>
    <w:basedOn w:val="Normal"/>
    <w:uiPriority w:val="99"/>
    <w:rsid w:val="00703734"/>
    <w:pPr>
      <w:numPr>
        <w:numId w:val="4"/>
      </w:numPr>
      <w:ind w:left="567" w:hanging="567"/>
      <w:contextualSpacing/>
    </w:pPr>
  </w:style>
  <w:style w:type="paragraph" w:styleId="ListBullet2">
    <w:name w:val="List Bullet 2"/>
    <w:basedOn w:val="Normal"/>
    <w:uiPriority w:val="99"/>
    <w:semiHidden/>
    <w:unhideWhenUsed/>
    <w:rsid w:val="00703734"/>
    <w:pPr>
      <w:numPr>
        <w:numId w:val="5"/>
      </w:numPr>
      <w:ind w:left="567" w:hanging="567"/>
      <w:contextualSpacing/>
    </w:pPr>
  </w:style>
  <w:style w:type="character" w:customStyle="1" w:styleId="Heading8Char">
    <w:name w:val="Heading 8 Char"/>
    <w:basedOn w:val="DefaultParagraphFont"/>
    <w:link w:val="Heading8"/>
    <w:uiPriority w:val="9"/>
    <w:rsid w:val="00C50A9A"/>
    <w:rPr>
      <w:rFonts w:asciiTheme="majorHAnsi" w:eastAsiaTheme="majorEastAsia" w:hAnsiTheme="majorHAnsi" w:cstheme="majorBidi"/>
      <w:color w:val="272727" w:themeColor="text1" w:themeTint="D8"/>
      <w:sz w:val="20"/>
      <w:szCs w:val="21"/>
    </w:rPr>
  </w:style>
  <w:style w:type="character" w:styleId="CommentReference">
    <w:name w:val="annotation reference"/>
    <w:basedOn w:val="DefaultParagraphFont"/>
    <w:uiPriority w:val="99"/>
    <w:semiHidden/>
    <w:unhideWhenUsed/>
    <w:rsid w:val="00FE4569"/>
    <w:rPr>
      <w:sz w:val="16"/>
      <w:szCs w:val="16"/>
    </w:rPr>
  </w:style>
  <w:style w:type="paragraph" w:styleId="CommentText">
    <w:name w:val="annotation text"/>
    <w:basedOn w:val="Normal"/>
    <w:link w:val="CommentTextChar"/>
    <w:uiPriority w:val="99"/>
    <w:semiHidden/>
    <w:rsid w:val="00FE4569"/>
    <w:rPr>
      <w:szCs w:val="20"/>
    </w:rPr>
  </w:style>
  <w:style w:type="character" w:customStyle="1" w:styleId="CommentTextChar">
    <w:name w:val="Comment Text Char"/>
    <w:basedOn w:val="DefaultParagraphFont"/>
    <w:link w:val="CommentText"/>
    <w:uiPriority w:val="99"/>
    <w:semiHidden/>
    <w:rsid w:val="00CD0279"/>
    <w:rPr>
      <w:sz w:val="20"/>
      <w:szCs w:val="20"/>
    </w:rPr>
  </w:style>
  <w:style w:type="paragraph" w:styleId="CommentSubject">
    <w:name w:val="annotation subject"/>
    <w:basedOn w:val="CommentText"/>
    <w:next w:val="CommentText"/>
    <w:link w:val="CommentSubjectChar"/>
    <w:uiPriority w:val="99"/>
    <w:semiHidden/>
    <w:unhideWhenUsed/>
    <w:rsid w:val="00FE4569"/>
    <w:rPr>
      <w:b/>
      <w:bCs/>
    </w:rPr>
  </w:style>
  <w:style w:type="character" w:customStyle="1" w:styleId="CommentSubjectChar">
    <w:name w:val="Comment Subject Char"/>
    <w:basedOn w:val="CommentTextChar"/>
    <w:link w:val="CommentSubject"/>
    <w:uiPriority w:val="99"/>
    <w:semiHidden/>
    <w:rsid w:val="00FE4569"/>
    <w:rPr>
      <w:b/>
      <w:bCs/>
      <w:sz w:val="20"/>
      <w:szCs w:val="20"/>
    </w:rPr>
  </w:style>
  <w:style w:type="table" w:styleId="ListTable3-Accent1">
    <w:name w:val="List Table 3 Accent 1"/>
    <w:basedOn w:val="TableNormal"/>
    <w:uiPriority w:val="48"/>
    <w:rsid w:val="00BF6930"/>
    <w:pPr>
      <w:spacing w:after="0" w:line="240" w:lineRule="auto"/>
    </w:pPr>
    <w:tblPr>
      <w:tblStyleRowBandSize w:val="1"/>
      <w:tblStyleColBandSize w:val="1"/>
      <w:tblBorders>
        <w:top w:val="single" w:sz="4" w:space="0" w:color="0766A5" w:themeColor="accent1"/>
        <w:left w:val="single" w:sz="4" w:space="0" w:color="0766A5" w:themeColor="accent1"/>
        <w:bottom w:val="single" w:sz="4" w:space="0" w:color="0766A5" w:themeColor="accent1"/>
        <w:right w:val="single" w:sz="4" w:space="0" w:color="0766A5" w:themeColor="accent1"/>
      </w:tblBorders>
    </w:tblPr>
    <w:tblStylePr w:type="firstRow">
      <w:rPr>
        <w:b/>
        <w:bCs/>
        <w:color w:val="FFFFFF" w:themeColor="background1"/>
      </w:rPr>
      <w:tblPr/>
      <w:tcPr>
        <w:shd w:val="clear" w:color="auto" w:fill="0766A5" w:themeFill="accent1"/>
      </w:tcPr>
    </w:tblStylePr>
    <w:tblStylePr w:type="lastRow">
      <w:rPr>
        <w:b/>
        <w:bCs/>
      </w:rPr>
      <w:tblPr/>
      <w:tcPr>
        <w:tcBorders>
          <w:top w:val="double" w:sz="4" w:space="0" w:color="0766A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766A5" w:themeColor="accent1"/>
          <w:right w:val="single" w:sz="4" w:space="0" w:color="0766A5" w:themeColor="accent1"/>
        </w:tcBorders>
      </w:tcPr>
    </w:tblStylePr>
    <w:tblStylePr w:type="band1Horz">
      <w:tblPr/>
      <w:tcPr>
        <w:tcBorders>
          <w:top w:val="single" w:sz="4" w:space="0" w:color="0766A5" w:themeColor="accent1"/>
          <w:bottom w:val="single" w:sz="4" w:space="0" w:color="0766A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66A5" w:themeColor="accent1"/>
          <w:left w:val="nil"/>
        </w:tcBorders>
      </w:tcPr>
    </w:tblStylePr>
    <w:tblStylePr w:type="swCell">
      <w:tblPr/>
      <w:tcPr>
        <w:tcBorders>
          <w:top w:val="double" w:sz="4" w:space="0" w:color="0766A5" w:themeColor="accent1"/>
          <w:right w:val="nil"/>
        </w:tcBorders>
      </w:tcPr>
    </w:tblStylePr>
  </w:style>
  <w:style w:type="paragraph" w:styleId="NormalWeb">
    <w:name w:val="Normal (Web)"/>
    <w:basedOn w:val="Normal"/>
    <w:uiPriority w:val="99"/>
    <w:semiHidden/>
    <w:unhideWhenUsed/>
    <w:rsid w:val="00FA2434"/>
    <w:pPr>
      <w:spacing w:before="100" w:beforeAutospacing="1" w:after="100" w:afterAutospacing="1"/>
    </w:pPr>
    <w:rPr>
      <w:rFonts w:ascii="Times New Roman" w:eastAsia="Times New Roman" w:hAnsi="Times New Roman" w:cs="Times New Roman"/>
      <w:szCs w:val="24"/>
      <w:lang w:eastAsia="en-AU"/>
    </w:rPr>
  </w:style>
  <w:style w:type="paragraph" w:customStyle="1" w:styleId="Tagline">
    <w:name w:val="Tagline"/>
    <w:basedOn w:val="Normal"/>
    <w:rsid w:val="00797CDD"/>
    <w:rPr>
      <w:bCs/>
      <w:iCs/>
      <w:color w:val="0766A5" w:themeColor="accent1"/>
      <w:kern w:val="18"/>
      <w:szCs w:val="20"/>
    </w:rPr>
  </w:style>
  <w:style w:type="paragraph" w:customStyle="1" w:styleId="URL">
    <w:name w:val="URL"/>
    <w:basedOn w:val="Normal"/>
    <w:rsid w:val="006A092C"/>
    <w:rPr>
      <w:iCs/>
      <w:color w:val="001B35" w:themeColor="text2"/>
      <w:kern w:val="18"/>
    </w:rPr>
  </w:style>
  <w:style w:type="paragraph" w:styleId="Revision">
    <w:name w:val="Revision"/>
    <w:hidden/>
    <w:uiPriority w:val="99"/>
    <w:semiHidden/>
    <w:rsid w:val="001724A4"/>
    <w:pPr>
      <w:spacing w:after="0" w:line="240" w:lineRule="auto"/>
    </w:pPr>
    <w:rPr>
      <w:sz w:val="24"/>
    </w:rPr>
  </w:style>
  <w:style w:type="paragraph" w:styleId="FootnoteText">
    <w:name w:val="footnote text"/>
    <w:basedOn w:val="Normal"/>
    <w:link w:val="FootnoteTextChar"/>
    <w:uiPriority w:val="99"/>
    <w:semiHidden/>
    <w:unhideWhenUsed/>
    <w:rsid w:val="001D1314"/>
    <w:pPr>
      <w:spacing w:before="0" w:after="0"/>
    </w:pPr>
    <w:rPr>
      <w:sz w:val="20"/>
      <w:szCs w:val="20"/>
    </w:rPr>
  </w:style>
  <w:style w:type="character" w:customStyle="1" w:styleId="FootnoteTextChar">
    <w:name w:val="Footnote Text Char"/>
    <w:basedOn w:val="DefaultParagraphFont"/>
    <w:link w:val="FootnoteText"/>
    <w:uiPriority w:val="99"/>
    <w:semiHidden/>
    <w:rsid w:val="001D1314"/>
    <w:rPr>
      <w:sz w:val="20"/>
      <w:szCs w:val="20"/>
    </w:rPr>
  </w:style>
  <w:style w:type="character" w:styleId="FootnoteReference">
    <w:name w:val="footnote reference"/>
    <w:basedOn w:val="DefaultParagraphFont"/>
    <w:uiPriority w:val="99"/>
    <w:semiHidden/>
    <w:unhideWhenUsed/>
    <w:rsid w:val="001D13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781">
      <w:bodyDiv w:val="1"/>
      <w:marLeft w:val="0"/>
      <w:marRight w:val="0"/>
      <w:marTop w:val="0"/>
      <w:marBottom w:val="0"/>
      <w:divBdr>
        <w:top w:val="none" w:sz="0" w:space="0" w:color="auto"/>
        <w:left w:val="none" w:sz="0" w:space="0" w:color="auto"/>
        <w:bottom w:val="none" w:sz="0" w:space="0" w:color="auto"/>
        <w:right w:val="none" w:sz="0" w:space="0" w:color="auto"/>
      </w:divBdr>
    </w:div>
    <w:div w:id="6953951">
      <w:bodyDiv w:val="1"/>
      <w:marLeft w:val="0"/>
      <w:marRight w:val="0"/>
      <w:marTop w:val="0"/>
      <w:marBottom w:val="0"/>
      <w:divBdr>
        <w:top w:val="none" w:sz="0" w:space="0" w:color="auto"/>
        <w:left w:val="none" w:sz="0" w:space="0" w:color="auto"/>
        <w:bottom w:val="none" w:sz="0" w:space="0" w:color="auto"/>
        <w:right w:val="none" w:sz="0" w:space="0" w:color="auto"/>
      </w:divBdr>
    </w:div>
    <w:div w:id="129977626">
      <w:bodyDiv w:val="1"/>
      <w:marLeft w:val="0"/>
      <w:marRight w:val="0"/>
      <w:marTop w:val="0"/>
      <w:marBottom w:val="0"/>
      <w:divBdr>
        <w:top w:val="none" w:sz="0" w:space="0" w:color="auto"/>
        <w:left w:val="none" w:sz="0" w:space="0" w:color="auto"/>
        <w:bottom w:val="none" w:sz="0" w:space="0" w:color="auto"/>
        <w:right w:val="none" w:sz="0" w:space="0" w:color="auto"/>
      </w:divBdr>
    </w:div>
    <w:div w:id="146671932">
      <w:bodyDiv w:val="1"/>
      <w:marLeft w:val="0"/>
      <w:marRight w:val="0"/>
      <w:marTop w:val="0"/>
      <w:marBottom w:val="0"/>
      <w:divBdr>
        <w:top w:val="none" w:sz="0" w:space="0" w:color="auto"/>
        <w:left w:val="none" w:sz="0" w:space="0" w:color="auto"/>
        <w:bottom w:val="none" w:sz="0" w:space="0" w:color="auto"/>
        <w:right w:val="none" w:sz="0" w:space="0" w:color="auto"/>
      </w:divBdr>
    </w:div>
    <w:div w:id="182593347">
      <w:bodyDiv w:val="1"/>
      <w:marLeft w:val="0"/>
      <w:marRight w:val="0"/>
      <w:marTop w:val="0"/>
      <w:marBottom w:val="0"/>
      <w:divBdr>
        <w:top w:val="none" w:sz="0" w:space="0" w:color="auto"/>
        <w:left w:val="none" w:sz="0" w:space="0" w:color="auto"/>
        <w:bottom w:val="none" w:sz="0" w:space="0" w:color="auto"/>
        <w:right w:val="none" w:sz="0" w:space="0" w:color="auto"/>
      </w:divBdr>
    </w:div>
    <w:div w:id="241333136">
      <w:bodyDiv w:val="1"/>
      <w:marLeft w:val="0"/>
      <w:marRight w:val="0"/>
      <w:marTop w:val="0"/>
      <w:marBottom w:val="0"/>
      <w:divBdr>
        <w:top w:val="none" w:sz="0" w:space="0" w:color="auto"/>
        <w:left w:val="none" w:sz="0" w:space="0" w:color="auto"/>
        <w:bottom w:val="none" w:sz="0" w:space="0" w:color="auto"/>
        <w:right w:val="none" w:sz="0" w:space="0" w:color="auto"/>
      </w:divBdr>
    </w:div>
    <w:div w:id="278414761">
      <w:bodyDiv w:val="1"/>
      <w:marLeft w:val="0"/>
      <w:marRight w:val="0"/>
      <w:marTop w:val="0"/>
      <w:marBottom w:val="0"/>
      <w:divBdr>
        <w:top w:val="none" w:sz="0" w:space="0" w:color="auto"/>
        <w:left w:val="none" w:sz="0" w:space="0" w:color="auto"/>
        <w:bottom w:val="none" w:sz="0" w:space="0" w:color="auto"/>
        <w:right w:val="none" w:sz="0" w:space="0" w:color="auto"/>
      </w:divBdr>
    </w:div>
    <w:div w:id="365302300">
      <w:bodyDiv w:val="1"/>
      <w:marLeft w:val="0"/>
      <w:marRight w:val="0"/>
      <w:marTop w:val="0"/>
      <w:marBottom w:val="0"/>
      <w:divBdr>
        <w:top w:val="none" w:sz="0" w:space="0" w:color="auto"/>
        <w:left w:val="none" w:sz="0" w:space="0" w:color="auto"/>
        <w:bottom w:val="none" w:sz="0" w:space="0" w:color="auto"/>
        <w:right w:val="none" w:sz="0" w:space="0" w:color="auto"/>
      </w:divBdr>
    </w:div>
    <w:div w:id="399600072">
      <w:bodyDiv w:val="1"/>
      <w:marLeft w:val="0"/>
      <w:marRight w:val="0"/>
      <w:marTop w:val="0"/>
      <w:marBottom w:val="0"/>
      <w:divBdr>
        <w:top w:val="none" w:sz="0" w:space="0" w:color="auto"/>
        <w:left w:val="none" w:sz="0" w:space="0" w:color="auto"/>
        <w:bottom w:val="none" w:sz="0" w:space="0" w:color="auto"/>
        <w:right w:val="none" w:sz="0" w:space="0" w:color="auto"/>
      </w:divBdr>
    </w:div>
    <w:div w:id="429009989">
      <w:bodyDiv w:val="1"/>
      <w:marLeft w:val="0"/>
      <w:marRight w:val="0"/>
      <w:marTop w:val="0"/>
      <w:marBottom w:val="0"/>
      <w:divBdr>
        <w:top w:val="none" w:sz="0" w:space="0" w:color="auto"/>
        <w:left w:val="none" w:sz="0" w:space="0" w:color="auto"/>
        <w:bottom w:val="none" w:sz="0" w:space="0" w:color="auto"/>
        <w:right w:val="none" w:sz="0" w:space="0" w:color="auto"/>
      </w:divBdr>
    </w:div>
    <w:div w:id="510416490">
      <w:bodyDiv w:val="1"/>
      <w:marLeft w:val="0"/>
      <w:marRight w:val="0"/>
      <w:marTop w:val="0"/>
      <w:marBottom w:val="0"/>
      <w:divBdr>
        <w:top w:val="none" w:sz="0" w:space="0" w:color="auto"/>
        <w:left w:val="none" w:sz="0" w:space="0" w:color="auto"/>
        <w:bottom w:val="none" w:sz="0" w:space="0" w:color="auto"/>
        <w:right w:val="none" w:sz="0" w:space="0" w:color="auto"/>
      </w:divBdr>
      <w:divsChild>
        <w:div w:id="1850831111">
          <w:marLeft w:val="360"/>
          <w:marRight w:val="0"/>
          <w:marTop w:val="120"/>
          <w:marBottom w:val="120"/>
          <w:divBdr>
            <w:top w:val="none" w:sz="0" w:space="0" w:color="auto"/>
            <w:left w:val="none" w:sz="0" w:space="0" w:color="auto"/>
            <w:bottom w:val="none" w:sz="0" w:space="0" w:color="auto"/>
            <w:right w:val="none" w:sz="0" w:space="0" w:color="auto"/>
          </w:divBdr>
        </w:div>
        <w:div w:id="2002272641">
          <w:marLeft w:val="360"/>
          <w:marRight w:val="0"/>
          <w:marTop w:val="120"/>
          <w:marBottom w:val="120"/>
          <w:divBdr>
            <w:top w:val="none" w:sz="0" w:space="0" w:color="auto"/>
            <w:left w:val="none" w:sz="0" w:space="0" w:color="auto"/>
            <w:bottom w:val="none" w:sz="0" w:space="0" w:color="auto"/>
            <w:right w:val="none" w:sz="0" w:space="0" w:color="auto"/>
          </w:divBdr>
        </w:div>
      </w:divsChild>
    </w:div>
    <w:div w:id="540437952">
      <w:bodyDiv w:val="1"/>
      <w:marLeft w:val="0"/>
      <w:marRight w:val="0"/>
      <w:marTop w:val="0"/>
      <w:marBottom w:val="0"/>
      <w:divBdr>
        <w:top w:val="none" w:sz="0" w:space="0" w:color="auto"/>
        <w:left w:val="none" w:sz="0" w:space="0" w:color="auto"/>
        <w:bottom w:val="none" w:sz="0" w:space="0" w:color="auto"/>
        <w:right w:val="none" w:sz="0" w:space="0" w:color="auto"/>
      </w:divBdr>
    </w:div>
    <w:div w:id="694619287">
      <w:bodyDiv w:val="1"/>
      <w:marLeft w:val="0"/>
      <w:marRight w:val="0"/>
      <w:marTop w:val="0"/>
      <w:marBottom w:val="0"/>
      <w:divBdr>
        <w:top w:val="none" w:sz="0" w:space="0" w:color="auto"/>
        <w:left w:val="none" w:sz="0" w:space="0" w:color="auto"/>
        <w:bottom w:val="none" w:sz="0" w:space="0" w:color="auto"/>
        <w:right w:val="none" w:sz="0" w:space="0" w:color="auto"/>
      </w:divBdr>
      <w:divsChild>
        <w:div w:id="468596983">
          <w:marLeft w:val="360"/>
          <w:marRight w:val="0"/>
          <w:marTop w:val="120"/>
          <w:marBottom w:val="120"/>
          <w:divBdr>
            <w:top w:val="none" w:sz="0" w:space="0" w:color="auto"/>
            <w:left w:val="none" w:sz="0" w:space="0" w:color="auto"/>
            <w:bottom w:val="none" w:sz="0" w:space="0" w:color="auto"/>
            <w:right w:val="none" w:sz="0" w:space="0" w:color="auto"/>
          </w:divBdr>
        </w:div>
        <w:div w:id="1459378534">
          <w:marLeft w:val="360"/>
          <w:marRight w:val="0"/>
          <w:marTop w:val="120"/>
          <w:marBottom w:val="120"/>
          <w:divBdr>
            <w:top w:val="none" w:sz="0" w:space="0" w:color="auto"/>
            <w:left w:val="none" w:sz="0" w:space="0" w:color="auto"/>
            <w:bottom w:val="none" w:sz="0" w:space="0" w:color="auto"/>
            <w:right w:val="none" w:sz="0" w:space="0" w:color="auto"/>
          </w:divBdr>
        </w:div>
        <w:div w:id="241917156">
          <w:marLeft w:val="360"/>
          <w:marRight w:val="0"/>
          <w:marTop w:val="120"/>
          <w:marBottom w:val="120"/>
          <w:divBdr>
            <w:top w:val="none" w:sz="0" w:space="0" w:color="auto"/>
            <w:left w:val="none" w:sz="0" w:space="0" w:color="auto"/>
            <w:bottom w:val="none" w:sz="0" w:space="0" w:color="auto"/>
            <w:right w:val="none" w:sz="0" w:space="0" w:color="auto"/>
          </w:divBdr>
        </w:div>
      </w:divsChild>
    </w:div>
    <w:div w:id="803547821">
      <w:bodyDiv w:val="1"/>
      <w:marLeft w:val="0"/>
      <w:marRight w:val="0"/>
      <w:marTop w:val="0"/>
      <w:marBottom w:val="0"/>
      <w:divBdr>
        <w:top w:val="none" w:sz="0" w:space="0" w:color="auto"/>
        <w:left w:val="none" w:sz="0" w:space="0" w:color="auto"/>
        <w:bottom w:val="none" w:sz="0" w:space="0" w:color="auto"/>
        <w:right w:val="none" w:sz="0" w:space="0" w:color="auto"/>
      </w:divBdr>
    </w:div>
    <w:div w:id="863327493">
      <w:bodyDiv w:val="1"/>
      <w:marLeft w:val="0"/>
      <w:marRight w:val="0"/>
      <w:marTop w:val="0"/>
      <w:marBottom w:val="0"/>
      <w:divBdr>
        <w:top w:val="none" w:sz="0" w:space="0" w:color="auto"/>
        <w:left w:val="none" w:sz="0" w:space="0" w:color="auto"/>
        <w:bottom w:val="none" w:sz="0" w:space="0" w:color="auto"/>
        <w:right w:val="none" w:sz="0" w:space="0" w:color="auto"/>
      </w:divBdr>
    </w:div>
    <w:div w:id="917523489">
      <w:bodyDiv w:val="1"/>
      <w:marLeft w:val="0"/>
      <w:marRight w:val="0"/>
      <w:marTop w:val="0"/>
      <w:marBottom w:val="0"/>
      <w:divBdr>
        <w:top w:val="none" w:sz="0" w:space="0" w:color="auto"/>
        <w:left w:val="none" w:sz="0" w:space="0" w:color="auto"/>
        <w:bottom w:val="none" w:sz="0" w:space="0" w:color="auto"/>
        <w:right w:val="none" w:sz="0" w:space="0" w:color="auto"/>
      </w:divBdr>
    </w:div>
    <w:div w:id="937370373">
      <w:bodyDiv w:val="1"/>
      <w:marLeft w:val="0"/>
      <w:marRight w:val="0"/>
      <w:marTop w:val="0"/>
      <w:marBottom w:val="0"/>
      <w:divBdr>
        <w:top w:val="none" w:sz="0" w:space="0" w:color="auto"/>
        <w:left w:val="none" w:sz="0" w:space="0" w:color="auto"/>
        <w:bottom w:val="none" w:sz="0" w:space="0" w:color="auto"/>
        <w:right w:val="none" w:sz="0" w:space="0" w:color="auto"/>
      </w:divBdr>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136027059">
      <w:bodyDiv w:val="1"/>
      <w:marLeft w:val="0"/>
      <w:marRight w:val="0"/>
      <w:marTop w:val="0"/>
      <w:marBottom w:val="0"/>
      <w:divBdr>
        <w:top w:val="none" w:sz="0" w:space="0" w:color="auto"/>
        <w:left w:val="none" w:sz="0" w:space="0" w:color="auto"/>
        <w:bottom w:val="none" w:sz="0" w:space="0" w:color="auto"/>
        <w:right w:val="none" w:sz="0" w:space="0" w:color="auto"/>
      </w:divBdr>
    </w:div>
    <w:div w:id="1422603160">
      <w:bodyDiv w:val="1"/>
      <w:marLeft w:val="0"/>
      <w:marRight w:val="0"/>
      <w:marTop w:val="0"/>
      <w:marBottom w:val="0"/>
      <w:divBdr>
        <w:top w:val="none" w:sz="0" w:space="0" w:color="auto"/>
        <w:left w:val="none" w:sz="0" w:space="0" w:color="auto"/>
        <w:bottom w:val="none" w:sz="0" w:space="0" w:color="auto"/>
        <w:right w:val="none" w:sz="0" w:space="0" w:color="auto"/>
      </w:divBdr>
    </w:div>
    <w:div w:id="1439063441">
      <w:bodyDiv w:val="1"/>
      <w:marLeft w:val="0"/>
      <w:marRight w:val="0"/>
      <w:marTop w:val="0"/>
      <w:marBottom w:val="0"/>
      <w:divBdr>
        <w:top w:val="none" w:sz="0" w:space="0" w:color="auto"/>
        <w:left w:val="none" w:sz="0" w:space="0" w:color="auto"/>
        <w:bottom w:val="none" w:sz="0" w:space="0" w:color="auto"/>
        <w:right w:val="none" w:sz="0" w:space="0" w:color="auto"/>
      </w:divBdr>
    </w:div>
    <w:div w:id="1461534661">
      <w:bodyDiv w:val="1"/>
      <w:marLeft w:val="0"/>
      <w:marRight w:val="0"/>
      <w:marTop w:val="0"/>
      <w:marBottom w:val="0"/>
      <w:divBdr>
        <w:top w:val="none" w:sz="0" w:space="0" w:color="auto"/>
        <w:left w:val="none" w:sz="0" w:space="0" w:color="auto"/>
        <w:bottom w:val="none" w:sz="0" w:space="0" w:color="auto"/>
        <w:right w:val="none" w:sz="0" w:space="0" w:color="auto"/>
      </w:divBdr>
    </w:div>
    <w:div w:id="1501189896">
      <w:bodyDiv w:val="1"/>
      <w:marLeft w:val="0"/>
      <w:marRight w:val="0"/>
      <w:marTop w:val="0"/>
      <w:marBottom w:val="0"/>
      <w:divBdr>
        <w:top w:val="none" w:sz="0" w:space="0" w:color="auto"/>
        <w:left w:val="none" w:sz="0" w:space="0" w:color="auto"/>
        <w:bottom w:val="none" w:sz="0" w:space="0" w:color="auto"/>
        <w:right w:val="none" w:sz="0" w:space="0" w:color="auto"/>
      </w:divBdr>
    </w:div>
    <w:div w:id="1611426220">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1801072375">
      <w:bodyDiv w:val="1"/>
      <w:marLeft w:val="0"/>
      <w:marRight w:val="0"/>
      <w:marTop w:val="0"/>
      <w:marBottom w:val="0"/>
      <w:divBdr>
        <w:top w:val="none" w:sz="0" w:space="0" w:color="auto"/>
        <w:left w:val="none" w:sz="0" w:space="0" w:color="auto"/>
        <w:bottom w:val="none" w:sz="0" w:space="0" w:color="auto"/>
        <w:right w:val="none" w:sz="0" w:space="0" w:color="auto"/>
      </w:divBdr>
    </w:div>
    <w:div w:id="1836529095">
      <w:bodyDiv w:val="1"/>
      <w:marLeft w:val="0"/>
      <w:marRight w:val="0"/>
      <w:marTop w:val="0"/>
      <w:marBottom w:val="0"/>
      <w:divBdr>
        <w:top w:val="none" w:sz="0" w:space="0" w:color="auto"/>
        <w:left w:val="none" w:sz="0" w:space="0" w:color="auto"/>
        <w:bottom w:val="none" w:sz="0" w:space="0" w:color="auto"/>
        <w:right w:val="none" w:sz="0" w:space="0" w:color="auto"/>
      </w:divBdr>
    </w:div>
    <w:div w:id="1899054828">
      <w:bodyDiv w:val="1"/>
      <w:marLeft w:val="0"/>
      <w:marRight w:val="0"/>
      <w:marTop w:val="0"/>
      <w:marBottom w:val="0"/>
      <w:divBdr>
        <w:top w:val="none" w:sz="0" w:space="0" w:color="auto"/>
        <w:left w:val="none" w:sz="0" w:space="0" w:color="auto"/>
        <w:bottom w:val="none" w:sz="0" w:space="0" w:color="auto"/>
        <w:right w:val="none" w:sz="0" w:space="0" w:color="auto"/>
      </w:divBdr>
    </w:div>
    <w:div w:id="1982692475">
      <w:bodyDiv w:val="1"/>
      <w:marLeft w:val="0"/>
      <w:marRight w:val="0"/>
      <w:marTop w:val="0"/>
      <w:marBottom w:val="0"/>
      <w:divBdr>
        <w:top w:val="none" w:sz="0" w:space="0" w:color="auto"/>
        <w:left w:val="none" w:sz="0" w:space="0" w:color="auto"/>
        <w:bottom w:val="none" w:sz="0" w:space="0" w:color="auto"/>
        <w:right w:val="none" w:sz="0" w:space="0" w:color="auto"/>
      </w:divBdr>
    </w:div>
    <w:div w:id="2001813306">
      <w:bodyDiv w:val="1"/>
      <w:marLeft w:val="0"/>
      <w:marRight w:val="0"/>
      <w:marTop w:val="0"/>
      <w:marBottom w:val="0"/>
      <w:divBdr>
        <w:top w:val="none" w:sz="0" w:space="0" w:color="auto"/>
        <w:left w:val="none" w:sz="0" w:space="0" w:color="auto"/>
        <w:bottom w:val="none" w:sz="0" w:space="0" w:color="auto"/>
        <w:right w:val="none" w:sz="0" w:space="0" w:color="auto"/>
      </w:divBdr>
    </w:div>
    <w:div w:id="2030183697">
      <w:bodyDiv w:val="1"/>
      <w:marLeft w:val="0"/>
      <w:marRight w:val="0"/>
      <w:marTop w:val="0"/>
      <w:marBottom w:val="0"/>
      <w:divBdr>
        <w:top w:val="none" w:sz="0" w:space="0" w:color="auto"/>
        <w:left w:val="none" w:sz="0" w:space="0" w:color="auto"/>
        <w:bottom w:val="none" w:sz="0" w:space="0" w:color="auto"/>
        <w:right w:val="none" w:sz="0" w:space="0" w:color="auto"/>
      </w:divBdr>
    </w:div>
    <w:div w:id="20666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usiness.gov.au/grants-and-programs/prime-ministers-prizes-for-scien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protected.ind\Apps\APPS01\M365\Workgroup%20Templates\Departmental\DISR-document.dotx" TargetMode="External"/></Relationships>
</file>

<file path=word/theme/theme1.xml><?xml version="1.0" encoding="utf-8"?>
<a:theme xmlns:a="http://schemas.openxmlformats.org/drawingml/2006/main" name="Office Theme">
  <a:themeElements>
    <a:clrScheme name="DISR">
      <a:dk1>
        <a:sysClr val="windowText" lastClr="000000"/>
      </a:dk1>
      <a:lt1>
        <a:sysClr val="window" lastClr="FFFFFF"/>
      </a:lt1>
      <a:dk2>
        <a:srgbClr val="001B35"/>
      </a:dk2>
      <a:lt2>
        <a:srgbClr val="CE5958"/>
      </a:lt2>
      <a:accent1>
        <a:srgbClr val="0766A5"/>
      </a:accent1>
      <a:accent2>
        <a:srgbClr val="960000"/>
      </a:accent2>
      <a:accent3>
        <a:srgbClr val="4999E1"/>
      </a:accent3>
      <a:accent4>
        <a:srgbClr val="0B474D"/>
      </a:accent4>
      <a:accent5>
        <a:srgbClr val="706E6E"/>
      </a:accent5>
      <a:accent6>
        <a:srgbClr val="61008E"/>
      </a:accent6>
      <a:hlink>
        <a:srgbClr val="0766A5"/>
      </a:hlink>
      <a:folHlink>
        <a:srgbClr val="001B35"/>
      </a:folHlink>
    </a:clrScheme>
    <a:fontScheme name="DISR Aptos 2023 v2">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3C5812BCDC6A4681380E4539A86554" ma:contentTypeVersion="15" ma:contentTypeDescription="Create a new document." ma:contentTypeScope="" ma:versionID="0143e742c89a8559e919f8caaca87e8c">
  <xsd:schema xmlns:xsd="http://www.w3.org/2001/XMLSchema" xmlns:xs="http://www.w3.org/2001/XMLSchema" xmlns:p="http://schemas.microsoft.com/office/2006/metadata/properties" xmlns:ns1="http://schemas.microsoft.com/sharepoint/v3" xmlns:ns2="e2671d4d-4313-4512-9bbc-75f7c2021f4c" xmlns:ns3="8658ef79-f2dc-409d-b542-4499c8e78e58" targetNamespace="http://schemas.microsoft.com/office/2006/metadata/properties" ma:root="true" ma:fieldsID="3d539f866c11d409d2ed96fcd13bcad8" ns1:_="" ns2:_="" ns3:_="">
    <xsd:import namespace="http://schemas.microsoft.com/sharepoint/v3"/>
    <xsd:import namespace="e2671d4d-4313-4512-9bbc-75f7c2021f4c"/>
    <xsd:import namespace="8658ef79-f2dc-409d-b542-4499c8e78e58"/>
    <xsd:element name="properties">
      <xsd:complexType>
        <xsd:sequence>
          <xsd:element name="documentManagement">
            <xsd:complexType>
              <xsd:all>
                <xsd:element ref="ns2:iefdcf40431f4707a64eef0d96660511" minOccurs="0"/>
                <xsd:element ref="ns2:TaxCatchAll" minOccurs="0"/>
                <xsd:element ref="ns2:deee9c7106e44f76a69da70190167283" minOccurs="0"/>
                <xsd:element ref="ns2:a24af7414ceb442db3609634471e66be" minOccurs="0"/>
                <xsd:element ref="ns2:f41ed7ec63184d82a8b3f160291954c5"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iefdcf40431f4707a64eef0d96660511" ma:index="9" ma:taxonomy="true" ma:internalName="iefdcf40431f4707a64eef0d96660511" ma:taxonomyFieldName="Stratus_DocumentType" ma:displayName="Document Type" ma:fieldId="{2efdcf40-431f-4707-a64e-ef0d96660511}"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6e76757-106f-4c10-aa4b-2bc343102ac6}"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deee9c7106e44f76a69da70190167283" ma:index="12" nillable="true" ma:taxonomy="true" ma:internalName="deee9c7106e44f76a69da70190167283" ma:taxonomyFieldName="Stratus_WorkActivity" ma:displayName="Work Activity" ma:fieldId="{deee9c71-06e4-4f76-a69d-a70190167283}"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a24af7414ceb442db3609634471e66be" ma:index="14" ma:taxonomy="true" ma:internalName="a24af7414ceb442db3609634471e66be" ma:taxonomyFieldName="Stratus_SecurityClassification" ma:displayName="Security Classification" ma:fieldId="{a24af741-4ceb-442d-b360-9634471e66be}"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f41ed7ec63184d82a8b3f160291954c5" ma:index="16" nillable="true" ma:taxonomy="true" ma:internalName="f41ed7ec63184d82a8b3f160291954c5" ma:taxonomyFieldName="Stratus_Year" ma:displayName="Year" ma:fieldId="{f41ed7ec-6318-4d82-a8b3-f160291954c5}"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658ef79-f2dc-409d-b542-4499c8e78e5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e2671d4d-4313-4512-9bbc-75f7c2021f4c">
      <Value>146</Value>
      <Value>103</Value>
      <Value>3</Value>
      <Value>51</Value>
    </TaxCatchAll>
    <f41ed7ec63184d82a8b3f160291954c5 xmlns="e2671d4d-4313-4512-9bbc-75f7c2021f4c">
      <Terms xmlns="http://schemas.microsoft.com/office/infopath/2007/PartnerControls">
        <TermInfo xmlns="http://schemas.microsoft.com/office/infopath/2007/PartnerControls">
          <TermName xmlns="http://schemas.microsoft.com/office/infopath/2007/PartnerControls">2025-26</TermName>
          <TermId xmlns="http://schemas.microsoft.com/office/infopath/2007/PartnerControls">d1010ae7-7ca6-4e45-aeac-40bbddd405e2</TermId>
        </TermInfo>
      </Terms>
    </f41ed7ec63184d82a8b3f160291954c5>
    <Stratus_ProgrammeRoundNumber xmlns="e2671d4d-4313-4512-9bbc-75f7c2021f4c" xsi:nil="true"/>
    <iefdcf40431f4707a64eef0d96660511 xmlns="e2671d4d-4313-4512-9bbc-75f7c2021f4c">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0fc12bd6-a420-41d7-b0da-f25914025d16</TermId>
        </TermInfo>
      </Terms>
    </iefdcf40431f4707a64eef0d96660511>
    <deee9c7106e44f76a69da70190167283 xmlns="e2671d4d-4313-4512-9bbc-75f7c2021f4c">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64ea9795-3de8-4e6a-a43e-f38c31c0daae</TermId>
        </TermInfo>
      </Terms>
    </deee9c7106e44f76a69da70190167283>
    <a24af7414ceb442db3609634471e66be xmlns="e2671d4d-4313-4512-9bbc-75f7c2021f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a24af7414ceb442db3609634471e66be>
  </documentManagement>
</p:properties>
</file>

<file path=customXml/itemProps1.xml><?xml version="1.0" encoding="utf-8"?>
<ds:datastoreItem xmlns:ds="http://schemas.openxmlformats.org/officeDocument/2006/customXml" ds:itemID="{5D867D32-8090-4274-8677-95E39B9B5F49}"/>
</file>

<file path=customXml/itemProps2.xml><?xml version="1.0" encoding="utf-8"?>
<ds:datastoreItem xmlns:ds="http://schemas.openxmlformats.org/officeDocument/2006/customXml" ds:itemID="{5218A426-2293-4A07-8069-76989BF31193}">
  <ds:schemaRefs>
    <ds:schemaRef ds:uri="http://schemas.openxmlformats.org/officeDocument/2006/bibliography"/>
  </ds:schemaRefs>
</ds:datastoreItem>
</file>

<file path=customXml/itemProps3.xml><?xml version="1.0" encoding="utf-8"?>
<ds:datastoreItem xmlns:ds="http://schemas.openxmlformats.org/officeDocument/2006/customXml" ds:itemID="{B45AE6EB-A8D4-4D9D-8D6C-A552C96C0E4C}">
  <ds:schemaRefs>
    <ds:schemaRef ds:uri="http://schemas.microsoft.com/sharepoint/v3/contenttype/forms"/>
  </ds:schemaRefs>
</ds:datastoreItem>
</file>

<file path=customXml/itemProps4.xml><?xml version="1.0" encoding="utf-8"?>
<ds:datastoreItem xmlns:ds="http://schemas.openxmlformats.org/officeDocument/2006/customXml" ds:itemID="{297BCF5D-ECED-40B9-848C-61973DAC72C5}">
  <ds:schemaRefs>
    <ds:schemaRef ds:uri="http://schemas.microsoft.com/office/2006/documentManagement/types"/>
    <ds:schemaRef ds:uri="http://purl.org/dc/dcmitype/"/>
    <ds:schemaRef ds:uri="http://schemas.microsoft.com/sharepoint/v3"/>
    <ds:schemaRef ds:uri="e3704947-2cde-41a0-aec2-44db75317d10"/>
    <ds:schemaRef ds:uri="http://purl.org/dc/terms/"/>
    <ds:schemaRef ds:uri="http://schemas.openxmlformats.org/package/2006/metadata/core-properties"/>
    <ds:schemaRef ds:uri="http://schemas.microsoft.com/office/2006/metadata/properties"/>
    <ds:schemaRef ds:uri="http://schemas.microsoft.com/office/infopath/2007/PartnerControls"/>
    <ds:schemaRef ds:uri="a5c7f695-07e4-40bc-95ee-b8992860a3c0"/>
    <ds:schemaRef ds:uri="http://www.w3.org/XML/1998/namespace"/>
    <ds:schemaRef ds:uri="http://purl.org/dc/elements/1.1/"/>
  </ds:schemaRefs>
</ds:datastoreItem>
</file>

<file path=docMetadata/LabelInfo.xml><?xml version="1.0" encoding="utf-8"?>
<clbl:labelList xmlns:clbl="http://schemas.microsoft.com/office/2020/mipLabelMetadata">
  <clbl:label id="{f788632b-1377-4314-aac5-af7281e8e760}"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DISR-document</Template>
  <TotalTime>1</TotalTime>
  <Pages>4</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Heading 1 document name</vt:lpstr>
    </vt:vector>
  </TitlesOfParts>
  <Manager/>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Prime Minister’s Prizes for Science – Principles for Promoting Diversity and Inclusion</dc:title>
  <dc:subject/>
  <cp:keywords/>
  <dc:description/>
  <cp:revision>2</cp:revision>
  <dcterms:created xsi:type="dcterms:W3CDTF">2025-10-02T04:49:00Z</dcterms:created>
  <dcterms:modified xsi:type="dcterms:W3CDTF">2025-10-02T04:49:00Z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0x010100173C5812BCDC6A4681380E4539A86554</vt:lpwstr>
  </property>
  <property fmtid="{D5CDD505-2E9C-101B-9397-08002B2CF9AE}" pid="3" name="MediaServiceImageTags">
    <vt:lpwstr/>
  </property>
  <property fmtid="{D5CDD505-2E9C-101B-9397-08002B2CF9AE}" pid="4" name="ClassificationContentMarkingHeaderShapeIds">
    <vt:lpwstr>6134cecd,6b999868,2052233</vt:lpwstr>
  </property>
  <property fmtid="{D5CDD505-2E9C-101B-9397-08002B2CF9AE}" pid="5" name="ClassificationContentMarkingHeaderFontProps">
    <vt:lpwstr>#c00000,12,Calibri</vt:lpwstr>
  </property>
  <property fmtid="{D5CDD505-2E9C-101B-9397-08002B2CF9AE}" pid="6" name="ClassificationContentMarkingHeaderText">
    <vt:lpwstr>OFFICIAL</vt:lpwstr>
  </property>
  <property fmtid="{D5CDD505-2E9C-101B-9397-08002B2CF9AE}" pid="7" name="ClassificationContentMarkingFooterShapeIds">
    <vt:lpwstr>2062132e,17106c27,7a74d69c</vt:lpwstr>
  </property>
  <property fmtid="{D5CDD505-2E9C-101B-9397-08002B2CF9AE}" pid="8" name="ClassificationContentMarkingFooterFontProps">
    <vt:lpwstr>#c00000,12,Calibri</vt:lpwstr>
  </property>
  <property fmtid="{D5CDD505-2E9C-101B-9397-08002B2CF9AE}" pid="9" name="ClassificationContentMarkingFooterText">
    <vt:lpwstr>OFFICIAL</vt:lpwstr>
  </property>
  <property fmtid="{D5CDD505-2E9C-101B-9397-08002B2CF9AE}" pid="10" name="Stratus_WorkActivity">
    <vt:lpwstr>103;#Documentation|64ea9795-3de8-4e6a-a43e-f38c31c0daae</vt:lpwstr>
  </property>
  <property fmtid="{D5CDD505-2E9C-101B-9397-08002B2CF9AE}" pid="11" name="Stratus_Year">
    <vt:lpwstr>146;#2025-26|d1010ae7-7ca6-4e45-aeac-40bbddd405e2</vt:lpwstr>
  </property>
  <property fmtid="{D5CDD505-2E9C-101B-9397-08002B2CF9AE}" pid="12" name="Stratus_DocumentType">
    <vt:lpwstr>51;#Guide|0fc12bd6-a420-41d7-b0da-f25914025d16</vt:lpwstr>
  </property>
  <property fmtid="{D5CDD505-2E9C-101B-9397-08002B2CF9AE}" pid="13" name="Stratus_SecurityClassification">
    <vt:lpwstr>3;#OFFICIAL|1077e141-03cb-4307-8c0f-d43dc85f509f</vt:lpwstr>
  </property>
  <property fmtid="{D5CDD505-2E9C-101B-9397-08002B2CF9AE}" pid="14" name="Stratus_STEMEngagementProgramNames">
    <vt:lpwstr>294;#Prime Minister's Prizes|2c1bd5d8-7bcf-4cb4-acb3-9ba29b19b82b</vt:lpwstr>
  </property>
  <property fmtid="{D5CDD505-2E9C-101B-9397-08002B2CF9AE}" pid="16" name="docLang">
    <vt:lpwstr>en</vt:lpwstr>
  </property>
</Properties>
</file>