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64A2D" w14:textId="77777777" w:rsidR="00267A44" w:rsidRDefault="00267A44" w:rsidP="00E5684C">
      <w:pPr>
        <w:pStyle w:val="NoSpacing"/>
      </w:pPr>
      <w:bookmarkStart w:id="0" w:name="_GoBack"/>
      <w:bookmarkEnd w:id="0"/>
    </w:p>
    <w:p w14:paraId="59DDAAD1" w14:textId="77777777" w:rsidR="00BD0706" w:rsidRDefault="00267A44" w:rsidP="00BD0706">
      <w:r>
        <w:tab/>
      </w:r>
    </w:p>
    <w:p w14:paraId="6A79B2D4" w14:textId="21878CC3" w:rsidR="00267A44" w:rsidRDefault="00267A44" w:rsidP="00BD0706"/>
    <w:p w14:paraId="24F78816" w14:textId="525DAEA2" w:rsidR="000E41E1" w:rsidRPr="00E5684C" w:rsidRDefault="000E41E1" w:rsidP="000E41E1">
      <w:pPr>
        <w:pStyle w:val="Title"/>
        <w:jc w:val="center"/>
        <w:rPr>
          <w:rFonts w:asciiTheme="minorHAnsi" w:hAnsiTheme="minorHAnsi" w:cstheme="minorHAnsi"/>
          <w:color w:val="212A4C"/>
          <w:sz w:val="52"/>
        </w:rPr>
      </w:pPr>
      <w:r w:rsidRPr="00E5684C">
        <w:rPr>
          <w:rFonts w:asciiTheme="minorHAnsi" w:hAnsiTheme="minorHAnsi" w:cstheme="minorHAnsi"/>
          <w:color w:val="212A4C"/>
          <w:sz w:val="52"/>
        </w:rPr>
        <w:t>R&amp;D Tax Incentive</w:t>
      </w:r>
      <w:r w:rsidRPr="00E5684C">
        <w:rPr>
          <w:rFonts w:asciiTheme="minorHAnsi" w:hAnsiTheme="minorHAnsi" w:cstheme="minorHAnsi"/>
          <w:color w:val="212A4C"/>
          <w:sz w:val="52"/>
        </w:rPr>
        <w:br/>
        <w:t>Roundtable</w:t>
      </w:r>
      <w:r w:rsidR="00267A44" w:rsidRPr="00E5684C">
        <w:rPr>
          <w:rFonts w:asciiTheme="minorHAnsi" w:hAnsiTheme="minorHAnsi" w:cstheme="minorHAnsi"/>
          <w:color w:val="212A4C"/>
          <w:sz w:val="52"/>
        </w:rPr>
        <w:t xml:space="preserve"> Meeting</w:t>
      </w:r>
    </w:p>
    <w:p w14:paraId="2D16379D" w14:textId="77777777" w:rsidR="00670675" w:rsidRPr="00670675" w:rsidRDefault="00670675" w:rsidP="00670675">
      <w:pPr>
        <w:pBdr>
          <w:top w:val="single" w:sz="4" w:space="6" w:color="176CB5"/>
          <w:left w:val="single" w:sz="4" w:space="4" w:color="176CB5"/>
          <w:bottom w:val="single" w:sz="4" w:space="6" w:color="176CB5"/>
          <w:right w:val="single" w:sz="4" w:space="4" w:color="176CB5"/>
        </w:pBdr>
        <w:shd w:val="clear" w:color="auto" w:fill="176CB5"/>
        <w:spacing w:before="160" w:after="0" w:line="280" w:lineRule="atLeast"/>
        <w:ind w:left="113" w:right="113"/>
        <w:jc w:val="center"/>
        <w:rPr>
          <w:rFonts w:ascii="Calibri" w:eastAsia="SimSun" w:hAnsi="Calibri" w:cs="Times New Roman"/>
          <w:b/>
          <w:caps/>
          <w:color w:val="FFFFFF"/>
          <w:lang w:eastAsia="zh-CN"/>
        </w:rPr>
      </w:pPr>
      <w:r w:rsidRPr="00670675">
        <w:rPr>
          <w:rFonts w:ascii="Calibri" w:eastAsia="SimSun" w:hAnsi="Calibri" w:cs="Times New Roman"/>
          <w:b/>
          <w:caps/>
          <w:color w:val="FFFFFF"/>
          <w:lang w:eastAsia="zh-CN"/>
        </w:rPr>
        <w:t>Meeting RECORD</w:t>
      </w:r>
    </w:p>
    <w:tbl>
      <w:tblPr>
        <w:tblStyle w:val="BEPTable1"/>
        <w:tblW w:w="5000" w:type="pct"/>
        <w:tblBorders>
          <w:top w:val="single" w:sz="4" w:space="0" w:color="auto"/>
          <w:bottom w:val="single" w:sz="4" w:space="0" w:color="auto"/>
          <w:insideH w:val="none" w:sz="0" w:space="0" w:color="auto"/>
        </w:tblBorders>
        <w:tblLayout w:type="fixed"/>
        <w:tblLook w:val="0620" w:firstRow="1" w:lastRow="0" w:firstColumn="0" w:lastColumn="0" w:noHBand="1" w:noVBand="1"/>
        <w:tblDescription w:val="Meeting record attendees"/>
      </w:tblPr>
      <w:tblGrid>
        <w:gridCol w:w="2567"/>
        <w:gridCol w:w="6459"/>
      </w:tblGrid>
      <w:tr w:rsidR="00670675" w:rsidRPr="00670675" w14:paraId="792473EA" w14:textId="77777777" w:rsidTr="00E20CD5">
        <w:trPr>
          <w:cnfStyle w:val="100000000000" w:firstRow="1" w:lastRow="0" w:firstColumn="0" w:lastColumn="0" w:oddVBand="0" w:evenVBand="0" w:oddHBand="0" w:evenHBand="0" w:firstRowFirstColumn="0" w:firstRowLastColumn="0" w:lastRowFirstColumn="0" w:lastRowLastColumn="0"/>
          <w:trHeight w:val="113"/>
        </w:trPr>
        <w:tc>
          <w:tcPr>
            <w:tcW w:w="1422" w:type="pct"/>
            <w:tcBorders>
              <w:top w:val="single" w:sz="4" w:space="0" w:color="264F90"/>
              <w:bottom w:val="single" w:sz="4" w:space="0" w:color="264F90"/>
            </w:tcBorders>
          </w:tcPr>
          <w:p w14:paraId="217C93FE" w14:textId="0B748419" w:rsidR="00670675" w:rsidRPr="00775AF7" w:rsidRDefault="00670675" w:rsidP="00670675">
            <w:pPr>
              <w:rPr>
                <w:rFonts w:ascii="Calibri" w:hAnsi="Calibri" w:cs="Times New Roman"/>
              </w:rPr>
            </w:pPr>
            <w:r w:rsidRPr="00775AF7">
              <w:rPr>
                <w:rFonts w:ascii="Calibri" w:hAnsi="Calibri" w:cs="Times New Roman"/>
              </w:rPr>
              <w:t>Meeting Date</w:t>
            </w:r>
          </w:p>
        </w:tc>
        <w:tc>
          <w:tcPr>
            <w:tcW w:w="3578" w:type="pct"/>
            <w:tcBorders>
              <w:top w:val="single" w:sz="4" w:space="0" w:color="264F90"/>
              <w:bottom w:val="single" w:sz="4" w:space="0" w:color="264F90"/>
            </w:tcBorders>
            <w:vAlign w:val="center"/>
          </w:tcPr>
          <w:p w14:paraId="4346407A" w14:textId="31C10BC0" w:rsidR="00670675" w:rsidRPr="00670675" w:rsidRDefault="00670675" w:rsidP="00E20CD5">
            <w:pPr>
              <w:contextualSpacing/>
              <w:rPr>
                <w:rFonts w:ascii="Calibri" w:hAnsi="Calibri" w:cs="Times New Roman"/>
              </w:rPr>
            </w:pPr>
            <w:r w:rsidRPr="00670675">
              <w:rPr>
                <w:rFonts w:ascii="Calibri" w:hAnsi="Calibri" w:cs="Times New Roman"/>
              </w:rPr>
              <w:t>1</w:t>
            </w:r>
            <w:r>
              <w:rPr>
                <w:rFonts w:ascii="Calibri" w:hAnsi="Calibri" w:cs="Times New Roman"/>
              </w:rPr>
              <w:t xml:space="preserve"> September</w:t>
            </w:r>
            <w:r w:rsidRPr="00670675">
              <w:rPr>
                <w:rFonts w:ascii="Calibri" w:hAnsi="Calibri" w:cs="Times New Roman"/>
              </w:rPr>
              <w:t xml:space="preserve"> 2022</w:t>
            </w:r>
          </w:p>
        </w:tc>
      </w:tr>
      <w:tr w:rsidR="00670675" w:rsidRPr="00670675" w14:paraId="02074E55" w14:textId="77777777" w:rsidTr="00E20CD5">
        <w:trPr>
          <w:trHeight w:val="113"/>
        </w:trPr>
        <w:tc>
          <w:tcPr>
            <w:tcW w:w="1422" w:type="pct"/>
            <w:tcBorders>
              <w:top w:val="single" w:sz="4" w:space="0" w:color="264F90"/>
              <w:bottom w:val="single" w:sz="4" w:space="0" w:color="264F90"/>
              <w:right w:val="nil"/>
            </w:tcBorders>
            <w:vAlign w:val="center"/>
          </w:tcPr>
          <w:p w14:paraId="067FD1EC" w14:textId="0166957B" w:rsidR="00670675" w:rsidRPr="00670675" w:rsidRDefault="00670675" w:rsidP="00E20CD5">
            <w:pPr>
              <w:rPr>
                <w:rFonts w:ascii="Calibri" w:hAnsi="Calibri" w:cs="Times New Roman"/>
                <w:b/>
              </w:rPr>
            </w:pPr>
            <w:r w:rsidRPr="00670675">
              <w:rPr>
                <w:rFonts w:ascii="Calibri" w:hAnsi="Calibri" w:cs="Times New Roman"/>
                <w:b/>
              </w:rPr>
              <w:t>Time</w:t>
            </w:r>
          </w:p>
        </w:tc>
        <w:tc>
          <w:tcPr>
            <w:tcW w:w="3578" w:type="pct"/>
            <w:tcBorders>
              <w:top w:val="single" w:sz="4" w:space="0" w:color="264F90"/>
              <w:left w:val="nil"/>
              <w:bottom w:val="single" w:sz="4" w:space="0" w:color="264F90"/>
            </w:tcBorders>
            <w:vAlign w:val="center"/>
          </w:tcPr>
          <w:p w14:paraId="70A4EC3A" w14:textId="578149C0" w:rsidR="00670675" w:rsidRPr="00670675" w:rsidRDefault="00670675" w:rsidP="00E20CD5">
            <w:pPr>
              <w:contextualSpacing/>
              <w:rPr>
                <w:rFonts w:ascii="Calibri" w:hAnsi="Calibri" w:cs="Times New Roman"/>
              </w:rPr>
            </w:pPr>
            <w:r w:rsidRPr="00670675">
              <w:rPr>
                <w:rFonts w:ascii="Calibri" w:hAnsi="Calibri" w:cs="Times New Roman"/>
              </w:rPr>
              <w:t>1</w:t>
            </w:r>
            <w:r>
              <w:rPr>
                <w:rFonts w:ascii="Calibri" w:hAnsi="Calibri" w:cs="Times New Roman"/>
              </w:rPr>
              <w:t>1</w:t>
            </w:r>
            <w:r w:rsidRPr="00670675">
              <w:rPr>
                <w:rFonts w:ascii="Calibri" w:hAnsi="Calibri" w:cs="Times New Roman"/>
              </w:rPr>
              <w:t>:00</w:t>
            </w:r>
            <w:r>
              <w:rPr>
                <w:rFonts w:ascii="Calibri" w:hAnsi="Calibri" w:cs="Times New Roman"/>
              </w:rPr>
              <w:t>a</w:t>
            </w:r>
            <w:r w:rsidRPr="00670675">
              <w:rPr>
                <w:rFonts w:ascii="Calibri" w:hAnsi="Calibri" w:cs="Times New Roman"/>
              </w:rPr>
              <w:t xml:space="preserve">m – </w:t>
            </w:r>
            <w:r>
              <w:rPr>
                <w:rFonts w:ascii="Calibri" w:hAnsi="Calibri" w:cs="Times New Roman"/>
              </w:rPr>
              <w:t>1</w:t>
            </w:r>
            <w:r w:rsidRPr="00670675">
              <w:rPr>
                <w:rFonts w:ascii="Calibri" w:hAnsi="Calibri" w:cs="Times New Roman"/>
              </w:rPr>
              <w:t>:00pm AE</w:t>
            </w:r>
            <w:r w:rsidR="00E113DC">
              <w:rPr>
                <w:rFonts w:ascii="Calibri" w:hAnsi="Calibri" w:cs="Times New Roman"/>
              </w:rPr>
              <w:t>S</w:t>
            </w:r>
            <w:r w:rsidRPr="00670675">
              <w:rPr>
                <w:rFonts w:ascii="Calibri" w:hAnsi="Calibri" w:cs="Times New Roman"/>
              </w:rPr>
              <w:t>T</w:t>
            </w:r>
          </w:p>
        </w:tc>
      </w:tr>
      <w:tr w:rsidR="00670675" w:rsidRPr="00670675" w14:paraId="79AE3405" w14:textId="77777777" w:rsidTr="00670675">
        <w:trPr>
          <w:trHeight w:val="113"/>
        </w:trPr>
        <w:tc>
          <w:tcPr>
            <w:tcW w:w="1422" w:type="pct"/>
            <w:tcBorders>
              <w:top w:val="single" w:sz="4" w:space="0" w:color="264F90"/>
              <w:bottom w:val="single" w:sz="4" w:space="0" w:color="264F90"/>
            </w:tcBorders>
          </w:tcPr>
          <w:p w14:paraId="6D54BDA9" w14:textId="15F74231" w:rsidR="00670675" w:rsidRPr="00670675" w:rsidRDefault="00670675">
            <w:pPr>
              <w:rPr>
                <w:rFonts w:ascii="Calibri" w:hAnsi="Calibri" w:cs="Times New Roman"/>
                <w:b/>
              </w:rPr>
            </w:pPr>
            <w:r w:rsidRPr="00670675">
              <w:rPr>
                <w:rFonts w:ascii="Calibri" w:hAnsi="Calibri" w:cs="Times New Roman"/>
                <w:b/>
              </w:rPr>
              <w:t>Co-Chairs</w:t>
            </w:r>
          </w:p>
        </w:tc>
        <w:tc>
          <w:tcPr>
            <w:tcW w:w="3578" w:type="pct"/>
            <w:tcBorders>
              <w:top w:val="single" w:sz="4" w:space="0" w:color="264F90"/>
              <w:bottom w:val="single" w:sz="4" w:space="0" w:color="264F90"/>
            </w:tcBorders>
          </w:tcPr>
          <w:p w14:paraId="7C4B3301" w14:textId="77777777" w:rsidR="00775AF7" w:rsidRDefault="00775AF7" w:rsidP="00E5684C">
            <w:r>
              <w:t>Tara Oliver</w:t>
            </w:r>
            <w:r w:rsidRPr="00670675">
              <w:t xml:space="preserve">, </w:t>
            </w:r>
            <w:r>
              <w:t xml:space="preserve">General </w:t>
            </w:r>
            <w:r w:rsidRPr="00670675">
              <w:t>Manager, R&amp;D Tax Incentive Branch, AusIndustry</w:t>
            </w:r>
            <w:r>
              <w:t>,</w:t>
            </w:r>
            <w:r>
              <w:br/>
            </w:r>
            <w:r w:rsidRPr="00670675">
              <w:t>Department of Industry, Science and Resources (DISR)</w:t>
            </w:r>
          </w:p>
          <w:p w14:paraId="10D29516" w14:textId="7499F1A9" w:rsidR="00670675" w:rsidRPr="00670675" w:rsidRDefault="00670675" w:rsidP="00E5684C">
            <w:r>
              <w:t>Glenn Cooper</w:t>
            </w:r>
            <w:r w:rsidRPr="00670675">
              <w:t xml:space="preserve">, </w:t>
            </w:r>
            <w:r w:rsidR="00BD055A">
              <w:t xml:space="preserve">Ag </w:t>
            </w:r>
            <w:r w:rsidRPr="00670675">
              <w:t xml:space="preserve">Assistant Commissioner, </w:t>
            </w:r>
            <w:r w:rsidR="00FF639B">
              <w:t>Australian Taxation Office (</w:t>
            </w:r>
            <w:r w:rsidRPr="00670675">
              <w:t>ATO</w:t>
            </w:r>
            <w:r w:rsidR="00FF639B">
              <w:t>)</w:t>
            </w:r>
          </w:p>
        </w:tc>
      </w:tr>
      <w:tr w:rsidR="00670675" w:rsidRPr="00670675" w14:paraId="3AD4DA6E" w14:textId="77777777" w:rsidTr="00670675">
        <w:trPr>
          <w:trHeight w:val="113"/>
        </w:trPr>
        <w:tc>
          <w:tcPr>
            <w:tcW w:w="1422" w:type="pct"/>
            <w:tcBorders>
              <w:top w:val="single" w:sz="4" w:space="0" w:color="264F90"/>
              <w:bottom w:val="single" w:sz="4" w:space="0" w:color="264F90"/>
            </w:tcBorders>
          </w:tcPr>
          <w:p w14:paraId="2B0EAB83" w14:textId="2345C4B1" w:rsidR="00670675" w:rsidRPr="00670675" w:rsidRDefault="00670675" w:rsidP="00670675">
            <w:pPr>
              <w:rPr>
                <w:rFonts w:ascii="Calibri" w:hAnsi="Calibri" w:cs="Times New Roman"/>
                <w:b/>
              </w:rPr>
            </w:pPr>
            <w:r w:rsidRPr="00670675">
              <w:rPr>
                <w:rFonts w:ascii="Calibri" w:hAnsi="Calibri" w:cs="Times New Roman"/>
                <w:b/>
              </w:rPr>
              <w:t>Attendees</w:t>
            </w:r>
          </w:p>
        </w:tc>
        <w:tc>
          <w:tcPr>
            <w:tcW w:w="3578" w:type="pct"/>
            <w:tcBorders>
              <w:top w:val="single" w:sz="4" w:space="0" w:color="264F90"/>
              <w:bottom w:val="single" w:sz="4" w:space="0" w:color="264F90"/>
            </w:tcBorders>
          </w:tcPr>
          <w:p w14:paraId="01AF3DBB" w14:textId="77777777" w:rsidR="005A2419" w:rsidRDefault="005A2419" w:rsidP="00E5684C">
            <w:r>
              <w:t>Damien Smyth (Swanson Reed)</w:t>
            </w:r>
          </w:p>
          <w:p w14:paraId="3ADFD034" w14:textId="77777777" w:rsidR="005A2419" w:rsidRDefault="005A2419" w:rsidP="00E5684C">
            <w:r>
              <w:t>Dean Birch (Nexia Perth)</w:t>
            </w:r>
          </w:p>
          <w:p w14:paraId="3743273F" w14:textId="77777777" w:rsidR="005A2419" w:rsidRDefault="005A2419" w:rsidP="00E5684C">
            <w:r>
              <w:t>Donna Bagnall (Chartered Accountants Australia and New Zealand)</w:t>
            </w:r>
          </w:p>
          <w:p w14:paraId="264569E4" w14:textId="77777777" w:rsidR="005A2419" w:rsidRDefault="005A2419" w:rsidP="00E5684C">
            <w:r>
              <w:t>Emma Westaway (Boeing)</w:t>
            </w:r>
          </w:p>
          <w:p w14:paraId="4FFC06AD" w14:textId="77777777" w:rsidR="005A2419" w:rsidRDefault="005A2419" w:rsidP="00E5684C">
            <w:r>
              <w:t>Gregg Pratt (Deloitte)</w:t>
            </w:r>
          </w:p>
          <w:p w14:paraId="1298F331" w14:textId="77777777" w:rsidR="005A2419" w:rsidRDefault="005A2419" w:rsidP="00E5684C">
            <w:r>
              <w:t>John Warmington (Technology Incentive Services)</w:t>
            </w:r>
          </w:p>
          <w:p w14:paraId="10B65833" w14:textId="77777777" w:rsidR="005A2419" w:rsidRPr="00670675" w:rsidRDefault="005A2419" w:rsidP="00E5684C">
            <w:r>
              <w:t>Leigh Conlan (CPA Australia)</w:t>
            </w:r>
          </w:p>
          <w:p w14:paraId="3E625540" w14:textId="77777777" w:rsidR="005A2419" w:rsidRDefault="005A2419" w:rsidP="00E5684C">
            <w:r>
              <w:t>Liz Eedle (Universities Australia)</w:t>
            </w:r>
          </w:p>
          <w:p w14:paraId="5D6D3EFB" w14:textId="77777777" w:rsidR="005A2419" w:rsidRDefault="005A2419" w:rsidP="00E5684C">
            <w:r>
              <w:t>Mabel Liang (Australian Meat Processor Corporation)</w:t>
            </w:r>
          </w:p>
          <w:p w14:paraId="43160F01" w14:textId="77777777" w:rsidR="005A2419" w:rsidRDefault="005A2419" w:rsidP="00E5684C">
            <w:r>
              <w:t>Matthew Brown (Group of Eight)</w:t>
            </w:r>
          </w:p>
          <w:p w14:paraId="2E8820D7" w14:textId="058DBA3A" w:rsidR="005A2419" w:rsidRDefault="005A2419" w:rsidP="00E5684C">
            <w:r>
              <w:t>Mugun Athirajan (Insight Advisory Group)</w:t>
            </w:r>
          </w:p>
          <w:p w14:paraId="404A81D0" w14:textId="77777777" w:rsidR="005A2419" w:rsidRDefault="005A2419" w:rsidP="00E5684C">
            <w:r>
              <w:t>Oscar Stranz (Evolv3)</w:t>
            </w:r>
          </w:p>
          <w:p w14:paraId="0562EA59" w14:textId="77777777" w:rsidR="005A2419" w:rsidRDefault="005A2419" w:rsidP="00E5684C">
            <w:r>
              <w:t>Patrick Korbel (Australian Technology Network)</w:t>
            </w:r>
          </w:p>
          <w:p w14:paraId="3EC50D62" w14:textId="77777777" w:rsidR="005A2419" w:rsidRDefault="005A2419" w:rsidP="00E5684C">
            <w:r>
              <w:t>Rebecca Roberts (Cochlear)</w:t>
            </w:r>
          </w:p>
          <w:p w14:paraId="292DEE9B" w14:textId="0E3BA2C1" w:rsidR="005A2419" w:rsidRDefault="005A2419" w:rsidP="00E5684C">
            <w:r>
              <w:t>Robert Krigsman (Krigsman Partners)</w:t>
            </w:r>
          </w:p>
          <w:p w14:paraId="289F3328" w14:textId="77777777" w:rsidR="005A2419" w:rsidRDefault="005A2419" w:rsidP="00E5684C">
            <w:r>
              <w:t>Robyn Tolhurst (Australian Investment Council and Technology Council of Australia)</w:t>
            </w:r>
          </w:p>
          <w:p w14:paraId="7E7A551A" w14:textId="77777777" w:rsidR="005A2419" w:rsidRDefault="005A2419" w:rsidP="00E5684C">
            <w:r>
              <w:t>Ron Gauci (Australian Information Industry Association)</w:t>
            </w:r>
          </w:p>
          <w:p w14:paraId="361FC2E7" w14:textId="77777777" w:rsidR="005A2419" w:rsidRDefault="005A2419" w:rsidP="00E5684C">
            <w:r>
              <w:t>Ross Lyons (Minerals Council of Australia)</w:t>
            </w:r>
          </w:p>
          <w:p w14:paraId="7B84E684" w14:textId="77777777" w:rsidR="005A2419" w:rsidRDefault="005A2419" w:rsidP="00E5684C">
            <w:r>
              <w:t>Sarah Lander (Michael Johnson Associates)</w:t>
            </w:r>
          </w:p>
          <w:p w14:paraId="0E42FC47" w14:textId="60DA7B7F" w:rsidR="000E41E1" w:rsidRPr="00670675" w:rsidRDefault="005A2419" w:rsidP="00E5684C">
            <w:r>
              <w:t>Sophia Varelas (PwC)</w:t>
            </w:r>
          </w:p>
        </w:tc>
      </w:tr>
      <w:tr w:rsidR="00670675" w:rsidRPr="00670675" w14:paraId="15069875" w14:textId="77777777" w:rsidTr="00670675">
        <w:trPr>
          <w:trHeight w:val="113"/>
        </w:trPr>
        <w:tc>
          <w:tcPr>
            <w:tcW w:w="1422" w:type="pct"/>
            <w:tcBorders>
              <w:top w:val="single" w:sz="4" w:space="0" w:color="264F90"/>
              <w:bottom w:val="single" w:sz="4" w:space="0" w:color="264F90"/>
            </w:tcBorders>
          </w:tcPr>
          <w:p w14:paraId="12CC8601" w14:textId="642E4C6F" w:rsidR="00670675" w:rsidRPr="00670675" w:rsidRDefault="00FF639B" w:rsidP="008C60DA">
            <w:pPr>
              <w:rPr>
                <w:rFonts w:ascii="Calibri" w:hAnsi="Calibri" w:cs="Times New Roman"/>
              </w:rPr>
            </w:pPr>
            <w:r>
              <w:rPr>
                <w:rFonts w:ascii="Calibri" w:hAnsi="Calibri" w:cs="Times New Roman"/>
                <w:b/>
              </w:rPr>
              <w:t>Observers</w:t>
            </w:r>
          </w:p>
        </w:tc>
        <w:tc>
          <w:tcPr>
            <w:tcW w:w="3578" w:type="pct"/>
            <w:tcBorders>
              <w:top w:val="single" w:sz="4" w:space="0" w:color="264F90"/>
              <w:bottom w:val="single" w:sz="4" w:space="0" w:color="264F90"/>
            </w:tcBorders>
          </w:tcPr>
          <w:p w14:paraId="2AA462BB" w14:textId="772F24B3" w:rsidR="00670675" w:rsidRDefault="00FF639B" w:rsidP="00670675">
            <w:pPr>
              <w:rPr>
                <w:rFonts w:ascii="Calibri" w:hAnsi="Calibri" w:cs="Times New Roman"/>
              </w:rPr>
            </w:pPr>
            <w:r>
              <w:rPr>
                <w:rFonts w:ascii="Calibri" w:hAnsi="Calibri" w:cs="Times New Roman"/>
              </w:rPr>
              <w:t>Tanya Blight (</w:t>
            </w:r>
            <w:r w:rsidR="000E41E1">
              <w:rPr>
                <w:rFonts w:ascii="Calibri" w:hAnsi="Calibri" w:cs="Times New Roman"/>
              </w:rPr>
              <w:t xml:space="preserve">Executive Director, Office of </w:t>
            </w:r>
            <w:r>
              <w:rPr>
                <w:rFonts w:ascii="Calibri" w:hAnsi="Calibri" w:cs="Times New Roman"/>
              </w:rPr>
              <w:t>Industry</w:t>
            </w:r>
            <w:r w:rsidR="000E41E1">
              <w:rPr>
                <w:rFonts w:ascii="Calibri" w:hAnsi="Calibri" w:cs="Times New Roman"/>
              </w:rPr>
              <w:t>,</w:t>
            </w:r>
            <w:r>
              <w:rPr>
                <w:rFonts w:ascii="Calibri" w:hAnsi="Calibri" w:cs="Times New Roman"/>
              </w:rPr>
              <w:t xml:space="preserve"> Innovation and Science Australia)</w:t>
            </w:r>
          </w:p>
          <w:p w14:paraId="4B3D983F" w14:textId="77F48F5B" w:rsidR="00FF639B" w:rsidRPr="00670675" w:rsidRDefault="00FF639B" w:rsidP="00FF639B">
            <w:pPr>
              <w:rPr>
                <w:rFonts w:ascii="Calibri" w:hAnsi="Calibri" w:cs="Times New Roman"/>
              </w:rPr>
            </w:pPr>
            <w:r>
              <w:rPr>
                <w:rFonts w:ascii="Calibri" w:hAnsi="Calibri" w:cs="Times New Roman"/>
              </w:rPr>
              <w:t>Julie Phillips (</w:t>
            </w:r>
            <w:r w:rsidR="000E41E1">
              <w:rPr>
                <w:rFonts w:ascii="Calibri" w:hAnsi="Calibri" w:cs="Times New Roman"/>
              </w:rPr>
              <w:t xml:space="preserve">Chair, </w:t>
            </w:r>
            <w:r>
              <w:rPr>
                <w:rFonts w:ascii="Calibri" w:hAnsi="Calibri" w:cs="Times New Roman"/>
              </w:rPr>
              <w:t>Research and Development Incentives Committee)</w:t>
            </w:r>
          </w:p>
        </w:tc>
      </w:tr>
      <w:tr w:rsidR="00670675" w:rsidRPr="00670675" w14:paraId="092FF40A" w14:textId="77777777" w:rsidTr="00670675">
        <w:trPr>
          <w:trHeight w:val="113"/>
        </w:trPr>
        <w:tc>
          <w:tcPr>
            <w:tcW w:w="1422" w:type="pct"/>
            <w:tcBorders>
              <w:top w:val="single" w:sz="4" w:space="0" w:color="264F90"/>
              <w:bottom w:val="single" w:sz="4" w:space="0" w:color="264F90"/>
            </w:tcBorders>
          </w:tcPr>
          <w:p w14:paraId="391385BD" w14:textId="7417A71A" w:rsidR="00670675" w:rsidRPr="00670675" w:rsidRDefault="00670675">
            <w:pPr>
              <w:rPr>
                <w:rFonts w:ascii="Calibri" w:hAnsi="Calibri" w:cs="Times New Roman"/>
                <w:b/>
              </w:rPr>
            </w:pPr>
            <w:r w:rsidRPr="00670675">
              <w:rPr>
                <w:rFonts w:ascii="Calibri" w:hAnsi="Calibri" w:cs="Times New Roman"/>
                <w:b/>
              </w:rPr>
              <w:t>Apologies</w:t>
            </w:r>
          </w:p>
        </w:tc>
        <w:tc>
          <w:tcPr>
            <w:tcW w:w="3578" w:type="pct"/>
            <w:tcBorders>
              <w:top w:val="single" w:sz="4" w:space="0" w:color="264F90"/>
              <w:bottom w:val="single" w:sz="4" w:space="0" w:color="264F90"/>
            </w:tcBorders>
          </w:tcPr>
          <w:p w14:paraId="3CFE7735" w14:textId="07DBAF89" w:rsidR="00670675" w:rsidRPr="00670675" w:rsidRDefault="00FF639B" w:rsidP="00670675">
            <w:pPr>
              <w:rPr>
                <w:rFonts w:ascii="Calibri" w:hAnsi="Calibri" w:cs="Times New Roman"/>
              </w:rPr>
            </w:pPr>
            <w:r>
              <w:rPr>
                <w:rFonts w:ascii="Calibri" w:hAnsi="Calibri" w:cs="Times New Roman"/>
              </w:rPr>
              <w:t>Kelly Canavan, Assistant Commissioner, ATO</w:t>
            </w:r>
          </w:p>
        </w:tc>
      </w:tr>
    </w:tbl>
    <w:p w14:paraId="218AF748" w14:textId="77777777" w:rsidR="00AE31B9" w:rsidRDefault="00AE31B9" w:rsidP="00854163">
      <w:pPr>
        <w:sectPr w:rsidR="00AE31B9" w:rsidSect="00854163">
          <w:headerReference w:type="even" r:id="rId11"/>
          <w:footerReference w:type="default" r:id="rId12"/>
          <w:headerReference w:type="first" r:id="rId13"/>
          <w:pgSz w:w="11906" w:h="16838"/>
          <w:pgMar w:top="1440" w:right="1440" w:bottom="1440" w:left="1440" w:header="708" w:footer="708" w:gutter="0"/>
          <w:cols w:space="708"/>
          <w:titlePg/>
          <w:docGrid w:linePitch="360"/>
        </w:sectPr>
      </w:pPr>
    </w:p>
    <w:p w14:paraId="302DA6FC" w14:textId="77777777" w:rsidR="00BD055A" w:rsidRPr="000E41E1" w:rsidRDefault="00BD055A" w:rsidP="00BD055A">
      <w:pPr>
        <w:pBdr>
          <w:top w:val="single" w:sz="4" w:space="6" w:color="176CB5"/>
          <w:left w:val="single" w:sz="4" w:space="4" w:color="176CB5"/>
          <w:bottom w:val="single" w:sz="4" w:space="0" w:color="176CB5"/>
          <w:right w:val="single" w:sz="4" w:space="4" w:color="176CB5"/>
        </w:pBdr>
        <w:shd w:val="clear" w:color="auto" w:fill="176CB5"/>
        <w:spacing w:before="160" w:after="0" w:line="280" w:lineRule="atLeast"/>
        <w:ind w:left="113" w:right="113"/>
        <w:jc w:val="center"/>
        <w:rPr>
          <w:rFonts w:ascii="Calibri" w:eastAsia="SimSun" w:hAnsi="Calibri" w:cs="Times New Roman"/>
          <w:b/>
          <w:caps/>
          <w:color w:val="FFFFFF"/>
          <w:szCs w:val="20"/>
          <w:lang w:eastAsia="zh-CN"/>
        </w:rPr>
      </w:pPr>
      <w:r w:rsidRPr="000E41E1">
        <w:rPr>
          <w:rFonts w:ascii="Calibri" w:eastAsia="SimSun" w:hAnsi="Calibri" w:cs="Times New Roman"/>
          <w:b/>
          <w:caps/>
          <w:color w:val="FFFFFF"/>
          <w:szCs w:val="20"/>
          <w:lang w:eastAsia="zh-CN"/>
        </w:rPr>
        <w:lastRenderedPageBreak/>
        <w:t>AGENDA</w:t>
      </w:r>
    </w:p>
    <w:tbl>
      <w:tblPr>
        <w:tblStyle w:val="BEPTable11"/>
        <w:tblW w:w="5000" w:type="pct"/>
        <w:tblLook w:val="0620" w:firstRow="1" w:lastRow="0" w:firstColumn="0" w:lastColumn="0" w:noHBand="1" w:noVBand="1"/>
        <w:tblDescription w:val="Meeting Agenda"/>
      </w:tblPr>
      <w:tblGrid>
        <w:gridCol w:w="5105"/>
        <w:gridCol w:w="2408"/>
        <w:gridCol w:w="1513"/>
      </w:tblGrid>
      <w:tr w:rsidR="00D11E27" w:rsidRPr="000E41E1" w14:paraId="010936F1" w14:textId="77777777" w:rsidTr="0089762A">
        <w:trPr>
          <w:cnfStyle w:val="100000000000" w:firstRow="1" w:lastRow="0" w:firstColumn="0" w:lastColumn="0" w:oddVBand="0" w:evenVBand="0" w:oddHBand="0" w:evenHBand="0" w:firstRowFirstColumn="0" w:firstRowLastColumn="0" w:lastRowFirstColumn="0" w:lastRowLastColumn="0"/>
          <w:cantSplit/>
          <w:trHeight w:val="113"/>
        </w:trPr>
        <w:tc>
          <w:tcPr>
            <w:tcW w:w="2828" w:type="pct"/>
          </w:tcPr>
          <w:p w14:paraId="7C036B66" w14:textId="77777777" w:rsidR="00D11E27" w:rsidRPr="006B7E20" w:rsidRDefault="00D11E27" w:rsidP="00D11E27">
            <w:pPr>
              <w:pStyle w:val="ListParagraph"/>
              <w:spacing w:before="60" w:after="60" w:line="25" w:lineRule="atLeast"/>
              <w:ind w:left="360"/>
              <w:contextualSpacing w:val="0"/>
              <w:rPr>
                <w:rFonts w:eastAsia="Times New Roman" w:cstheme="minorHAnsi"/>
                <w:lang w:eastAsia="en-AU"/>
              </w:rPr>
            </w:pPr>
            <w:r>
              <w:rPr>
                <w:rFonts w:eastAsia="Times New Roman" w:cstheme="minorHAnsi"/>
                <w:lang w:eastAsia="en-AU"/>
              </w:rPr>
              <w:t>Item</w:t>
            </w:r>
          </w:p>
        </w:tc>
        <w:tc>
          <w:tcPr>
            <w:tcW w:w="1334" w:type="pct"/>
          </w:tcPr>
          <w:p w14:paraId="2A3C2543" w14:textId="11A84528" w:rsidR="00D11E27" w:rsidRPr="000E41E1" w:rsidRDefault="00D11E27" w:rsidP="00084687">
            <w:pPr>
              <w:rPr>
                <w:rFonts w:eastAsia="Times New Roman" w:cstheme="minorHAnsi"/>
                <w:lang w:eastAsia="en-AU"/>
              </w:rPr>
            </w:pPr>
            <w:r>
              <w:rPr>
                <w:rFonts w:eastAsia="Times New Roman" w:cstheme="minorHAnsi"/>
                <w:lang w:eastAsia="en-AU"/>
              </w:rPr>
              <w:t>Speaker</w:t>
            </w:r>
          </w:p>
        </w:tc>
        <w:tc>
          <w:tcPr>
            <w:tcW w:w="838" w:type="pct"/>
          </w:tcPr>
          <w:p w14:paraId="606E42E5" w14:textId="22B68EA4" w:rsidR="00D11E27" w:rsidRPr="000E41E1" w:rsidRDefault="00D11E27" w:rsidP="00084687">
            <w:pPr>
              <w:rPr>
                <w:rFonts w:eastAsia="Times New Roman" w:cstheme="minorHAnsi"/>
                <w:lang w:eastAsia="en-AU"/>
              </w:rPr>
            </w:pPr>
            <w:r>
              <w:rPr>
                <w:rFonts w:eastAsia="Times New Roman" w:cstheme="minorHAnsi"/>
                <w:lang w:eastAsia="en-AU"/>
              </w:rPr>
              <w:t>Chair</w:t>
            </w:r>
          </w:p>
        </w:tc>
      </w:tr>
      <w:tr w:rsidR="00BD055A" w:rsidRPr="000E41E1" w14:paraId="247C0AFA" w14:textId="77777777" w:rsidTr="00D11E27">
        <w:trPr>
          <w:trHeight w:val="113"/>
        </w:trPr>
        <w:tc>
          <w:tcPr>
            <w:tcW w:w="2828" w:type="pct"/>
          </w:tcPr>
          <w:p w14:paraId="63721D2F" w14:textId="77777777" w:rsidR="00BD055A" w:rsidRPr="006B7E20" w:rsidRDefault="00BD055A" w:rsidP="00084687">
            <w:pPr>
              <w:pStyle w:val="ListParagraph"/>
              <w:numPr>
                <w:ilvl w:val="0"/>
                <w:numId w:val="3"/>
              </w:numPr>
              <w:spacing w:before="60" w:after="60" w:line="25" w:lineRule="atLeast"/>
              <w:contextualSpacing w:val="0"/>
              <w:rPr>
                <w:rFonts w:eastAsia="Times New Roman" w:cstheme="minorHAnsi"/>
                <w:szCs w:val="22"/>
                <w:lang w:eastAsia="en-AU"/>
              </w:rPr>
            </w:pPr>
            <w:r w:rsidRPr="006B7E20">
              <w:rPr>
                <w:rFonts w:eastAsia="Times New Roman" w:cstheme="minorHAnsi"/>
                <w:szCs w:val="22"/>
                <w:lang w:eastAsia="en-AU"/>
              </w:rPr>
              <w:t>Welcome</w:t>
            </w:r>
          </w:p>
          <w:p w14:paraId="2BD68345" w14:textId="77777777" w:rsidR="00BD055A" w:rsidRPr="000E41E1" w:rsidRDefault="00BD055A" w:rsidP="00084687">
            <w:pPr>
              <w:pStyle w:val="ListParagraph"/>
              <w:numPr>
                <w:ilvl w:val="1"/>
                <w:numId w:val="3"/>
              </w:numPr>
              <w:spacing w:before="60" w:after="60" w:line="25" w:lineRule="atLeast"/>
              <w:contextualSpacing w:val="0"/>
              <w:rPr>
                <w:rFonts w:eastAsia="Times New Roman" w:cstheme="minorHAnsi"/>
                <w:b/>
                <w:szCs w:val="22"/>
                <w:lang w:eastAsia="en-AU"/>
              </w:rPr>
            </w:pPr>
            <w:r w:rsidRPr="000E41E1">
              <w:rPr>
                <w:rFonts w:eastAsia="Times New Roman" w:cstheme="minorHAnsi"/>
                <w:szCs w:val="22"/>
                <w:lang w:eastAsia="en-AU"/>
              </w:rPr>
              <w:t xml:space="preserve">Roll-call </w:t>
            </w:r>
            <w:r>
              <w:rPr>
                <w:rFonts w:eastAsia="Times New Roman" w:cstheme="minorHAnsi"/>
                <w:szCs w:val="22"/>
                <w:lang w:eastAsia="en-AU"/>
              </w:rPr>
              <w:t>of attendees</w:t>
            </w:r>
          </w:p>
          <w:p w14:paraId="5F76B6D2" w14:textId="77777777" w:rsidR="00BD055A" w:rsidRPr="000E41E1" w:rsidRDefault="00BD055A" w:rsidP="00084687">
            <w:pPr>
              <w:pStyle w:val="ListParagraph"/>
              <w:numPr>
                <w:ilvl w:val="1"/>
                <w:numId w:val="3"/>
              </w:numPr>
              <w:spacing w:before="60" w:after="60" w:line="25" w:lineRule="atLeast"/>
              <w:contextualSpacing w:val="0"/>
              <w:rPr>
                <w:rFonts w:eastAsia="Times New Roman" w:cstheme="minorHAnsi"/>
                <w:b/>
                <w:szCs w:val="22"/>
                <w:lang w:eastAsia="en-AU"/>
              </w:rPr>
            </w:pPr>
            <w:r w:rsidRPr="000E41E1">
              <w:rPr>
                <w:rFonts w:eastAsia="Times New Roman" w:cstheme="minorHAnsi"/>
                <w:szCs w:val="22"/>
                <w:lang w:eastAsia="en-AU"/>
              </w:rPr>
              <w:t>Acknowledgement of country</w:t>
            </w:r>
          </w:p>
          <w:p w14:paraId="68507E70" w14:textId="77777777" w:rsidR="00BD055A" w:rsidRPr="000E41E1" w:rsidRDefault="00BD055A" w:rsidP="00084687">
            <w:pPr>
              <w:pStyle w:val="ListParagraph"/>
              <w:numPr>
                <w:ilvl w:val="1"/>
                <w:numId w:val="3"/>
              </w:numPr>
              <w:spacing w:before="60" w:after="60" w:line="25" w:lineRule="atLeast"/>
              <w:contextualSpacing w:val="0"/>
              <w:rPr>
                <w:rFonts w:eastAsia="Times New Roman" w:cstheme="minorHAnsi"/>
                <w:b/>
                <w:szCs w:val="22"/>
                <w:lang w:eastAsia="en-AU"/>
              </w:rPr>
            </w:pPr>
            <w:r w:rsidRPr="000E41E1">
              <w:rPr>
                <w:rFonts w:eastAsia="Times New Roman" w:cstheme="minorHAnsi"/>
                <w:szCs w:val="22"/>
                <w:lang w:eastAsia="en-AU"/>
              </w:rPr>
              <w:t>House keeping</w:t>
            </w:r>
          </w:p>
        </w:tc>
        <w:tc>
          <w:tcPr>
            <w:tcW w:w="1334" w:type="pct"/>
          </w:tcPr>
          <w:p w14:paraId="730F7AF5" w14:textId="77777777" w:rsidR="00BD055A" w:rsidRPr="000E41E1" w:rsidRDefault="00BD055A" w:rsidP="00084687">
            <w:pPr>
              <w:rPr>
                <w:rFonts w:cstheme="minorHAnsi"/>
                <w:b/>
                <w:szCs w:val="22"/>
              </w:rPr>
            </w:pPr>
            <w:r w:rsidRPr="000E41E1">
              <w:rPr>
                <w:rFonts w:eastAsia="Times New Roman" w:cstheme="minorHAnsi"/>
                <w:szCs w:val="22"/>
                <w:lang w:eastAsia="en-AU"/>
              </w:rPr>
              <w:t>Facilitator</w:t>
            </w:r>
          </w:p>
        </w:tc>
        <w:tc>
          <w:tcPr>
            <w:tcW w:w="838" w:type="pct"/>
          </w:tcPr>
          <w:p w14:paraId="33ECF4E7" w14:textId="77777777" w:rsidR="00BD055A" w:rsidRPr="000E41E1" w:rsidRDefault="00BD055A" w:rsidP="00084687">
            <w:pPr>
              <w:rPr>
                <w:rFonts w:cstheme="minorHAnsi"/>
                <w:b/>
                <w:szCs w:val="22"/>
              </w:rPr>
            </w:pPr>
            <w:r w:rsidRPr="000E41E1">
              <w:rPr>
                <w:rFonts w:eastAsia="Times New Roman" w:cstheme="minorHAnsi"/>
                <w:szCs w:val="22"/>
                <w:lang w:eastAsia="en-AU"/>
              </w:rPr>
              <w:t>AusIndustry</w:t>
            </w:r>
          </w:p>
        </w:tc>
      </w:tr>
      <w:tr w:rsidR="00BD055A" w:rsidRPr="006B7E20" w14:paraId="64213B97" w14:textId="77777777" w:rsidTr="00D11E27">
        <w:trPr>
          <w:trHeight w:val="113"/>
        </w:trPr>
        <w:tc>
          <w:tcPr>
            <w:tcW w:w="2828" w:type="pct"/>
          </w:tcPr>
          <w:p w14:paraId="45BDD01E" w14:textId="6ADDACAE" w:rsidR="00BD055A" w:rsidRPr="006B7E20" w:rsidRDefault="00BD055A" w:rsidP="00084687">
            <w:pPr>
              <w:pStyle w:val="ListParagraph"/>
              <w:numPr>
                <w:ilvl w:val="0"/>
                <w:numId w:val="3"/>
              </w:numPr>
              <w:spacing w:before="60" w:after="0" w:line="25" w:lineRule="atLeast"/>
              <w:contextualSpacing w:val="0"/>
              <w:rPr>
                <w:rFonts w:eastAsia="Times New Roman" w:cstheme="minorHAnsi"/>
                <w:b/>
                <w:szCs w:val="22"/>
                <w:lang w:eastAsia="en-AU"/>
              </w:rPr>
            </w:pPr>
            <w:r>
              <w:rPr>
                <w:rFonts w:eastAsia="Times New Roman" w:cstheme="minorHAnsi"/>
                <w:b/>
                <w:szCs w:val="22"/>
                <w:lang w:eastAsia="en-AU"/>
              </w:rPr>
              <w:t>Introduction of co-chairs</w:t>
            </w:r>
          </w:p>
          <w:p w14:paraId="186928F9" w14:textId="35CF1318" w:rsidR="00BD055A" w:rsidRPr="00BD055A" w:rsidRDefault="00BD055A" w:rsidP="00BD055A">
            <w:pPr>
              <w:spacing w:before="60" w:after="60" w:line="25" w:lineRule="atLeast"/>
              <w:rPr>
                <w:rFonts w:eastAsia="Times New Roman" w:cstheme="minorHAnsi"/>
                <w:b/>
                <w:lang w:eastAsia="en-AU"/>
              </w:rPr>
            </w:pPr>
          </w:p>
        </w:tc>
        <w:tc>
          <w:tcPr>
            <w:tcW w:w="1334" w:type="pct"/>
          </w:tcPr>
          <w:p w14:paraId="4335644B" w14:textId="77777777" w:rsidR="00CB0DDE" w:rsidRDefault="00BD055A" w:rsidP="00CB0DDE">
            <w:pPr>
              <w:rPr>
                <w:rFonts w:eastAsia="Times New Roman" w:cstheme="minorHAnsi"/>
                <w:szCs w:val="22"/>
                <w:lang w:eastAsia="en-AU"/>
              </w:rPr>
            </w:pPr>
            <w:r>
              <w:rPr>
                <w:rFonts w:eastAsia="Times New Roman" w:cstheme="minorHAnsi"/>
                <w:szCs w:val="22"/>
                <w:lang w:eastAsia="en-AU"/>
              </w:rPr>
              <w:t>Tara Oliver</w:t>
            </w:r>
          </w:p>
          <w:p w14:paraId="1555936E" w14:textId="1E58904A" w:rsidR="00BD055A" w:rsidRPr="006B7E20" w:rsidRDefault="00BD055A" w:rsidP="00CB0DDE">
            <w:pPr>
              <w:rPr>
                <w:rFonts w:cstheme="minorHAnsi"/>
                <w:szCs w:val="22"/>
              </w:rPr>
            </w:pPr>
            <w:r>
              <w:rPr>
                <w:rFonts w:eastAsia="Times New Roman" w:cstheme="minorHAnsi"/>
                <w:szCs w:val="22"/>
                <w:lang w:eastAsia="en-AU"/>
              </w:rPr>
              <w:t>Glenn Cooper</w:t>
            </w:r>
          </w:p>
        </w:tc>
        <w:tc>
          <w:tcPr>
            <w:tcW w:w="838" w:type="pct"/>
          </w:tcPr>
          <w:p w14:paraId="0934D271" w14:textId="77777777" w:rsidR="00BD055A" w:rsidRDefault="00BD055A" w:rsidP="00084687">
            <w:pPr>
              <w:rPr>
                <w:rFonts w:eastAsia="Times New Roman" w:cstheme="minorHAnsi"/>
                <w:szCs w:val="22"/>
                <w:lang w:eastAsia="en-AU"/>
              </w:rPr>
            </w:pPr>
            <w:r w:rsidRPr="006B7E20">
              <w:rPr>
                <w:rFonts w:eastAsia="Times New Roman" w:cstheme="minorHAnsi"/>
                <w:szCs w:val="22"/>
                <w:lang w:eastAsia="en-AU"/>
              </w:rPr>
              <w:t>AusIndustry</w:t>
            </w:r>
          </w:p>
          <w:p w14:paraId="0F059491" w14:textId="039A8F22" w:rsidR="00BD055A" w:rsidRPr="006B7E20" w:rsidRDefault="00BD055A" w:rsidP="00084687">
            <w:pPr>
              <w:rPr>
                <w:rFonts w:cstheme="minorHAnsi"/>
                <w:szCs w:val="22"/>
              </w:rPr>
            </w:pPr>
            <w:r>
              <w:rPr>
                <w:rFonts w:eastAsia="Times New Roman" w:cstheme="minorHAnsi"/>
                <w:szCs w:val="22"/>
                <w:lang w:eastAsia="en-AU"/>
              </w:rPr>
              <w:t>ATO</w:t>
            </w:r>
          </w:p>
        </w:tc>
      </w:tr>
      <w:tr w:rsidR="00BD055A" w:rsidRPr="006B7E20" w14:paraId="7E25F207" w14:textId="77777777" w:rsidTr="00D11E27">
        <w:trPr>
          <w:trHeight w:val="113"/>
        </w:trPr>
        <w:tc>
          <w:tcPr>
            <w:tcW w:w="2828" w:type="pct"/>
          </w:tcPr>
          <w:p w14:paraId="60B15BB8" w14:textId="77777777" w:rsidR="00BD055A" w:rsidRPr="00BD055A" w:rsidRDefault="00BD055A" w:rsidP="00084687">
            <w:pPr>
              <w:pStyle w:val="ListParagraph"/>
              <w:numPr>
                <w:ilvl w:val="0"/>
                <w:numId w:val="3"/>
              </w:numPr>
              <w:spacing w:before="60" w:after="0" w:line="25" w:lineRule="atLeast"/>
              <w:contextualSpacing w:val="0"/>
              <w:rPr>
                <w:rFonts w:eastAsia="Times New Roman" w:cstheme="minorHAnsi"/>
                <w:b/>
                <w:color w:val="C00000"/>
                <w:szCs w:val="22"/>
                <w:lang w:eastAsia="en-AU"/>
              </w:rPr>
            </w:pPr>
            <w:r>
              <w:rPr>
                <w:rFonts w:eastAsia="Times New Roman" w:cstheme="minorHAnsi"/>
                <w:b/>
                <w:szCs w:val="22"/>
                <w:lang w:eastAsia="en-AU"/>
              </w:rPr>
              <w:t xml:space="preserve">Roundtable Terms of Reference </w:t>
            </w:r>
          </w:p>
          <w:p w14:paraId="69F8038B" w14:textId="6CA404AF" w:rsidR="00BD055A" w:rsidRPr="002E6120" w:rsidRDefault="00BD055A" w:rsidP="002E6120">
            <w:pPr>
              <w:pStyle w:val="ListParagraph"/>
              <w:numPr>
                <w:ilvl w:val="1"/>
                <w:numId w:val="3"/>
              </w:numPr>
              <w:spacing w:before="60" w:after="0" w:line="25" w:lineRule="atLeast"/>
              <w:contextualSpacing w:val="0"/>
              <w:rPr>
                <w:rFonts w:eastAsia="Times New Roman" w:cstheme="minorHAnsi"/>
                <w:b/>
                <w:lang w:eastAsia="en-AU"/>
              </w:rPr>
            </w:pPr>
            <w:r>
              <w:rPr>
                <w:rFonts w:eastAsia="Times New Roman" w:cstheme="minorHAnsi"/>
                <w:lang w:eastAsia="en-AU"/>
              </w:rPr>
              <w:t>Revisions made and member feedback</w:t>
            </w:r>
          </w:p>
        </w:tc>
        <w:tc>
          <w:tcPr>
            <w:tcW w:w="1334" w:type="pct"/>
          </w:tcPr>
          <w:p w14:paraId="6AACD6B7" w14:textId="4C383975" w:rsidR="00BD055A" w:rsidRPr="006B7E20" w:rsidRDefault="00BD055A" w:rsidP="00084687">
            <w:pPr>
              <w:rPr>
                <w:rFonts w:cstheme="minorHAnsi"/>
                <w:szCs w:val="22"/>
              </w:rPr>
            </w:pPr>
            <w:r>
              <w:rPr>
                <w:rFonts w:eastAsia="Times New Roman" w:cstheme="minorHAnsi"/>
                <w:szCs w:val="22"/>
                <w:lang w:eastAsia="en-AU"/>
              </w:rPr>
              <w:t>Tara Oliver</w:t>
            </w:r>
          </w:p>
        </w:tc>
        <w:tc>
          <w:tcPr>
            <w:tcW w:w="838" w:type="pct"/>
          </w:tcPr>
          <w:p w14:paraId="03B627EA" w14:textId="749A0FB5" w:rsidR="00BD055A" w:rsidRPr="006B7E20" w:rsidRDefault="00BD055A" w:rsidP="00084687">
            <w:pPr>
              <w:rPr>
                <w:rFonts w:cstheme="minorHAnsi"/>
                <w:szCs w:val="22"/>
              </w:rPr>
            </w:pPr>
            <w:r>
              <w:rPr>
                <w:rFonts w:eastAsia="Times New Roman" w:cstheme="minorHAnsi"/>
                <w:szCs w:val="22"/>
                <w:lang w:eastAsia="en-AU"/>
              </w:rPr>
              <w:t>AusIndustry</w:t>
            </w:r>
          </w:p>
        </w:tc>
      </w:tr>
      <w:tr w:rsidR="00BD055A" w:rsidRPr="006B7E20" w14:paraId="26F9EAC7" w14:textId="77777777" w:rsidTr="00D11E27">
        <w:trPr>
          <w:trHeight w:val="113"/>
        </w:trPr>
        <w:tc>
          <w:tcPr>
            <w:tcW w:w="2828" w:type="pct"/>
          </w:tcPr>
          <w:p w14:paraId="10C2F553" w14:textId="52941FD1" w:rsidR="00BD055A" w:rsidRPr="006B7E20" w:rsidRDefault="00BD055A" w:rsidP="00084687">
            <w:pPr>
              <w:pStyle w:val="ListParagraph"/>
              <w:numPr>
                <w:ilvl w:val="0"/>
                <w:numId w:val="3"/>
              </w:numPr>
              <w:spacing w:before="60" w:after="60" w:line="25" w:lineRule="atLeast"/>
              <w:rPr>
                <w:rFonts w:eastAsia="Times New Roman" w:cstheme="minorHAnsi"/>
                <w:b/>
                <w:szCs w:val="22"/>
                <w:lang w:eastAsia="en-AU"/>
              </w:rPr>
            </w:pPr>
            <w:r>
              <w:rPr>
                <w:rFonts w:eastAsia="Times New Roman" w:cstheme="minorHAnsi"/>
                <w:b/>
                <w:szCs w:val="22"/>
                <w:lang w:eastAsia="en-AU"/>
              </w:rPr>
              <w:t>AusIndustry Insights</w:t>
            </w:r>
          </w:p>
          <w:p w14:paraId="0FCEF81C" w14:textId="77777777" w:rsidR="00BD055A" w:rsidRPr="00EE6C20" w:rsidRDefault="00BD055A" w:rsidP="00BD055A">
            <w:pPr>
              <w:pStyle w:val="ListParagraph"/>
              <w:numPr>
                <w:ilvl w:val="1"/>
                <w:numId w:val="3"/>
              </w:numPr>
              <w:spacing w:before="60" w:after="60" w:line="25" w:lineRule="atLeast"/>
              <w:contextualSpacing w:val="0"/>
              <w:rPr>
                <w:rFonts w:eastAsia="Times New Roman" w:cstheme="minorHAnsi"/>
                <w:b/>
                <w:lang w:eastAsia="en-AU"/>
              </w:rPr>
            </w:pPr>
            <w:r>
              <w:rPr>
                <w:rFonts w:eastAsia="Times New Roman" w:cstheme="minorHAnsi"/>
                <w:lang w:eastAsia="en-AU"/>
              </w:rPr>
              <w:t>Discussion on attached program updates</w:t>
            </w:r>
          </w:p>
          <w:p w14:paraId="121102BF" w14:textId="77777777" w:rsidR="00BD055A" w:rsidRPr="001032F5" w:rsidRDefault="00BD055A" w:rsidP="00BD055A">
            <w:pPr>
              <w:pStyle w:val="ListParagraph"/>
              <w:numPr>
                <w:ilvl w:val="1"/>
                <w:numId w:val="3"/>
              </w:numPr>
              <w:spacing w:before="60" w:after="60" w:line="25" w:lineRule="atLeast"/>
              <w:contextualSpacing w:val="0"/>
              <w:rPr>
                <w:rFonts w:eastAsia="Times New Roman" w:cstheme="minorHAnsi"/>
                <w:b/>
                <w:lang w:eastAsia="en-AU"/>
              </w:rPr>
            </w:pPr>
            <w:r>
              <w:rPr>
                <w:rFonts w:eastAsia="Times New Roman" w:cstheme="minorHAnsi"/>
                <w:lang w:eastAsia="en-AU"/>
              </w:rPr>
              <w:t>Data Insights</w:t>
            </w:r>
          </w:p>
          <w:p w14:paraId="31A3122F" w14:textId="77777777" w:rsidR="00BD055A" w:rsidRPr="001032F5" w:rsidRDefault="00BD055A" w:rsidP="00BD055A">
            <w:pPr>
              <w:pStyle w:val="ListParagraph"/>
              <w:numPr>
                <w:ilvl w:val="1"/>
                <w:numId w:val="3"/>
              </w:numPr>
              <w:spacing w:before="60" w:after="60" w:line="25" w:lineRule="atLeast"/>
              <w:contextualSpacing w:val="0"/>
              <w:rPr>
                <w:rFonts w:eastAsia="Times New Roman" w:cstheme="minorHAnsi"/>
                <w:b/>
                <w:lang w:eastAsia="en-AU"/>
              </w:rPr>
            </w:pPr>
            <w:r>
              <w:rPr>
                <w:rFonts w:eastAsia="Times New Roman" w:cstheme="minorHAnsi"/>
                <w:lang w:eastAsia="en-AU"/>
              </w:rPr>
              <w:t>Compliance Insights</w:t>
            </w:r>
          </w:p>
          <w:p w14:paraId="6449B09B" w14:textId="6BE16D56" w:rsidR="00BD055A" w:rsidRPr="006B7E20" w:rsidRDefault="002E6120" w:rsidP="000C4320">
            <w:pPr>
              <w:pStyle w:val="ListParagraph"/>
              <w:numPr>
                <w:ilvl w:val="1"/>
                <w:numId w:val="3"/>
              </w:numPr>
              <w:spacing w:before="60" w:after="60" w:line="25" w:lineRule="atLeast"/>
              <w:contextualSpacing w:val="0"/>
              <w:rPr>
                <w:rFonts w:eastAsia="Times New Roman" w:cstheme="minorHAnsi"/>
                <w:szCs w:val="22"/>
                <w:lang w:eastAsia="en-AU"/>
              </w:rPr>
            </w:pPr>
            <w:r>
              <w:rPr>
                <w:rFonts w:eastAsia="Times New Roman" w:cstheme="minorHAnsi"/>
                <w:lang w:eastAsia="en-AU"/>
              </w:rPr>
              <w:t>Customer</w:t>
            </w:r>
            <w:r w:rsidR="00BD055A">
              <w:rPr>
                <w:rFonts w:eastAsia="Times New Roman" w:cstheme="minorHAnsi"/>
                <w:lang w:eastAsia="en-AU"/>
              </w:rPr>
              <w:t xml:space="preserve"> survey</w:t>
            </w:r>
          </w:p>
        </w:tc>
        <w:tc>
          <w:tcPr>
            <w:tcW w:w="1334" w:type="pct"/>
          </w:tcPr>
          <w:p w14:paraId="5F897E74" w14:textId="67AEEFE2" w:rsidR="00BD055A" w:rsidRDefault="006C68F5" w:rsidP="00084687">
            <w:pPr>
              <w:rPr>
                <w:rFonts w:eastAsia="Times New Roman" w:cstheme="minorHAnsi"/>
                <w:szCs w:val="22"/>
                <w:lang w:eastAsia="en-AU"/>
              </w:rPr>
            </w:pPr>
            <w:r>
              <w:rPr>
                <w:rFonts w:eastAsia="Times New Roman" w:cstheme="minorHAnsi"/>
                <w:szCs w:val="22"/>
                <w:lang w:eastAsia="en-AU"/>
              </w:rPr>
              <w:t>Keelie Wil</w:t>
            </w:r>
            <w:r w:rsidR="00040393">
              <w:rPr>
                <w:rFonts w:eastAsia="Times New Roman" w:cstheme="minorHAnsi"/>
                <w:szCs w:val="22"/>
                <w:lang w:eastAsia="en-AU"/>
              </w:rPr>
              <w:t>l</w:t>
            </w:r>
            <w:r>
              <w:rPr>
                <w:rFonts w:eastAsia="Times New Roman" w:cstheme="minorHAnsi"/>
                <w:szCs w:val="22"/>
                <w:lang w:eastAsia="en-AU"/>
              </w:rPr>
              <w:t>iams</w:t>
            </w:r>
          </w:p>
          <w:p w14:paraId="329337C5" w14:textId="77777777" w:rsidR="006C68F5" w:rsidRDefault="006C68F5" w:rsidP="00084687">
            <w:pPr>
              <w:rPr>
                <w:rFonts w:eastAsia="Times New Roman" w:cstheme="minorHAnsi"/>
                <w:szCs w:val="22"/>
                <w:lang w:eastAsia="en-AU"/>
              </w:rPr>
            </w:pPr>
            <w:r>
              <w:rPr>
                <w:rFonts w:eastAsia="Times New Roman" w:cstheme="minorHAnsi"/>
                <w:szCs w:val="22"/>
                <w:lang w:eastAsia="en-AU"/>
              </w:rPr>
              <w:t>Andrew Lewis</w:t>
            </w:r>
          </w:p>
          <w:p w14:paraId="477CCA04" w14:textId="77777777" w:rsidR="006C68F5" w:rsidRDefault="006C68F5" w:rsidP="00084687">
            <w:pPr>
              <w:rPr>
                <w:rFonts w:eastAsia="Times New Roman" w:cstheme="minorHAnsi"/>
                <w:szCs w:val="22"/>
                <w:lang w:eastAsia="en-AU"/>
              </w:rPr>
            </w:pPr>
            <w:r>
              <w:rPr>
                <w:rFonts w:eastAsia="Times New Roman" w:cstheme="minorHAnsi"/>
                <w:szCs w:val="22"/>
                <w:lang w:eastAsia="en-AU"/>
              </w:rPr>
              <w:t>Tom Gilbert</w:t>
            </w:r>
          </w:p>
          <w:p w14:paraId="48698689" w14:textId="680F3A0F" w:rsidR="006C68F5" w:rsidRPr="00BD055A" w:rsidRDefault="006C68F5" w:rsidP="00084687">
            <w:pPr>
              <w:rPr>
                <w:rFonts w:cstheme="minorHAnsi"/>
                <w:szCs w:val="22"/>
              </w:rPr>
            </w:pPr>
            <w:r>
              <w:rPr>
                <w:rFonts w:eastAsia="Times New Roman" w:cstheme="minorHAnsi"/>
                <w:szCs w:val="22"/>
                <w:lang w:eastAsia="en-AU"/>
              </w:rPr>
              <w:t>Lyndall Milward-Bason</w:t>
            </w:r>
          </w:p>
        </w:tc>
        <w:tc>
          <w:tcPr>
            <w:tcW w:w="838" w:type="pct"/>
          </w:tcPr>
          <w:p w14:paraId="135B0C77" w14:textId="255BA32A" w:rsidR="00BD055A" w:rsidRPr="006B7E20" w:rsidRDefault="00BD055A" w:rsidP="00084687">
            <w:pPr>
              <w:rPr>
                <w:rFonts w:cstheme="minorHAnsi"/>
                <w:szCs w:val="22"/>
              </w:rPr>
            </w:pPr>
            <w:r>
              <w:rPr>
                <w:rFonts w:eastAsia="Times New Roman" w:cstheme="minorHAnsi"/>
                <w:szCs w:val="22"/>
                <w:lang w:eastAsia="en-AU"/>
              </w:rPr>
              <w:t>AusIndustry</w:t>
            </w:r>
          </w:p>
        </w:tc>
      </w:tr>
      <w:tr w:rsidR="00BD055A" w:rsidRPr="006B7E20" w14:paraId="470DA7DD" w14:textId="77777777" w:rsidTr="00D11E27">
        <w:trPr>
          <w:trHeight w:val="113"/>
        </w:trPr>
        <w:tc>
          <w:tcPr>
            <w:tcW w:w="2828" w:type="pct"/>
          </w:tcPr>
          <w:p w14:paraId="5CB09AF3" w14:textId="195EE1F5" w:rsidR="00BD055A" w:rsidRPr="006B7E20" w:rsidRDefault="00BD055A" w:rsidP="00084687">
            <w:pPr>
              <w:pStyle w:val="ListParagraph"/>
              <w:numPr>
                <w:ilvl w:val="0"/>
                <w:numId w:val="3"/>
              </w:numPr>
              <w:spacing w:before="60" w:after="0" w:line="25" w:lineRule="atLeast"/>
              <w:contextualSpacing w:val="0"/>
              <w:rPr>
                <w:rFonts w:eastAsia="Times New Roman" w:cstheme="minorHAnsi"/>
                <w:b/>
                <w:color w:val="C00000"/>
                <w:szCs w:val="22"/>
                <w:lang w:eastAsia="en-AU"/>
              </w:rPr>
            </w:pPr>
            <w:r>
              <w:rPr>
                <w:rFonts w:eastAsia="Times New Roman" w:cstheme="minorHAnsi"/>
                <w:b/>
                <w:szCs w:val="22"/>
                <w:lang w:eastAsia="en-AU"/>
              </w:rPr>
              <w:t>ATO Update</w:t>
            </w:r>
          </w:p>
          <w:p w14:paraId="7E354121" w14:textId="610A4596" w:rsidR="00BD055A" w:rsidRPr="006B7E20" w:rsidRDefault="00BD055A" w:rsidP="00E5684C">
            <w:pPr>
              <w:pStyle w:val="ListParagraph"/>
              <w:numPr>
                <w:ilvl w:val="1"/>
                <w:numId w:val="3"/>
              </w:numPr>
              <w:spacing w:before="60" w:after="0" w:line="25" w:lineRule="atLeast"/>
              <w:contextualSpacing w:val="0"/>
              <w:rPr>
                <w:rFonts w:cstheme="minorHAnsi"/>
                <w:szCs w:val="22"/>
              </w:rPr>
            </w:pPr>
            <w:r w:rsidRPr="00EE6C20">
              <w:rPr>
                <w:rFonts w:eastAsia="Times New Roman" w:cstheme="minorHAnsi"/>
                <w:lang w:eastAsia="en-AU"/>
              </w:rPr>
              <w:t>Program updates from the ATO</w:t>
            </w:r>
          </w:p>
        </w:tc>
        <w:tc>
          <w:tcPr>
            <w:tcW w:w="1334" w:type="pct"/>
          </w:tcPr>
          <w:p w14:paraId="2A8AA621" w14:textId="77777777" w:rsidR="00BD055A" w:rsidRDefault="00BD055A" w:rsidP="00084687">
            <w:pPr>
              <w:rPr>
                <w:rFonts w:eastAsia="Times New Roman" w:cstheme="minorHAnsi"/>
                <w:szCs w:val="22"/>
                <w:lang w:eastAsia="en-AU"/>
              </w:rPr>
            </w:pPr>
            <w:r>
              <w:rPr>
                <w:rFonts w:eastAsia="Times New Roman" w:cstheme="minorHAnsi"/>
                <w:szCs w:val="22"/>
                <w:lang w:eastAsia="en-AU"/>
              </w:rPr>
              <w:t>Glenn Cooper</w:t>
            </w:r>
          </w:p>
          <w:p w14:paraId="5C107B8F" w14:textId="210D9FD6" w:rsidR="00BD055A" w:rsidRPr="006B7E20" w:rsidRDefault="00BD055A" w:rsidP="00084687">
            <w:pPr>
              <w:rPr>
                <w:rFonts w:cstheme="minorHAnsi"/>
                <w:szCs w:val="22"/>
              </w:rPr>
            </w:pPr>
            <w:r>
              <w:rPr>
                <w:rFonts w:eastAsia="Times New Roman" w:cstheme="minorHAnsi"/>
                <w:szCs w:val="22"/>
                <w:lang w:eastAsia="en-AU"/>
              </w:rPr>
              <w:t>Brett Challans</w:t>
            </w:r>
          </w:p>
        </w:tc>
        <w:tc>
          <w:tcPr>
            <w:tcW w:w="838" w:type="pct"/>
          </w:tcPr>
          <w:p w14:paraId="7F60FE6D" w14:textId="7D7C7468" w:rsidR="00BD055A" w:rsidRPr="006B7E20" w:rsidRDefault="00BD055A" w:rsidP="00084687">
            <w:pPr>
              <w:rPr>
                <w:rFonts w:cstheme="minorHAnsi"/>
                <w:szCs w:val="22"/>
              </w:rPr>
            </w:pPr>
            <w:r>
              <w:rPr>
                <w:rFonts w:eastAsia="Times New Roman" w:cstheme="minorHAnsi"/>
                <w:szCs w:val="22"/>
                <w:lang w:eastAsia="en-AU"/>
              </w:rPr>
              <w:t>ATO</w:t>
            </w:r>
          </w:p>
        </w:tc>
      </w:tr>
      <w:tr w:rsidR="00BD055A" w:rsidRPr="006B7E20" w14:paraId="3B4C7B83" w14:textId="77777777" w:rsidTr="00D11E27">
        <w:trPr>
          <w:trHeight w:val="113"/>
        </w:trPr>
        <w:tc>
          <w:tcPr>
            <w:tcW w:w="2828" w:type="pct"/>
          </w:tcPr>
          <w:p w14:paraId="71EDA452" w14:textId="43676F14" w:rsidR="00BD055A" w:rsidRPr="006B7E20" w:rsidRDefault="00BD055A" w:rsidP="00084687">
            <w:pPr>
              <w:pStyle w:val="ListParagraph"/>
              <w:numPr>
                <w:ilvl w:val="0"/>
                <w:numId w:val="3"/>
              </w:numPr>
              <w:spacing w:before="60" w:after="60" w:line="25" w:lineRule="atLeast"/>
              <w:contextualSpacing w:val="0"/>
              <w:rPr>
                <w:rFonts w:eastAsia="Times New Roman" w:cstheme="minorHAnsi"/>
                <w:szCs w:val="22"/>
                <w:lang w:eastAsia="en-AU"/>
              </w:rPr>
            </w:pPr>
            <w:r>
              <w:rPr>
                <w:rFonts w:eastAsia="Times New Roman" w:cstheme="minorHAnsi"/>
                <w:b/>
                <w:szCs w:val="22"/>
                <w:lang w:eastAsia="en-AU"/>
              </w:rPr>
              <w:t>Research Service Providers</w:t>
            </w:r>
          </w:p>
          <w:p w14:paraId="3AAD4D9C" w14:textId="77777777" w:rsidR="00BD055A" w:rsidRPr="001364C6" w:rsidRDefault="00BD055A" w:rsidP="00BD055A">
            <w:pPr>
              <w:pStyle w:val="ListParagraph"/>
              <w:numPr>
                <w:ilvl w:val="1"/>
                <w:numId w:val="3"/>
              </w:numPr>
              <w:spacing w:before="60" w:after="0" w:line="25" w:lineRule="atLeast"/>
              <w:contextualSpacing w:val="0"/>
              <w:rPr>
                <w:rFonts w:eastAsia="Times New Roman" w:cstheme="minorHAnsi"/>
                <w:b/>
                <w:lang w:eastAsia="en-AU"/>
              </w:rPr>
            </w:pPr>
            <w:r>
              <w:rPr>
                <w:rFonts w:eastAsia="Times New Roman" w:cstheme="minorHAnsi"/>
                <w:lang w:eastAsia="en-AU"/>
              </w:rPr>
              <w:t xml:space="preserve">Stakeholder insights </w:t>
            </w:r>
          </w:p>
          <w:p w14:paraId="741EDF65" w14:textId="25872042" w:rsidR="00BD055A" w:rsidRPr="006B7E20" w:rsidRDefault="00BD055A" w:rsidP="00BD055A">
            <w:pPr>
              <w:pStyle w:val="ListParagraph"/>
              <w:numPr>
                <w:ilvl w:val="1"/>
                <w:numId w:val="3"/>
              </w:numPr>
              <w:spacing w:before="60" w:after="60" w:line="25" w:lineRule="atLeast"/>
              <w:contextualSpacing w:val="0"/>
              <w:rPr>
                <w:rFonts w:eastAsia="Times New Roman" w:cstheme="minorHAnsi"/>
                <w:szCs w:val="22"/>
                <w:lang w:eastAsia="en-AU"/>
              </w:rPr>
            </w:pPr>
            <w:r>
              <w:rPr>
                <w:rFonts w:eastAsia="Times New Roman" w:cstheme="minorHAnsi"/>
                <w:lang w:eastAsia="en-AU"/>
              </w:rPr>
              <w:t>Registrations update</w:t>
            </w:r>
          </w:p>
        </w:tc>
        <w:tc>
          <w:tcPr>
            <w:tcW w:w="1334" w:type="pct"/>
          </w:tcPr>
          <w:p w14:paraId="5F6D2E36" w14:textId="11F21760" w:rsidR="00BD055A" w:rsidRPr="006B7E20" w:rsidRDefault="00BD055A" w:rsidP="00084687">
            <w:pPr>
              <w:spacing w:after="60" w:line="25" w:lineRule="atLeast"/>
              <w:rPr>
                <w:rFonts w:eastAsia="Times New Roman" w:cstheme="minorHAnsi"/>
                <w:szCs w:val="22"/>
                <w:lang w:eastAsia="en-AU"/>
              </w:rPr>
            </w:pPr>
            <w:r>
              <w:rPr>
                <w:rFonts w:eastAsia="Times New Roman" w:cstheme="minorHAnsi"/>
                <w:szCs w:val="22"/>
                <w:lang w:eastAsia="en-AU"/>
              </w:rPr>
              <w:t>Lyndall Milward-Bason</w:t>
            </w:r>
          </w:p>
          <w:p w14:paraId="7A92A5A8" w14:textId="77777777" w:rsidR="00BD055A" w:rsidRPr="006B7E20" w:rsidRDefault="00BD055A" w:rsidP="00084687">
            <w:pPr>
              <w:rPr>
                <w:rFonts w:cstheme="minorHAnsi"/>
                <w:szCs w:val="22"/>
              </w:rPr>
            </w:pPr>
          </w:p>
        </w:tc>
        <w:tc>
          <w:tcPr>
            <w:tcW w:w="838" w:type="pct"/>
          </w:tcPr>
          <w:p w14:paraId="66EA0847" w14:textId="7856B57B" w:rsidR="00BD055A" w:rsidRPr="006B7E20" w:rsidRDefault="00BD055A" w:rsidP="00084687">
            <w:pPr>
              <w:rPr>
                <w:rFonts w:cstheme="minorHAnsi"/>
                <w:szCs w:val="22"/>
              </w:rPr>
            </w:pPr>
            <w:r>
              <w:rPr>
                <w:rFonts w:eastAsia="Times New Roman" w:cstheme="minorHAnsi"/>
                <w:szCs w:val="22"/>
                <w:lang w:eastAsia="en-AU"/>
              </w:rPr>
              <w:t>AusIndustry</w:t>
            </w:r>
          </w:p>
        </w:tc>
      </w:tr>
      <w:tr w:rsidR="00712A66" w:rsidRPr="006B7E20" w14:paraId="0F8775EF" w14:textId="77777777" w:rsidTr="00D11E27">
        <w:trPr>
          <w:trHeight w:val="113"/>
        </w:trPr>
        <w:tc>
          <w:tcPr>
            <w:tcW w:w="2828" w:type="pct"/>
          </w:tcPr>
          <w:p w14:paraId="1D22E5BC" w14:textId="77777777" w:rsidR="00712A66" w:rsidRPr="00712A66" w:rsidRDefault="00AD2DF5" w:rsidP="00712A66">
            <w:pPr>
              <w:pStyle w:val="ListParagraph"/>
              <w:numPr>
                <w:ilvl w:val="0"/>
                <w:numId w:val="3"/>
              </w:numPr>
              <w:spacing w:before="60" w:after="0" w:line="25" w:lineRule="atLeast"/>
              <w:contextualSpacing w:val="0"/>
              <w:rPr>
                <w:rFonts w:eastAsia="Times New Roman" w:cstheme="minorHAnsi"/>
                <w:b/>
                <w:color w:val="C00000"/>
                <w:lang w:eastAsia="en-AU"/>
              </w:rPr>
            </w:pPr>
            <w:hyperlink w:anchor="_Advance_and_Overseas" w:history="1">
              <w:r w:rsidR="00712A66" w:rsidRPr="00712A66">
                <w:rPr>
                  <w:rStyle w:val="Hyperlink"/>
                  <w:rFonts w:eastAsia="Times New Roman" w:cstheme="minorHAnsi"/>
                  <w:b/>
                  <w:color w:val="auto"/>
                  <w:u w:val="none"/>
                  <w:lang w:eastAsia="en-AU"/>
                </w:rPr>
                <w:t>Advance and Overseas Findings</w:t>
              </w:r>
            </w:hyperlink>
          </w:p>
          <w:p w14:paraId="1A2FC5E2" w14:textId="77777777" w:rsidR="00712A66" w:rsidRDefault="00712A66" w:rsidP="00712A66">
            <w:pPr>
              <w:pStyle w:val="ListParagraph"/>
              <w:numPr>
                <w:ilvl w:val="1"/>
                <w:numId w:val="3"/>
              </w:numPr>
              <w:spacing w:before="60" w:after="0" w:line="25" w:lineRule="atLeast"/>
              <w:contextualSpacing w:val="0"/>
              <w:rPr>
                <w:rFonts w:eastAsia="Times New Roman" w:cstheme="minorHAnsi"/>
                <w:color w:val="auto"/>
                <w:lang w:eastAsia="en-AU"/>
              </w:rPr>
            </w:pPr>
            <w:r w:rsidRPr="008725E9">
              <w:rPr>
                <w:rFonts w:eastAsia="Times New Roman" w:cstheme="minorHAnsi"/>
                <w:color w:val="auto"/>
                <w:lang w:eastAsia="en-AU"/>
              </w:rPr>
              <w:t>Shorter findings initiative</w:t>
            </w:r>
          </w:p>
          <w:p w14:paraId="6A2465D2" w14:textId="35C73AB5" w:rsidR="00712A66" w:rsidRPr="00712A66" w:rsidRDefault="00712A66" w:rsidP="00712A66">
            <w:pPr>
              <w:pStyle w:val="ListParagraph"/>
              <w:numPr>
                <w:ilvl w:val="1"/>
                <w:numId w:val="3"/>
              </w:numPr>
              <w:spacing w:before="60" w:after="0" w:line="25" w:lineRule="atLeast"/>
              <w:contextualSpacing w:val="0"/>
              <w:rPr>
                <w:rFonts w:eastAsia="Times New Roman" w:cstheme="minorHAnsi"/>
                <w:color w:val="auto"/>
                <w:lang w:eastAsia="en-AU"/>
              </w:rPr>
            </w:pPr>
            <w:r w:rsidRPr="00712A66">
              <w:rPr>
                <w:rFonts w:eastAsia="Times New Roman" w:cstheme="minorHAnsi"/>
                <w:lang w:eastAsia="en-AU"/>
              </w:rPr>
              <w:t>Comments from members on use and</w:t>
            </w:r>
            <w:r w:rsidRPr="00712A66">
              <w:rPr>
                <w:rFonts w:eastAsia="Times New Roman" w:cstheme="minorHAnsi"/>
                <w:lang w:eastAsia="en-AU"/>
              </w:rPr>
              <w:br/>
              <w:t xml:space="preserve">     value of Advance Findings</w:t>
            </w:r>
          </w:p>
        </w:tc>
        <w:tc>
          <w:tcPr>
            <w:tcW w:w="1334" w:type="pct"/>
          </w:tcPr>
          <w:p w14:paraId="11632A18" w14:textId="132F3690" w:rsidR="00712A66" w:rsidRDefault="00712A66" w:rsidP="00084687">
            <w:pPr>
              <w:spacing w:after="60" w:line="25" w:lineRule="atLeast"/>
              <w:rPr>
                <w:rFonts w:eastAsia="Times New Roman" w:cstheme="minorHAnsi"/>
                <w:lang w:eastAsia="en-AU"/>
              </w:rPr>
            </w:pPr>
            <w:r>
              <w:rPr>
                <w:rFonts w:eastAsia="Times New Roman" w:cstheme="minorHAnsi"/>
                <w:lang w:eastAsia="en-AU"/>
              </w:rPr>
              <w:t>Tom Gilbert</w:t>
            </w:r>
          </w:p>
        </w:tc>
        <w:tc>
          <w:tcPr>
            <w:tcW w:w="838" w:type="pct"/>
          </w:tcPr>
          <w:p w14:paraId="2452976A" w14:textId="028025A4" w:rsidR="00712A66" w:rsidRDefault="00712A66" w:rsidP="00084687">
            <w:pPr>
              <w:rPr>
                <w:rFonts w:eastAsia="Times New Roman" w:cstheme="minorHAnsi"/>
                <w:lang w:eastAsia="en-AU"/>
              </w:rPr>
            </w:pPr>
            <w:r>
              <w:rPr>
                <w:rFonts w:eastAsia="Times New Roman" w:cstheme="minorHAnsi"/>
                <w:lang w:eastAsia="en-AU"/>
              </w:rPr>
              <w:t>AusIndustry</w:t>
            </w:r>
          </w:p>
        </w:tc>
      </w:tr>
      <w:tr w:rsidR="00712A66" w:rsidRPr="006B7E20" w14:paraId="1FF4CB01" w14:textId="77777777" w:rsidTr="00D11E27">
        <w:trPr>
          <w:trHeight w:val="113"/>
        </w:trPr>
        <w:tc>
          <w:tcPr>
            <w:tcW w:w="2828" w:type="pct"/>
          </w:tcPr>
          <w:p w14:paraId="18210845" w14:textId="77777777" w:rsidR="00712A66" w:rsidRPr="00712A66" w:rsidRDefault="00AD2DF5" w:rsidP="00712A66">
            <w:pPr>
              <w:pStyle w:val="ListParagraph"/>
              <w:numPr>
                <w:ilvl w:val="0"/>
                <w:numId w:val="3"/>
              </w:numPr>
              <w:spacing w:before="60" w:after="0" w:line="25" w:lineRule="atLeast"/>
              <w:contextualSpacing w:val="0"/>
              <w:rPr>
                <w:rFonts w:eastAsia="Times New Roman" w:cstheme="minorHAnsi"/>
                <w:b/>
                <w:color w:val="auto"/>
                <w:lang w:eastAsia="en-AU"/>
              </w:rPr>
            </w:pPr>
            <w:hyperlink w:anchor="_Justified_Trust_&amp;" w:history="1">
              <w:r w:rsidR="00712A66" w:rsidRPr="00712A66">
                <w:rPr>
                  <w:rStyle w:val="Hyperlink"/>
                  <w:rFonts w:eastAsia="Times New Roman" w:cstheme="minorHAnsi"/>
                  <w:b/>
                  <w:color w:val="auto"/>
                  <w:u w:val="none"/>
                  <w:lang w:eastAsia="en-AU"/>
                </w:rPr>
                <w:t>Justified Trust &amp; Large Business Reviews</w:t>
              </w:r>
            </w:hyperlink>
          </w:p>
          <w:p w14:paraId="4646FB32" w14:textId="77777777" w:rsidR="00712A66" w:rsidRDefault="00712A66" w:rsidP="00712A66">
            <w:pPr>
              <w:pStyle w:val="ListParagraph"/>
              <w:numPr>
                <w:ilvl w:val="1"/>
                <w:numId w:val="3"/>
              </w:numPr>
              <w:spacing w:before="60" w:after="60" w:line="25" w:lineRule="atLeast"/>
              <w:contextualSpacing w:val="0"/>
              <w:rPr>
                <w:rFonts w:eastAsia="Times New Roman" w:cstheme="minorHAnsi"/>
                <w:lang w:eastAsia="en-AU"/>
              </w:rPr>
            </w:pPr>
            <w:r>
              <w:rPr>
                <w:rFonts w:eastAsia="Times New Roman" w:cstheme="minorHAnsi"/>
                <w:lang w:eastAsia="en-AU"/>
              </w:rPr>
              <w:t>ATO Justified Trust program</w:t>
            </w:r>
          </w:p>
          <w:p w14:paraId="3F5476C9" w14:textId="5E4129FC" w:rsidR="00712A66" w:rsidRPr="008C60DA" w:rsidRDefault="00712A66" w:rsidP="008C60DA">
            <w:pPr>
              <w:pStyle w:val="ListParagraph"/>
              <w:numPr>
                <w:ilvl w:val="1"/>
                <w:numId w:val="3"/>
              </w:numPr>
              <w:spacing w:before="60" w:after="60" w:line="25" w:lineRule="atLeast"/>
              <w:contextualSpacing w:val="0"/>
              <w:rPr>
                <w:rFonts w:eastAsia="Times New Roman" w:cstheme="minorHAnsi"/>
                <w:lang w:eastAsia="en-AU"/>
              </w:rPr>
            </w:pPr>
            <w:r>
              <w:rPr>
                <w:rFonts w:eastAsia="Times New Roman" w:cstheme="minorHAnsi"/>
                <w:lang w:eastAsia="en-AU"/>
              </w:rPr>
              <w:t>Au</w:t>
            </w:r>
            <w:r w:rsidR="002E6120">
              <w:rPr>
                <w:rFonts w:eastAsia="Times New Roman" w:cstheme="minorHAnsi"/>
                <w:lang w:eastAsia="en-AU"/>
              </w:rPr>
              <w:t>sIndustry</w:t>
            </w:r>
            <w:r>
              <w:rPr>
                <w:rFonts w:eastAsia="Times New Roman" w:cstheme="minorHAnsi"/>
                <w:lang w:eastAsia="en-AU"/>
              </w:rPr>
              <w:t xml:space="preserve"> </w:t>
            </w:r>
            <w:r w:rsidRPr="00F051E7">
              <w:rPr>
                <w:rFonts w:eastAsia="Times New Roman" w:cstheme="minorHAnsi"/>
                <w:lang w:eastAsia="en-AU"/>
              </w:rPr>
              <w:t xml:space="preserve">Large </w:t>
            </w:r>
            <w:r>
              <w:rPr>
                <w:rFonts w:eastAsia="Times New Roman" w:cstheme="minorHAnsi"/>
                <w:lang w:eastAsia="en-AU"/>
              </w:rPr>
              <w:t>B</w:t>
            </w:r>
            <w:r w:rsidRPr="00F051E7">
              <w:rPr>
                <w:rFonts w:eastAsia="Times New Roman" w:cstheme="minorHAnsi"/>
                <w:lang w:eastAsia="en-AU"/>
              </w:rPr>
              <w:t xml:space="preserve">usiness </w:t>
            </w:r>
            <w:r>
              <w:rPr>
                <w:rFonts w:eastAsia="Times New Roman" w:cstheme="minorHAnsi"/>
                <w:lang w:eastAsia="en-AU"/>
              </w:rPr>
              <w:t>R</w:t>
            </w:r>
            <w:r w:rsidRPr="00F051E7">
              <w:rPr>
                <w:rFonts w:eastAsia="Times New Roman" w:cstheme="minorHAnsi"/>
                <w:lang w:eastAsia="en-AU"/>
              </w:rPr>
              <w:t>evi</w:t>
            </w:r>
            <w:r>
              <w:rPr>
                <w:rFonts w:eastAsia="Times New Roman" w:cstheme="minorHAnsi"/>
                <w:lang w:eastAsia="en-AU"/>
              </w:rPr>
              <w:t>ews</w:t>
            </w:r>
          </w:p>
        </w:tc>
        <w:tc>
          <w:tcPr>
            <w:tcW w:w="1334" w:type="pct"/>
          </w:tcPr>
          <w:p w14:paraId="3516F40C" w14:textId="77777777" w:rsidR="00712A66" w:rsidRDefault="00712A66" w:rsidP="00084687">
            <w:pPr>
              <w:spacing w:after="60" w:line="25" w:lineRule="atLeast"/>
              <w:rPr>
                <w:rFonts w:eastAsia="Times New Roman" w:cstheme="minorHAnsi"/>
                <w:lang w:eastAsia="en-AU"/>
              </w:rPr>
            </w:pPr>
            <w:r>
              <w:rPr>
                <w:rFonts w:eastAsia="Times New Roman" w:cstheme="minorHAnsi"/>
                <w:lang w:eastAsia="en-AU"/>
              </w:rPr>
              <w:t>Faith Harako</w:t>
            </w:r>
          </w:p>
          <w:p w14:paraId="265DDE21" w14:textId="481AA4DF" w:rsidR="00712A66" w:rsidRDefault="00712A66" w:rsidP="00084687">
            <w:pPr>
              <w:spacing w:after="60" w:line="25" w:lineRule="atLeast"/>
              <w:rPr>
                <w:rFonts w:eastAsia="Times New Roman" w:cstheme="minorHAnsi"/>
                <w:lang w:eastAsia="en-AU"/>
              </w:rPr>
            </w:pPr>
            <w:r>
              <w:rPr>
                <w:rFonts w:eastAsia="Times New Roman" w:cstheme="minorHAnsi"/>
                <w:lang w:eastAsia="en-AU"/>
              </w:rPr>
              <w:t>Chris Clark</w:t>
            </w:r>
          </w:p>
        </w:tc>
        <w:tc>
          <w:tcPr>
            <w:tcW w:w="838" w:type="pct"/>
          </w:tcPr>
          <w:p w14:paraId="060635C0" w14:textId="77777777" w:rsidR="00712A66" w:rsidRDefault="00712A66" w:rsidP="00084687">
            <w:pPr>
              <w:rPr>
                <w:rFonts w:eastAsia="Times New Roman" w:cstheme="minorHAnsi"/>
                <w:lang w:eastAsia="en-AU"/>
              </w:rPr>
            </w:pPr>
            <w:r>
              <w:rPr>
                <w:rFonts w:eastAsia="Times New Roman" w:cstheme="minorHAnsi"/>
                <w:lang w:eastAsia="en-AU"/>
              </w:rPr>
              <w:t>ATO</w:t>
            </w:r>
          </w:p>
          <w:p w14:paraId="7A1F5B0C" w14:textId="7A6268A8" w:rsidR="00712A66" w:rsidRDefault="00712A66" w:rsidP="00084687">
            <w:pPr>
              <w:rPr>
                <w:rFonts w:eastAsia="Times New Roman" w:cstheme="minorHAnsi"/>
                <w:lang w:eastAsia="en-AU"/>
              </w:rPr>
            </w:pPr>
            <w:r>
              <w:rPr>
                <w:rFonts w:eastAsia="Times New Roman" w:cstheme="minorHAnsi"/>
                <w:lang w:eastAsia="en-AU"/>
              </w:rPr>
              <w:t>AusIndustry</w:t>
            </w:r>
          </w:p>
        </w:tc>
      </w:tr>
      <w:tr w:rsidR="00BD055A" w:rsidRPr="006B7E20" w14:paraId="45D3FC79" w14:textId="77777777" w:rsidTr="00D11E27">
        <w:trPr>
          <w:trHeight w:val="113"/>
        </w:trPr>
        <w:tc>
          <w:tcPr>
            <w:tcW w:w="2828" w:type="pct"/>
          </w:tcPr>
          <w:p w14:paraId="1A34D012" w14:textId="77777777" w:rsidR="00712A66" w:rsidRPr="00712A66" w:rsidRDefault="00AD2DF5" w:rsidP="00712A66">
            <w:pPr>
              <w:pStyle w:val="ListParagraph"/>
              <w:numPr>
                <w:ilvl w:val="0"/>
                <w:numId w:val="3"/>
              </w:numPr>
              <w:spacing w:before="60" w:after="60" w:line="25" w:lineRule="atLeast"/>
              <w:contextualSpacing w:val="0"/>
              <w:rPr>
                <w:rFonts w:eastAsia="Times New Roman" w:cstheme="minorHAnsi"/>
                <w:color w:val="auto"/>
                <w:lang w:eastAsia="en-AU"/>
              </w:rPr>
            </w:pPr>
            <w:hyperlink w:anchor="_Other_Business_and" w:history="1">
              <w:r w:rsidR="00712A66" w:rsidRPr="00712A66">
                <w:rPr>
                  <w:rStyle w:val="Hyperlink"/>
                  <w:rFonts w:eastAsia="Times New Roman" w:cstheme="minorHAnsi"/>
                  <w:b/>
                  <w:color w:val="auto"/>
                  <w:u w:val="none"/>
                  <w:lang w:eastAsia="en-AU"/>
                </w:rPr>
                <w:t>Other business and close</w:t>
              </w:r>
            </w:hyperlink>
          </w:p>
          <w:p w14:paraId="6026A32E" w14:textId="77777777" w:rsidR="00712A66" w:rsidRPr="00712A66" w:rsidRDefault="00712A66" w:rsidP="00712A66">
            <w:pPr>
              <w:pStyle w:val="ListParagraph"/>
              <w:numPr>
                <w:ilvl w:val="1"/>
                <w:numId w:val="3"/>
              </w:numPr>
              <w:spacing w:before="60" w:after="60" w:line="25" w:lineRule="atLeast"/>
              <w:ind w:left="737" w:hanging="397"/>
              <w:contextualSpacing w:val="0"/>
              <w:rPr>
                <w:rFonts w:eastAsia="Times New Roman" w:cstheme="minorHAnsi"/>
                <w:b/>
                <w:lang w:eastAsia="en-AU"/>
              </w:rPr>
            </w:pPr>
            <w:r w:rsidRPr="00B91205">
              <w:rPr>
                <w:rFonts w:eastAsia="Times New Roman" w:cstheme="minorHAnsi"/>
                <w:lang w:eastAsia="en-AU"/>
              </w:rPr>
              <w:t xml:space="preserve">Other business raised </w:t>
            </w:r>
            <w:r>
              <w:rPr>
                <w:rFonts w:eastAsia="Times New Roman" w:cstheme="minorHAnsi"/>
                <w:lang w:eastAsia="en-AU"/>
              </w:rPr>
              <w:t>by members</w:t>
            </w:r>
          </w:p>
          <w:p w14:paraId="5228A749" w14:textId="454F06C9" w:rsidR="00BD055A" w:rsidRDefault="00712A66" w:rsidP="00712A66">
            <w:pPr>
              <w:pStyle w:val="ListParagraph"/>
              <w:numPr>
                <w:ilvl w:val="1"/>
                <w:numId w:val="3"/>
              </w:numPr>
              <w:spacing w:before="60" w:after="60" w:line="25" w:lineRule="atLeast"/>
              <w:ind w:left="737" w:hanging="397"/>
              <w:contextualSpacing w:val="0"/>
              <w:rPr>
                <w:rFonts w:eastAsia="Times New Roman" w:cstheme="minorHAnsi"/>
                <w:b/>
                <w:lang w:eastAsia="en-AU"/>
              </w:rPr>
            </w:pPr>
            <w:r w:rsidRPr="000A3FA8">
              <w:rPr>
                <w:rFonts w:eastAsia="Times New Roman" w:cstheme="minorHAnsi"/>
                <w:lang w:eastAsia="en-AU"/>
              </w:rPr>
              <w:t>Call for agenda items for the next meeting</w:t>
            </w:r>
          </w:p>
        </w:tc>
        <w:tc>
          <w:tcPr>
            <w:tcW w:w="1334" w:type="pct"/>
          </w:tcPr>
          <w:p w14:paraId="7CA66A31" w14:textId="785D9F99" w:rsidR="00BD055A" w:rsidRDefault="00712A66" w:rsidP="00084687">
            <w:pPr>
              <w:spacing w:after="60" w:line="25" w:lineRule="atLeast"/>
              <w:rPr>
                <w:rFonts w:eastAsia="Times New Roman" w:cstheme="minorHAnsi"/>
                <w:lang w:eastAsia="en-AU"/>
              </w:rPr>
            </w:pPr>
            <w:r>
              <w:rPr>
                <w:rFonts w:eastAsia="Times New Roman" w:cstheme="minorHAnsi"/>
                <w:lang w:eastAsia="en-AU"/>
              </w:rPr>
              <w:t>Tara Oliver</w:t>
            </w:r>
          </w:p>
        </w:tc>
        <w:tc>
          <w:tcPr>
            <w:tcW w:w="838" w:type="pct"/>
          </w:tcPr>
          <w:p w14:paraId="1744CF5E" w14:textId="49DF86B3" w:rsidR="00BD055A" w:rsidRDefault="00712A66" w:rsidP="00084687">
            <w:pPr>
              <w:rPr>
                <w:rFonts w:eastAsia="Times New Roman" w:cstheme="minorHAnsi"/>
                <w:lang w:eastAsia="en-AU"/>
              </w:rPr>
            </w:pPr>
            <w:r>
              <w:rPr>
                <w:rFonts w:eastAsia="Times New Roman" w:cstheme="minorHAnsi"/>
                <w:lang w:eastAsia="en-AU"/>
              </w:rPr>
              <w:t>AusIndustry</w:t>
            </w:r>
          </w:p>
        </w:tc>
      </w:tr>
      <w:tr w:rsidR="00BD055A" w:rsidRPr="006B7E20" w14:paraId="0B4D2C13" w14:textId="77777777" w:rsidTr="00D11E27">
        <w:trPr>
          <w:trHeight w:val="113"/>
        </w:trPr>
        <w:tc>
          <w:tcPr>
            <w:tcW w:w="2828" w:type="pct"/>
          </w:tcPr>
          <w:p w14:paraId="002B23C4" w14:textId="77777777" w:rsidR="00BD055A" w:rsidRPr="006B7E20" w:rsidRDefault="00BD055A" w:rsidP="00084687">
            <w:pPr>
              <w:jc w:val="right"/>
              <w:rPr>
                <w:rFonts w:cstheme="minorHAnsi"/>
                <w:szCs w:val="22"/>
              </w:rPr>
            </w:pPr>
            <w:r w:rsidRPr="006B7E20">
              <w:rPr>
                <w:rFonts w:eastAsia="Times New Roman" w:cstheme="minorHAnsi"/>
                <w:b/>
                <w:szCs w:val="22"/>
                <w:lang w:eastAsia="en-AU"/>
              </w:rPr>
              <w:t>Meeting Close</w:t>
            </w:r>
          </w:p>
        </w:tc>
        <w:tc>
          <w:tcPr>
            <w:tcW w:w="1334" w:type="pct"/>
          </w:tcPr>
          <w:p w14:paraId="1207BB25" w14:textId="77777777" w:rsidR="00BD055A" w:rsidRPr="006B7E20" w:rsidRDefault="00BD055A" w:rsidP="00084687">
            <w:pPr>
              <w:rPr>
                <w:rFonts w:cstheme="minorHAnsi"/>
                <w:szCs w:val="22"/>
              </w:rPr>
            </w:pPr>
          </w:p>
        </w:tc>
        <w:tc>
          <w:tcPr>
            <w:tcW w:w="838" w:type="pct"/>
          </w:tcPr>
          <w:p w14:paraId="4DA342F9" w14:textId="77777777" w:rsidR="00BD055A" w:rsidRPr="006B7E20" w:rsidRDefault="00BD055A" w:rsidP="00084687">
            <w:pPr>
              <w:rPr>
                <w:rFonts w:cstheme="minorHAnsi"/>
                <w:szCs w:val="22"/>
              </w:rPr>
            </w:pPr>
          </w:p>
        </w:tc>
      </w:tr>
    </w:tbl>
    <w:p w14:paraId="04EB532E" w14:textId="77777777" w:rsidR="000D3DD7" w:rsidRDefault="000D3DD7" w:rsidP="00211700">
      <w:pPr>
        <w:pStyle w:val="Heading2"/>
      </w:pPr>
    </w:p>
    <w:p w14:paraId="5D40E377" w14:textId="77777777" w:rsidR="000D3DD7" w:rsidRDefault="000D3DD7" w:rsidP="000D3DD7">
      <w:pPr>
        <w:rPr>
          <w:lang w:eastAsia="zh-CN"/>
        </w:rPr>
      </w:pPr>
      <w:r>
        <w:rPr>
          <w:lang w:eastAsia="zh-CN"/>
        </w:rPr>
        <w:br w:type="page"/>
      </w:r>
    </w:p>
    <w:p w14:paraId="7188CC27" w14:textId="0EEB1D44" w:rsidR="00CB0DDE" w:rsidRPr="00E5684C" w:rsidRDefault="00CB0DDE" w:rsidP="00211700">
      <w:pPr>
        <w:pStyle w:val="Heading2"/>
      </w:pPr>
      <w:r w:rsidRPr="00E5684C">
        <w:lastRenderedPageBreak/>
        <w:t>Introduction of co-chairs</w:t>
      </w:r>
      <w:r w:rsidR="00FE3B7A" w:rsidRPr="00E5684C">
        <w:t xml:space="preserve"> </w:t>
      </w:r>
    </w:p>
    <w:p w14:paraId="43AB2FB1" w14:textId="64940367" w:rsidR="000D3DD7" w:rsidRDefault="000D3DD7" w:rsidP="00E5684C">
      <w:pPr>
        <w:pStyle w:val="Bullet1"/>
      </w:pPr>
      <w:r>
        <w:t>Tara Oliver (AusIndustry</w:t>
      </w:r>
      <w:r w:rsidR="00CB0DDE" w:rsidRPr="000B16BC">
        <w:t>) welcomed attendees</w:t>
      </w:r>
      <w:r>
        <w:t xml:space="preserve"> and Glenn Cooper (ATO) as co-chair for the meeting</w:t>
      </w:r>
      <w:r w:rsidR="00E5551A" w:rsidRPr="000B16BC">
        <w:t xml:space="preserve">. </w:t>
      </w:r>
    </w:p>
    <w:p w14:paraId="23BFBC20" w14:textId="4BB6B9F0" w:rsidR="000D3DD7" w:rsidRDefault="000D3DD7" w:rsidP="00E5684C">
      <w:pPr>
        <w:pStyle w:val="Bullet1"/>
      </w:pPr>
      <w:r>
        <w:t xml:space="preserve">Apologies were conveyed for Kelly Canavan who was unable to attend. </w:t>
      </w:r>
    </w:p>
    <w:p w14:paraId="430BD644" w14:textId="35C95D8E" w:rsidR="0019392A" w:rsidRPr="008C60DA" w:rsidRDefault="00E5551A" w:rsidP="00951DA9">
      <w:pPr>
        <w:pStyle w:val="Bullet1"/>
      </w:pPr>
      <w:r w:rsidRPr="000B16BC">
        <w:t xml:space="preserve">Tara </w:t>
      </w:r>
      <w:r w:rsidR="002E6120">
        <w:t xml:space="preserve">Oliver </w:t>
      </w:r>
      <w:r w:rsidRPr="000B16BC">
        <w:t>commenced as General Manager for the R&amp;D</w:t>
      </w:r>
      <w:r w:rsidR="002C6347">
        <w:t xml:space="preserve"> </w:t>
      </w:r>
      <w:r w:rsidRPr="000B16BC">
        <w:t>T</w:t>
      </w:r>
      <w:r w:rsidR="002C6347">
        <w:t xml:space="preserve">ax </w:t>
      </w:r>
      <w:r w:rsidRPr="000B16BC">
        <w:t>I</w:t>
      </w:r>
      <w:r w:rsidR="002C6347">
        <w:t>ncentive</w:t>
      </w:r>
      <w:r w:rsidRPr="000B16BC">
        <w:t xml:space="preserve"> Branch on 10 August</w:t>
      </w:r>
      <w:r w:rsidR="00854163">
        <w:t xml:space="preserve"> 2022</w:t>
      </w:r>
      <w:r w:rsidR="00813CBD">
        <w:t>.</w:t>
      </w:r>
      <w:r w:rsidR="002E6120">
        <w:t xml:space="preserve"> She </w:t>
      </w:r>
      <w:r w:rsidR="0015219A" w:rsidRPr="000C4320">
        <w:t xml:space="preserve">is </w:t>
      </w:r>
      <w:r w:rsidR="002C1FAE" w:rsidRPr="000C4320">
        <w:t xml:space="preserve">keen to engage with stakeholders </w:t>
      </w:r>
      <w:r w:rsidR="00813CBD" w:rsidRPr="0028526D">
        <w:t xml:space="preserve">on </w:t>
      </w:r>
      <w:r w:rsidR="002C1FAE" w:rsidRPr="004E17EA">
        <w:t xml:space="preserve">the </w:t>
      </w:r>
      <w:r w:rsidR="0015219A" w:rsidRPr="00873D61">
        <w:t>R&amp;D Tax Incentive</w:t>
      </w:r>
      <w:r w:rsidR="00813CBD" w:rsidRPr="00873D61">
        <w:t xml:space="preserve"> </w:t>
      </w:r>
      <w:r w:rsidR="00813CBD">
        <w:t xml:space="preserve">and </w:t>
      </w:r>
      <w:r w:rsidR="002C1FAE" w:rsidRPr="000C4320">
        <w:t xml:space="preserve">encouraged </w:t>
      </w:r>
      <w:r w:rsidR="008C60DA">
        <w:t>members</w:t>
      </w:r>
      <w:r w:rsidR="002C1FAE" w:rsidRPr="008C60DA">
        <w:t xml:space="preserve"> to share their views </w:t>
      </w:r>
      <w:r w:rsidR="002E6120">
        <w:t xml:space="preserve">and provide input on agenda topics to </w:t>
      </w:r>
      <w:r w:rsidR="00813CBD">
        <w:t xml:space="preserve">ensure </w:t>
      </w:r>
      <w:r w:rsidR="002E6120">
        <w:t xml:space="preserve">the Roundtable is a valuable </w:t>
      </w:r>
      <w:r w:rsidR="002C1FAE" w:rsidRPr="008C60DA">
        <w:t>forum</w:t>
      </w:r>
      <w:r w:rsidR="002E6120">
        <w:t xml:space="preserve"> for all attendees</w:t>
      </w:r>
      <w:r w:rsidR="002C1FAE" w:rsidRPr="008C60DA">
        <w:t>.</w:t>
      </w:r>
    </w:p>
    <w:p w14:paraId="430BD647" w14:textId="0A6A02CD" w:rsidR="00C463D1" w:rsidRPr="00E5684C" w:rsidRDefault="00C463D1" w:rsidP="00211700">
      <w:pPr>
        <w:pStyle w:val="Heading2"/>
      </w:pPr>
      <w:r w:rsidRPr="00E5684C">
        <w:t xml:space="preserve">Roundtable </w:t>
      </w:r>
      <w:r w:rsidR="00A51F48" w:rsidRPr="00E5684C">
        <w:t>Terms of Reference</w:t>
      </w:r>
    </w:p>
    <w:p w14:paraId="6505D46C" w14:textId="77777777" w:rsidR="00BF1C6E" w:rsidRDefault="002E6120" w:rsidP="00951DA9">
      <w:pPr>
        <w:pStyle w:val="Bullet1"/>
      </w:pPr>
      <w:r>
        <w:t>The revised</w:t>
      </w:r>
      <w:r w:rsidR="00A51F48">
        <w:t xml:space="preserve"> </w:t>
      </w:r>
      <w:r w:rsidR="00A51F48" w:rsidRPr="002E6120">
        <w:rPr>
          <w:rStyle w:val="Hyperlink"/>
          <w:color w:val="auto"/>
          <w:u w:val="none"/>
        </w:rPr>
        <w:t>Terms of Reference</w:t>
      </w:r>
      <w:r w:rsidR="00A51F48" w:rsidRPr="002E6120">
        <w:rPr>
          <w:color w:val="auto"/>
        </w:rPr>
        <w:t xml:space="preserve"> </w:t>
      </w:r>
      <w:r w:rsidR="00854163" w:rsidRPr="002E6120">
        <w:rPr>
          <w:color w:val="auto"/>
        </w:rPr>
        <w:t xml:space="preserve">(TOR) </w:t>
      </w:r>
      <w:r w:rsidRPr="002E6120">
        <w:rPr>
          <w:color w:val="auto"/>
        </w:rPr>
        <w:t xml:space="preserve">for the Roundtable </w:t>
      </w:r>
      <w:r w:rsidR="00854163">
        <w:t>(</w:t>
      </w:r>
      <w:r w:rsidR="002C6347">
        <w:t xml:space="preserve">see </w:t>
      </w:r>
      <w:r w:rsidR="00854163" w:rsidRPr="002E6120">
        <w:rPr>
          <w:b/>
        </w:rPr>
        <w:t>Attachment 1</w:t>
      </w:r>
      <w:r w:rsidR="00854163">
        <w:t xml:space="preserve">) </w:t>
      </w:r>
      <w:r>
        <w:t xml:space="preserve">was shared with members for feedback </w:t>
      </w:r>
      <w:r w:rsidR="00BF1C6E">
        <w:t>on 12 July.</w:t>
      </w:r>
    </w:p>
    <w:p w14:paraId="204B78E9" w14:textId="77777777" w:rsidR="00BF1C6E" w:rsidRDefault="00BF1C6E" w:rsidP="00951DA9">
      <w:pPr>
        <w:pStyle w:val="Bullet1"/>
      </w:pPr>
      <w:r>
        <w:t>The changes</w:t>
      </w:r>
      <w:r w:rsidRPr="00BF1C6E">
        <w:t xml:space="preserve"> emphasise the </w:t>
      </w:r>
      <w:r>
        <w:t xml:space="preserve">purpose of the </w:t>
      </w:r>
      <w:r w:rsidRPr="00BF1C6E">
        <w:t xml:space="preserve">forum </w:t>
      </w:r>
      <w:r>
        <w:t>and refle</w:t>
      </w:r>
      <w:r w:rsidRPr="00BF1C6E">
        <w:t>ct the option of holding the meetings online which became a norm due to COVID lockdowns.</w:t>
      </w:r>
    </w:p>
    <w:p w14:paraId="604081CD" w14:textId="04C8E7F5" w:rsidR="00854163" w:rsidRDefault="00813CBD" w:rsidP="00951DA9">
      <w:pPr>
        <w:pStyle w:val="Bullet1"/>
      </w:pPr>
      <w:r>
        <w:t>Members</w:t>
      </w:r>
      <w:r w:rsidR="00A51F48" w:rsidRPr="004A40C9">
        <w:t xml:space="preserve"> </w:t>
      </w:r>
      <w:r w:rsidR="00BF1C6E">
        <w:t xml:space="preserve">providing feedback </w:t>
      </w:r>
      <w:r>
        <w:t xml:space="preserve">were thanked </w:t>
      </w:r>
      <w:r w:rsidR="00BF1C6E">
        <w:t xml:space="preserve">with some suggestions adopted into </w:t>
      </w:r>
      <w:r>
        <w:t>the final version</w:t>
      </w:r>
      <w:r w:rsidR="00854163">
        <w:t>.</w:t>
      </w:r>
    </w:p>
    <w:p w14:paraId="166C3123" w14:textId="0FC5B1EF" w:rsidR="008C60DA" w:rsidRDefault="004A5655" w:rsidP="00F0343A">
      <w:pPr>
        <w:pStyle w:val="Bullet1"/>
      </w:pPr>
      <w:r>
        <w:t>Dis</w:t>
      </w:r>
      <w:r w:rsidR="000B16BC">
        <w:t>cussion</w:t>
      </w:r>
      <w:r w:rsidR="008C60DA">
        <w:t xml:space="preserve"> arose</w:t>
      </w:r>
      <w:r w:rsidR="000B16BC">
        <w:t xml:space="preserve"> </w:t>
      </w:r>
      <w:r w:rsidR="008C60DA">
        <w:t xml:space="preserve">regarding the benefits of sharing </w:t>
      </w:r>
      <w:r w:rsidR="000B16BC">
        <w:t xml:space="preserve">information </w:t>
      </w:r>
      <w:r>
        <w:t xml:space="preserve">provided </w:t>
      </w:r>
      <w:r w:rsidR="000B16BC">
        <w:t xml:space="preserve">in the forum with </w:t>
      </w:r>
      <w:r w:rsidR="008C60DA">
        <w:t>o</w:t>
      </w:r>
      <w:r w:rsidR="000B16BC">
        <w:t>the</w:t>
      </w:r>
      <w:r w:rsidR="008C60DA">
        <w:t>rs</w:t>
      </w:r>
      <w:r w:rsidR="000B16BC">
        <w:t xml:space="preserve"> </w:t>
      </w:r>
      <w:r w:rsidR="008C60DA">
        <w:t xml:space="preserve">in the </w:t>
      </w:r>
      <w:r w:rsidR="000B16BC">
        <w:t xml:space="preserve">wider community. </w:t>
      </w:r>
      <w:r w:rsidR="008C60DA">
        <w:t>Further clarity was sought around c</w:t>
      </w:r>
      <w:r w:rsidR="000B16BC">
        <w:t xml:space="preserve">onfidentiality </w:t>
      </w:r>
      <w:r w:rsidR="008C60DA">
        <w:t xml:space="preserve">requirements </w:t>
      </w:r>
      <w:r w:rsidR="00F0343A">
        <w:t xml:space="preserve">implied by the </w:t>
      </w:r>
      <w:r w:rsidR="00854163">
        <w:t>Chatham House Rule</w:t>
      </w:r>
      <w:r w:rsidR="008C60DA">
        <w:t>s</w:t>
      </w:r>
      <w:r w:rsidR="00F0343A">
        <w:t xml:space="preserve">, particularly on </w:t>
      </w:r>
      <w:r w:rsidR="00F0343A" w:rsidRPr="00F0343A">
        <w:t xml:space="preserve">what can be shared more broadly and what is subject to </w:t>
      </w:r>
      <w:r w:rsidR="00F0343A">
        <w:t>confidentiality requirements</w:t>
      </w:r>
      <w:r w:rsidR="00854163">
        <w:t>.</w:t>
      </w:r>
    </w:p>
    <w:p w14:paraId="45657CA5" w14:textId="067629FB" w:rsidR="008C60DA" w:rsidRDefault="000B16BC" w:rsidP="00E5684C">
      <w:pPr>
        <w:pStyle w:val="Bullet1"/>
      </w:pPr>
      <w:r>
        <w:t xml:space="preserve">ATO and </w:t>
      </w:r>
      <w:r w:rsidR="000D3DD7">
        <w:t xml:space="preserve">AusIndustry </w:t>
      </w:r>
      <w:r>
        <w:t xml:space="preserve">will consider </w:t>
      </w:r>
      <w:r w:rsidR="00F0343A">
        <w:t xml:space="preserve">and respond to </w:t>
      </w:r>
      <w:r w:rsidR="00854163">
        <w:t>member</w:t>
      </w:r>
      <w:r>
        <w:t xml:space="preserve"> feedback</w:t>
      </w:r>
      <w:r w:rsidR="008C60DA">
        <w:t>.</w:t>
      </w:r>
    </w:p>
    <w:p w14:paraId="23401F31" w14:textId="12152810" w:rsidR="000B16BC" w:rsidRDefault="000C4320" w:rsidP="00E5684C">
      <w:r w:rsidRPr="00E5684C">
        <w:rPr>
          <w:i/>
        </w:rPr>
        <w:t>Note</w:t>
      </w:r>
      <w:r w:rsidR="004E59D2">
        <w:rPr>
          <w:i/>
        </w:rPr>
        <w:t xml:space="preserve"> to members</w:t>
      </w:r>
      <w:r w:rsidRPr="00E5684C">
        <w:rPr>
          <w:i/>
        </w:rPr>
        <w:t>:</w:t>
      </w:r>
      <w:r>
        <w:t xml:space="preserve"> </w:t>
      </w:r>
      <w:r w:rsidR="00BF1C6E">
        <w:t xml:space="preserve">Meeting </w:t>
      </w:r>
      <w:r>
        <w:t xml:space="preserve">summaries </w:t>
      </w:r>
      <w:r w:rsidR="00F0343A">
        <w:t xml:space="preserve">are distributed to all meeting members and will </w:t>
      </w:r>
      <w:r w:rsidR="00BF1C6E">
        <w:t xml:space="preserve">continue to be published on </w:t>
      </w:r>
      <w:r>
        <w:t xml:space="preserve">the </w:t>
      </w:r>
      <w:hyperlink r:id="rId14" w:history="1">
        <w:r w:rsidRPr="000C4320">
          <w:rPr>
            <w:rStyle w:val="Hyperlink"/>
          </w:rPr>
          <w:t>business.gov.au</w:t>
        </w:r>
      </w:hyperlink>
      <w:r>
        <w:t xml:space="preserve"> website following every meeting.</w:t>
      </w:r>
    </w:p>
    <w:p w14:paraId="430BD651" w14:textId="77777777" w:rsidR="00C463D1" w:rsidRPr="00E5684C" w:rsidRDefault="00C463D1" w:rsidP="00211700">
      <w:pPr>
        <w:pStyle w:val="Heading2"/>
      </w:pPr>
      <w:r w:rsidRPr="00E5684C">
        <w:t>AusIndustry Insights</w:t>
      </w:r>
    </w:p>
    <w:p w14:paraId="080CA6AD" w14:textId="3FA75423" w:rsidR="006C68F5" w:rsidRDefault="000C4320" w:rsidP="00E5684C">
      <w:r>
        <w:t xml:space="preserve">Members were invited to ask questions on the </w:t>
      </w:r>
      <w:r w:rsidR="006C68F5" w:rsidRPr="00BE4C51">
        <w:t>program update</w:t>
      </w:r>
      <w:r w:rsidR="006C68F5" w:rsidRPr="006C68F5">
        <w:t xml:space="preserve"> </w:t>
      </w:r>
      <w:r w:rsidR="00147D66">
        <w:t>included in</w:t>
      </w:r>
      <w:r w:rsidR="006C68F5" w:rsidRPr="006C68F5">
        <w:t xml:space="preserve"> the agenda papers (see </w:t>
      </w:r>
      <w:r w:rsidR="006C68F5" w:rsidRPr="002C6347">
        <w:rPr>
          <w:b/>
        </w:rPr>
        <w:t xml:space="preserve">Attachment </w:t>
      </w:r>
      <w:r w:rsidR="00854163" w:rsidRPr="002C6347">
        <w:rPr>
          <w:b/>
        </w:rPr>
        <w:t>2</w:t>
      </w:r>
      <w:r w:rsidR="006C68F5" w:rsidRPr="006C68F5">
        <w:t>).</w:t>
      </w:r>
      <w:r>
        <w:t xml:space="preserve"> Further insights were offered during the meeting</w:t>
      </w:r>
      <w:r w:rsidR="00147D66">
        <w:t xml:space="preserve"> as follows:</w:t>
      </w:r>
    </w:p>
    <w:p w14:paraId="0F3C51EC" w14:textId="4D1138BF" w:rsidR="000D3DD7" w:rsidRDefault="000D3DD7" w:rsidP="00E5684C">
      <w:pPr>
        <w:pStyle w:val="Heading3"/>
      </w:pPr>
      <w:r>
        <w:t>Customer Portal</w:t>
      </w:r>
      <w:r w:rsidR="000C4320">
        <w:t xml:space="preserve"> - Keelie Will</w:t>
      </w:r>
      <w:r w:rsidR="005C1E43">
        <w:t>ia</w:t>
      </w:r>
      <w:r w:rsidR="000C4320">
        <w:t>ms</w:t>
      </w:r>
    </w:p>
    <w:p w14:paraId="7BCCFD02" w14:textId="77777777" w:rsidR="00AF585C" w:rsidRDefault="00211700" w:rsidP="00E5684C">
      <w:pPr>
        <w:pStyle w:val="Bullet1"/>
      </w:pPr>
      <w:r w:rsidRPr="004E17EA">
        <w:t>Over</w:t>
      </w:r>
      <w:r>
        <w:t xml:space="preserve"> 13,000 applications have been submitted and processed through the customer portal since it was launched on 5 July 2021</w:t>
      </w:r>
      <w:r w:rsidR="00AF585C">
        <w:t>.</w:t>
      </w:r>
    </w:p>
    <w:p w14:paraId="6F50CDDB" w14:textId="77777777" w:rsidR="00AF585C" w:rsidRDefault="00211700" w:rsidP="00951DA9">
      <w:pPr>
        <w:pStyle w:val="Bullet1"/>
      </w:pPr>
      <w:r>
        <w:t>The R</w:t>
      </w:r>
      <w:r w:rsidR="006C68F5" w:rsidRPr="006C68F5">
        <w:t xml:space="preserve">egistration deadline on 3 May 2022 for companies with an income year </w:t>
      </w:r>
      <w:r w:rsidR="00CE41B8">
        <w:t>ending</w:t>
      </w:r>
      <w:r w:rsidR="006C68F5" w:rsidRPr="006C68F5">
        <w:t xml:space="preserve"> on 30 June 2021 was </w:t>
      </w:r>
      <w:r w:rsidR="00FE3B7A">
        <w:t>the first</w:t>
      </w:r>
      <w:r w:rsidR="006C68F5" w:rsidRPr="006C68F5">
        <w:t xml:space="preserve"> peak lodgement date to occur since the introduction of the customer portal. The portal handled the increased demand as anticipated</w:t>
      </w:r>
      <w:r>
        <w:t xml:space="preserve"> and o</w:t>
      </w:r>
      <w:r w:rsidR="006C68F5" w:rsidRPr="006C68F5">
        <w:t xml:space="preserve">n-going monitoring </w:t>
      </w:r>
      <w:r>
        <w:t xml:space="preserve">will </w:t>
      </w:r>
      <w:r w:rsidR="006C68F5" w:rsidRPr="006C68F5">
        <w:t xml:space="preserve">ensure the portal </w:t>
      </w:r>
      <w:r>
        <w:t xml:space="preserve">continues to </w:t>
      </w:r>
      <w:r w:rsidR="006C68F5" w:rsidRPr="006C68F5">
        <w:t>meet customer demand.</w:t>
      </w:r>
    </w:p>
    <w:p w14:paraId="621F3465" w14:textId="2253067E" w:rsidR="00211700" w:rsidRDefault="00211700" w:rsidP="00951DA9">
      <w:pPr>
        <w:pStyle w:val="Bullet1"/>
      </w:pPr>
      <w:r>
        <w:t xml:space="preserve">A systems update occurred </w:t>
      </w:r>
      <w:r w:rsidR="00AF585C">
        <w:t xml:space="preserve">for the customer portal </w:t>
      </w:r>
      <w:r>
        <w:t xml:space="preserve">on 29 June 2022 </w:t>
      </w:r>
      <w:r w:rsidR="00AF585C">
        <w:t xml:space="preserve">to </w:t>
      </w:r>
      <w:r w:rsidR="0028526D">
        <w:t xml:space="preserve">enable </w:t>
      </w:r>
      <w:r>
        <w:t xml:space="preserve">expanded </w:t>
      </w:r>
      <w:r w:rsidR="0028526D">
        <w:t xml:space="preserve">digital identity </w:t>
      </w:r>
      <w:r>
        <w:t xml:space="preserve">options as part of the login process. Further information can be found at </w:t>
      </w:r>
      <w:hyperlink r:id="rId15" w:history="1">
        <w:r w:rsidR="0028526D" w:rsidRPr="00136109">
          <w:rPr>
            <w:rStyle w:val="Hyperlink"/>
          </w:rPr>
          <w:t>https://www.digitalidentity.gov.au/</w:t>
        </w:r>
      </w:hyperlink>
      <w:r>
        <w:t>.</w:t>
      </w:r>
      <w:r w:rsidR="0028526D">
        <w:t xml:space="preserve"> Other updates involved a transition to the </w:t>
      </w:r>
      <w:r>
        <w:t xml:space="preserve">2020 ANZSRC </w:t>
      </w:r>
      <w:r w:rsidR="0028526D">
        <w:t>codes and incorporation of the 2022</w:t>
      </w:r>
      <w:r w:rsidR="00AF585C">
        <w:t>-</w:t>
      </w:r>
      <w:r w:rsidR="0028526D">
        <w:t xml:space="preserve">23 list of registered </w:t>
      </w:r>
      <w:r>
        <w:t>Research Service Provider and Cooperative Research Centre</w:t>
      </w:r>
      <w:r w:rsidR="0028526D">
        <w:t>s</w:t>
      </w:r>
      <w:r>
        <w:t>.</w:t>
      </w:r>
    </w:p>
    <w:p w14:paraId="507052DF" w14:textId="76CBB514" w:rsidR="000C4320" w:rsidRDefault="0028526D" w:rsidP="00E5684C">
      <w:pPr>
        <w:pStyle w:val="Bullet1"/>
      </w:pPr>
      <w:r>
        <w:t>N</w:t>
      </w:r>
      <w:r w:rsidR="00211700">
        <w:t xml:space="preserve">o </w:t>
      </w:r>
      <w:r>
        <w:t xml:space="preserve">other </w:t>
      </w:r>
      <w:r w:rsidR="00211700">
        <w:t xml:space="preserve">major updates </w:t>
      </w:r>
      <w:r>
        <w:t>to the customer portal are planned fo</w:t>
      </w:r>
      <w:r w:rsidR="00211700">
        <w:t>r the rest of 2022.</w:t>
      </w:r>
    </w:p>
    <w:p w14:paraId="15708956" w14:textId="391A7AB2" w:rsidR="000C4320" w:rsidRDefault="0028526D" w:rsidP="00E5684C">
      <w:pPr>
        <w:pStyle w:val="Heading3"/>
      </w:pPr>
      <w:r>
        <w:t>Data</w:t>
      </w:r>
      <w:r w:rsidR="000C4320">
        <w:t xml:space="preserve"> Insights - </w:t>
      </w:r>
      <w:r w:rsidR="00FE3B7A" w:rsidRPr="000C4320">
        <w:t>Andrew Lewis</w:t>
      </w:r>
    </w:p>
    <w:p w14:paraId="0F607131" w14:textId="52F90026" w:rsidR="00FE3B7A" w:rsidRPr="00211700" w:rsidRDefault="0028526D" w:rsidP="00E5684C">
      <w:pPr>
        <w:pStyle w:val="Bullet1"/>
      </w:pPr>
      <w:r>
        <w:t>R</w:t>
      </w:r>
      <w:r w:rsidR="00FE3B7A" w:rsidRPr="000C4320">
        <w:t>egistr</w:t>
      </w:r>
      <w:r w:rsidR="00FE3B7A" w:rsidRPr="00211700">
        <w:t>ation</w:t>
      </w:r>
      <w:r>
        <w:t xml:space="preserve"> </w:t>
      </w:r>
      <w:r w:rsidR="00FE3B7A" w:rsidRPr="00211700">
        <w:t>s</w:t>
      </w:r>
      <w:r>
        <w:t>tatistics were presented</w:t>
      </w:r>
      <w:r w:rsidR="00FE3B7A" w:rsidRPr="00211700">
        <w:t xml:space="preserve"> for the 2019-2020 income year</w:t>
      </w:r>
      <w:r>
        <w:t xml:space="preserve"> which is </w:t>
      </w:r>
      <w:r w:rsidR="00FE3B7A" w:rsidRPr="00211700">
        <w:t>the latest complete dataset available on account of the 10 month time limit to register activities after the end of the income year</w:t>
      </w:r>
      <w:r>
        <w:t xml:space="preserve">. These data are included in the program update at </w:t>
      </w:r>
      <w:r w:rsidRPr="00E5684C">
        <w:rPr>
          <w:b/>
        </w:rPr>
        <w:t>Attachment 2</w:t>
      </w:r>
      <w:r>
        <w:t xml:space="preserve">. The following comments were </w:t>
      </w:r>
      <w:r w:rsidR="00901068">
        <w:t>made</w:t>
      </w:r>
      <w:r>
        <w:t xml:space="preserve"> at the meeting</w:t>
      </w:r>
      <w:r w:rsidR="00FE3B7A" w:rsidRPr="00211700">
        <w:t>:</w:t>
      </w:r>
    </w:p>
    <w:p w14:paraId="0BA783F7" w14:textId="3D6FFEFD" w:rsidR="00FE3B7A" w:rsidRDefault="00B8608A" w:rsidP="00E5684C">
      <w:pPr>
        <w:pStyle w:val="Bullet2"/>
      </w:pPr>
      <w:r>
        <w:lastRenderedPageBreak/>
        <w:t>R</w:t>
      </w:r>
      <w:r w:rsidR="008074AE" w:rsidRPr="00D2722D">
        <w:t>egistrations and </w:t>
      </w:r>
      <w:r w:rsidR="00CE41B8">
        <w:t xml:space="preserve"> R&amp;D expenditure </w:t>
      </w:r>
      <w:r>
        <w:t xml:space="preserve">in </w:t>
      </w:r>
      <w:r w:rsidR="008074AE" w:rsidRPr="00D2722D">
        <w:t>the 2019-20 income period</w:t>
      </w:r>
      <w:r w:rsidR="00FE3B7A">
        <w:t xml:space="preserve"> </w:t>
      </w:r>
      <w:r w:rsidR="00901068">
        <w:t>is</w:t>
      </w:r>
      <w:r w:rsidR="00FE3B7A">
        <w:t xml:space="preserve"> </w:t>
      </w:r>
      <w:r w:rsidR="008074AE">
        <w:t xml:space="preserve">similar to the previous two years in </w:t>
      </w:r>
      <w:r>
        <w:t xml:space="preserve">terms of the </w:t>
      </w:r>
      <w:r w:rsidR="008074AE">
        <w:t xml:space="preserve">number of registrations, </w:t>
      </w:r>
      <w:r w:rsidR="00CE41B8">
        <w:t>with</w:t>
      </w:r>
      <w:r w:rsidR="008074AE">
        <w:t xml:space="preserve"> a slight increase in R&amp;D expenditure (2%) from last year. </w:t>
      </w:r>
    </w:p>
    <w:p w14:paraId="2D778A56" w14:textId="09EBF15F" w:rsidR="008074AE" w:rsidRPr="00D2722D" w:rsidRDefault="00CF7479" w:rsidP="00CF7479">
      <w:pPr>
        <w:pStyle w:val="Bullet2"/>
      </w:pPr>
      <w:r>
        <w:t xml:space="preserve">It is anticipated that </w:t>
      </w:r>
      <w:r w:rsidR="008074AE">
        <w:t xml:space="preserve">registrations </w:t>
      </w:r>
      <w:r>
        <w:t>for t</w:t>
      </w:r>
      <w:r w:rsidRPr="00CF7479">
        <w:t>he 2020-21 year</w:t>
      </w:r>
      <w:r>
        <w:t xml:space="preserve"> are</w:t>
      </w:r>
      <w:r w:rsidR="00B8608A">
        <w:t xml:space="preserve"> likely to </w:t>
      </w:r>
      <w:r w:rsidR="00CE41B8">
        <w:t>be</w:t>
      </w:r>
      <w:r w:rsidR="008074AE">
        <w:t xml:space="preserve"> similar </w:t>
      </w:r>
      <w:r w:rsidR="00901068">
        <w:t xml:space="preserve">to the previous year’s </w:t>
      </w:r>
      <w:r w:rsidR="008074AE">
        <w:t xml:space="preserve">registrations </w:t>
      </w:r>
      <w:r>
        <w:t xml:space="preserve">once completed with a slight increase in </w:t>
      </w:r>
      <w:r w:rsidR="008074AE">
        <w:t>R&amp;D expenditure (5%)</w:t>
      </w:r>
      <w:r w:rsidR="008074AE" w:rsidRPr="00D2722D">
        <w:t>.</w:t>
      </w:r>
    </w:p>
    <w:p w14:paraId="5E02C9BA" w14:textId="7498F106" w:rsidR="008074AE" w:rsidRPr="00D2722D" w:rsidRDefault="00FE3B7A" w:rsidP="00E5684C">
      <w:pPr>
        <w:pStyle w:val="Bullet2"/>
      </w:pPr>
      <w:r>
        <w:t>SMEs represent the</w:t>
      </w:r>
      <w:r w:rsidR="00B8608A">
        <w:t xml:space="preserve"> </w:t>
      </w:r>
      <w:r w:rsidR="008074AE" w:rsidRPr="00D2722D">
        <w:t xml:space="preserve">majority of registrations (88%) </w:t>
      </w:r>
      <w:r w:rsidR="00020884">
        <w:t>with</w:t>
      </w:r>
      <w:r w:rsidR="008074AE" w:rsidRPr="00D2722D">
        <w:t xml:space="preserve"> slightly less than half (49%) of </w:t>
      </w:r>
      <w:r w:rsidR="00020884">
        <w:t xml:space="preserve">total </w:t>
      </w:r>
      <w:r w:rsidR="008074AE" w:rsidRPr="00D2722D">
        <w:t xml:space="preserve">R&amp;D expenditure. </w:t>
      </w:r>
      <w:r w:rsidR="00F97DDB">
        <w:t>L</w:t>
      </w:r>
      <w:r w:rsidR="008074AE" w:rsidRPr="00D2722D">
        <w:t xml:space="preserve">arge companies comprise 12% of registrations </w:t>
      </w:r>
      <w:r w:rsidR="00B8608A">
        <w:t>with</w:t>
      </w:r>
      <w:r w:rsidR="008074AE" w:rsidRPr="00D2722D">
        <w:t xml:space="preserve"> a 51% share of R&amp;D expenditure.</w:t>
      </w:r>
    </w:p>
    <w:p w14:paraId="0C7E1DAF" w14:textId="2EC0A6E6" w:rsidR="008074AE" w:rsidRDefault="008074AE" w:rsidP="00E5684C">
      <w:pPr>
        <w:pStyle w:val="Bullet2"/>
      </w:pPr>
      <w:r>
        <w:t xml:space="preserve">ICT registrations </w:t>
      </w:r>
      <w:r w:rsidR="00F97DDB">
        <w:t xml:space="preserve">are relatively dominant in the program and </w:t>
      </w:r>
      <w:r w:rsidRPr="00D2722D">
        <w:t xml:space="preserve">constituted 45% of all R&amp;D </w:t>
      </w:r>
      <w:r w:rsidR="00B8608A">
        <w:t>r</w:t>
      </w:r>
      <w:r w:rsidRPr="00D2722D">
        <w:t xml:space="preserve">egistrations and 37% of R&amp;D </w:t>
      </w:r>
      <w:r>
        <w:t>e</w:t>
      </w:r>
      <w:r w:rsidRPr="00D2722D">
        <w:t>xpenditure in 2019-20.</w:t>
      </w:r>
      <w:r>
        <w:t xml:space="preserve"> </w:t>
      </w:r>
      <w:r w:rsidR="00F97DDB">
        <w:t xml:space="preserve">When looking at the size of entities submitting ICT registrations the breakdown is </w:t>
      </w:r>
      <w:r>
        <w:t>similar to the whole</w:t>
      </w:r>
      <w:r w:rsidR="00B8608A">
        <w:t>-</w:t>
      </w:r>
      <w:r>
        <w:t>of</w:t>
      </w:r>
      <w:r w:rsidR="00B8608A">
        <w:t>-</w:t>
      </w:r>
      <w:r>
        <w:t xml:space="preserve">program </w:t>
      </w:r>
      <w:r w:rsidR="00B8608A">
        <w:t xml:space="preserve">composition with </w:t>
      </w:r>
      <w:r w:rsidRPr="00D2722D">
        <w:t>SME</w:t>
      </w:r>
      <w:r w:rsidR="00020884">
        <w:t>s</w:t>
      </w:r>
      <w:r w:rsidRPr="00D2722D">
        <w:t xml:space="preserve"> account</w:t>
      </w:r>
      <w:r w:rsidR="00B8608A">
        <w:t>ing</w:t>
      </w:r>
      <w:r w:rsidRPr="00D2722D">
        <w:t xml:space="preserve"> for 90% of </w:t>
      </w:r>
      <w:r w:rsidR="00F97DDB">
        <w:t xml:space="preserve">ICT </w:t>
      </w:r>
      <w:r w:rsidRPr="00D2722D">
        <w:t xml:space="preserve">registrations </w:t>
      </w:r>
      <w:r w:rsidR="00020884">
        <w:t>and</w:t>
      </w:r>
      <w:r w:rsidRPr="00D2722D">
        <w:t xml:space="preserve"> 55% of </w:t>
      </w:r>
      <w:r w:rsidR="00F97DDB">
        <w:t xml:space="preserve">ICT-related </w:t>
      </w:r>
      <w:r w:rsidRPr="00D2722D">
        <w:t>R&amp;D expenditure</w:t>
      </w:r>
      <w:r>
        <w:t xml:space="preserve">. </w:t>
      </w:r>
      <w:r w:rsidRPr="00D2722D">
        <w:t xml:space="preserve">Large companies account for 10% of registrations </w:t>
      </w:r>
      <w:r w:rsidR="00020884">
        <w:t>and</w:t>
      </w:r>
      <w:r w:rsidRPr="00D2722D">
        <w:t xml:space="preserve"> 45% of R&amp;D expenditure.</w:t>
      </w:r>
    </w:p>
    <w:p w14:paraId="1D0C97CA" w14:textId="3E612861" w:rsidR="001030D9" w:rsidRDefault="001030D9" w:rsidP="00E5684C">
      <w:pPr>
        <w:pStyle w:val="Bullet1"/>
      </w:pPr>
      <w:r>
        <w:t>AusIndustry</w:t>
      </w:r>
      <w:r w:rsidR="0023285B">
        <w:t>’s</w:t>
      </w:r>
      <w:r>
        <w:t xml:space="preserve"> guidance-based</w:t>
      </w:r>
      <w:r w:rsidR="003E66CB">
        <w:t xml:space="preserve"> compliance</w:t>
      </w:r>
      <w:r>
        <w:t xml:space="preserve"> approach </w:t>
      </w:r>
      <w:r w:rsidR="003E66CB">
        <w:t xml:space="preserve">appears to be </w:t>
      </w:r>
      <w:r>
        <w:t>promot</w:t>
      </w:r>
      <w:r w:rsidR="003E66CB">
        <w:t>ing</w:t>
      </w:r>
      <w:r>
        <w:t xml:space="preserve"> greater understanding of program requirements</w:t>
      </w:r>
      <w:r w:rsidR="00F01BC3">
        <w:t>,</w:t>
      </w:r>
      <w:r w:rsidR="0023285B">
        <w:t xml:space="preserve"> </w:t>
      </w:r>
      <w:r>
        <w:t>help</w:t>
      </w:r>
      <w:r w:rsidR="00F01BC3">
        <w:t>ing</w:t>
      </w:r>
      <w:r>
        <w:t xml:space="preserve"> applicants to more accurately self-assess their activities. </w:t>
      </w:r>
      <w:r w:rsidR="00F01BC3">
        <w:t xml:space="preserve">Around </w:t>
      </w:r>
      <w:r>
        <w:t xml:space="preserve">92% of finalised compliance examinations </w:t>
      </w:r>
      <w:r w:rsidR="0023285B">
        <w:t xml:space="preserve">find </w:t>
      </w:r>
      <w:r w:rsidR="003E66CB">
        <w:t xml:space="preserve">assessed </w:t>
      </w:r>
      <w:r>
        <w:t xml:space="preserve">activities </w:t>
      </w:r>
      <w:r w:rsidR="003E66CB">
        <w:t>are</w:t>
      </w:r>
      <w:r w:rsidR="0023285B">
        <w:t xml:space="preserve"> in</w:t>
      </w:r>
      <w:r>
        <w:t>eligible</w:t>
      </w:r>
      <w:r w:rsidR="0023285B">
        <w:t xml:space="preserve"> suggesting</w:t>
      </w:r>
      <w:r w:rsidR="00F01BC3">
        <w:t xml:space="preserve"> AusIndustry is</w:t>
      </w:r>
      <w:r w:rsidR="0023285B">
        <w:t xml:space="preserve"> more effectively targeting </w:t>
      </w:r>
      <w:r w:rsidR="0023285B" w:rsidRPr="0023285B">
        <w:t>high risk applications</w:t>
      </w:r>
      <w:r w:rsidR="0023285B">
        <w:t>.</w:t>
      </w:r>
    </w:p>
    <w:p w14:paraId="39478815" w14:textId="204D483B" w:rsidR="001030D9" w:rsidRPr="00D2722D" w:rsidRDefault="001030D9" w:rsidP="00E5684C">
      <w:pPr>
        <w:pStyle w:val="Bullet1"/>
      </w:pPr>
      <w:r>
        <w:t xml:space="preserve">Members expressed interest in gaining insights on compliance trends across sectors and industries. </w:t>
      </w:r>
    </w:p>
    <w:p w14:paraId="20E45908" w14:textId="7858B8D2" w:rsidR="00B8608A" w:rsidRPr="00E5684C" w:rsidRDefault="00B8608A" w:rsidP="004E17EA">
      <w:pPr>
        <w:pStyle w:val="Heading3"/>
      </w:pPr>
      <w:r w:rsidRPr="00E5684C">
        <w:t>Compliance Insights – Tom Gilbert</w:t>
      </w:r>
    </w:p>
    <w:p w14:paraId="63BA3E70" w14:textId="4534CD02" w:rsidR="00FC7F3F" w:rsidRDefault="00F97DDB" w:rsidP="00E5684C">
      <w:pPr>
        <w:pStyle w:val="Bullet1"/>
      </w:pPr>
      <w:r w:rsidRPr="00F97DDB">
        <w:t xml:space="preserve">The introduction of the portal </w:t>
      </w:r>
      <w:r w:rsidR="001C036C">
        <w:t xml:space="preserve">application </w:t>
      </w:r>
      <w:r w:rsidRPr="00F97DDB">
        <w:t>form</w:t>
      </w:r>
      <w:r w:rsidR="001C036C">
        <w:t xml:space="preserve"> has</w:t>
      </w:r>
      <w:r>
        <w:t xml:space="preserve"> enabled </w:t>
      </w:r>
      <w:r w:rsidRPr="00F97DDB">
        <w:t xml:space="preserve">AusIndustry to better </w:t>
      </w:r>
      <w:r w:rsidR="00C41985">
        <w:t>identify companies who need support to apply the program’s legislative requirements</w:t>
      </w:r>
      <w:r w:rsidR="001C2DBB">
        <w:t xml:space="preserve">. The </w:t>
      </w:r>
      <w:r w:rsidR="00C41985">
        <w:t xml:space="preserve">requirement to distil </w:t>
      </w:r>
      <w:r w:rsidRPr="00F97DDB">
        <w:t>in</w:t>
      </w:r>
      <w:r w:rsidR="00C41985">
        <w:t>formation in the portal</w:t>
      </w:r>
      <w:r w:rsidRPr="00F97DDB">
        <w:t xml:space="preserve"> fields</w:t>
      </w:r>
      <w:r w:rsidR="00C41985">
        <w:t xml:space="preserve"> </w:t>
      </w:r>
      <w:r w:rsidR="00901068">
        <w:t>assists</w:t>
      </w:r>
      <w:r w:rsidR="00C41985">
        <w:t xml:space="preserve"> AusIndustry </w:t>
      </w:r>
      <w:r w:rsidR="00901068">
        <w:t>to p</w:t>
      </w:r>
      <w:r w:rsidR="00C41985">
        <w:t>rovide tailored e</w:t>
      </w:r>
      <w:r w:rsidR="00FC7F3F">
        <w:t>ducation</w:t>
      </w:r>
      <w:r w:rsidR="00C41985">
        <w:t xml:space="preserve"> and</w:t>
      </w:r>
      <w:r w:rsidR="00FC7F3F">
        <w:t xml:space="preserve"> advice</w:t>
      </w:r>
      <w:r w:rsidR="00C41985">
        <w:t xml:space="preserve"> and </w:t>
      </w:r>
      <w:r w:rsidR="001B4A3B">
        <w:t xml:space="preserve">better </w:t>
      </w:r>
      <w:r w:rsidR="00C41985">
        <w:t xml:space="preserve">target </w:t>
      </w:r>
      <w:r w:rsidR="00FC7F3F">
        <w:t>risk review</w:t>
      </w:r>
      <w:r w:rsidR="002D5BDF">
        <w:t>s</w:t>
      </w:r>
      <w:r w:rsidR="00FC7F3F">
        <w:t xml:space="preserve"> and examination activities.</w:t>
      </w:r>
    </w:p>
    <w:p w14:paraId="7AFA466B" w14:textId="3DDC7BA6" w:rsidR="00FC7F3F" w:rsidRDefault="00F01BC3" w:rsidP="00E5684C">
      <w:pPr>
        <w:pStyle w:val="Bullet1"/>
      </w:pPr>
      <w:r>
        <w:t>T</w:t>
      </w:r>
      <w:r w:rsidR="001B4A3B">
        <w:t>he</w:t>
      </w:r>
      <w:r w:rsidR="00B5476F">
        <w:t xml:space="preserve"> </w:t>
      </w:r>
      <w:r w:rsidR="001B4A3B">
        <w:t xml:space="preserve">requirement for an </w:t>
      </w:r>
      <w:r w:rsidR="00FC7F3F">
        <w:t xml:space="preserve">‘unknown outcome’ </w:t>
      </w:r>
      <w:r>
        <w:t xml:space="preserve">under the definition for eligibility </w:t>
      </w:r>
      <w:r w:rsidR="00F66DDD">
        <w:t>i</w:t>
      </w:r>
      <w:r w:rsidR="00FC7F3F">
        <w:t xml:space="preserve">s </w:t>
      </w:r>
      <w:r w:rsidR="001B4A3B">
        <w:t xml:space="preserve">not receiving equal focus by applicants. </w:t>
      </w:r>
      <w:r w:rsidR="002D5BDF">
        <w:t>A</w:t>
      </w:r>
      <w:r w:rsidR="001B4A3B">
        <w:t xml:space="preserve">pplicants </w:t>
      </w:r>
      <w:r w:rsidR="002D5BDF">
        <w:t xml:space="preserve">need </w:t>
      </w:r>
      <w:r w:rsidR="001B4A3B">
        <w:t xml:space="preserve">to be clear on why the </w:t>
      </w:r>
      <w:r w:rsidR="00FC7F3F">
        <w:t>outcome of their activities cannot be predicted on the basis of current expertise and professional knowledge</w:t>
      </w:r>
      <w:r w:rsidR="001B4A3B">
        <w:t xml:space="preserve"> and ensure they keep records to demonstrate the steps they undertook to </w:t>
      </w:r>
      <w:r w:rsidR="00FB57D2">
        <w:t>establish this.</w:t>
      </w:r>
    </w:p>
    <w:p w14:paraId="6E6C811C" w14:textId="164BF6F6" w:rsidR="00FC7F3F" w:rsidRDefault="00FC7F3F" w:rsidP="00E5684C">
      <w:pPr>
        <w:pStyle w:val="Bullet1"/>
      </w:pPr>
      <w:r w:rsidRPr="00F16D69">
        <w:t xml:space="preserve">AusIndustry continues to observe that the majority of registrants are either </w:t>
      </w:r>
      <w:r w:rsidR="00B5476F">
        <w:t>“</w:t>
      </w:r>
      <w:r w:rsidRPr="00F16D69">
        <w:t>getting it right</w:t>
      </w:r>
      <w:r w:rsidR="00B5476F">
        <w:t>”</w:t>
      </w:r>
      <w:r w:rsidRPr="00F16D69">
        <w:t xml:space="preserve">, or </w:t>
      </w:r>
      <w:r w:rsidR="00B5476F">
        <w:t>“</w:t>
      </w:r>
      <w:r w:rsidRPr="00F16D69">
        <w:t>trying to get it right</w:t>
      </w:r>
      <w:r w:rsidR="00B5476F">
        <w:t>”</w:t>
      </w:r>
      <w:r w:rsidR="00DF6F17">
        <w:t>,</w:t>
      </w:r>
      <w:r w:rsidRPr="00F16D69">
        <w:t xml:space="preserve"> and continues to implement a </w:t>
      </w:r>
      <w:r w:rsidR="004E17EA">
        <w:t>guidance</w:t>
      </w:r>
      <w:r w:rsidR="004B583E">
        <w:t>-</w:t>
      </w:r>
      <w:r w:rsidRPr="00F16D69">
        <w:t xml:space="preserve">based engagement model in its </w:t>
      </w:r>
      <w:r w:rsidR="004E17EA">
        <w:t>early</w:t>
      </w:r>
      <w:r w:rsidRPr="00F16D69">
        <w:t xml:space="preserve"> compliance interactions.</w:t>
      </w:r>
    </w:p>
    <w:p w14:paraId="2425A3D0" w14:textId="625AFC5B" w:rsidR="004E17EA" w:rsidRDefault="004E17EA" w:rsidP="00E5684C">
      <w:pPr>
        <w:pStyle w:val="Heading3"/>
      </w:pPr>
      <w:r>
        <w:t>Customer Survey</w:t>
      </w:r>
      <w:r w:rsidR="009A3404">
        <w:t xml:space="preserve"> </w:t>
      </w:r>
      <w:r w:rsidRPr="00BC302C">
        <w:t>– Lyndall Milward-Bason</w:t>
      </w:r>
    </w:p>
    <w:p w14:paraId="27AE22E4" w14:textId="1887DE5E" w:rsidR="00FE3B7A" w:rsidRDefault="00BE4C51" w:rsidP="00E5684C">
      <w:pPr>
        <w:pStyle w:val="Bullet1"/>
      </w:pPr>
      <w:r>
        <w:t xml:space="preserve">AusIndustry commissioned a customer survey to seek user feedback on </w:t>
      </w:r>
      <w:r w:rsidRPr="004978F6">
        <w:t>th</w:t>
      </w:r>
      <w:r>
        <w:t xml:space="preserve">e program’s </w:t>
      </w:r>
      <w:r w:rsidRPr="004978F6">
        <w:t>accessibility</w:t>
      </w:r>
      <w:r>
        <w:t>, client understanding of requi</w:t>
      </w:r>
      <w:r w:rsidRPr="004978F6">
        <w:t>rements</w:t>
      </w:r>
      <w:r>
        <w:t xml:space="preserve"> and perceived program benefits</w:t>
      </w:r>
      <w:r w:rsidRPr="004978F6">
        <w:t>.</w:t>
      </w:r>
      <w:r w:rsidR="00B5476F" w:rsidRPr="00B5476F">
        <w:t xml:space="preserve"> </w:t>
      </w:r>
      <w:r w:rsidR="00B5476F">
        <w:t xml:space="preserve">The survey </w:t>
      </w:r>
      <w:r w:rsidR="00B5476F" w:rsidRPr="00B5476F">
        <w:t>was sent to all 2020-21 program registrants</w:t>
      </w:r>
      <w:r w:rsidR="00873D61">
        <w:t xml:space="preserve"> </w:t>
      </w:r>
      <w:r w:rsidR="00B5476F">
        <w:t>attracting a</w:t>
      </w:r>
      <w:r w:rsidR="00873D61">
        <w:t>r</w:t>
      </w:r>
      <w:r w:rsidR="00FE3B7A">
        <w:t>ound 1,000 responses</w:t>
      </w:r>
      <w:r w:rsidR="00B5476F">
        <w:t xml:space="preserve"> with a </w:t>
      </w:r>
      <w:r w:rsidR="00FE3B7A">
        <w:t>high proportion from SMEs</w:t>
      </w:r>
      <w:r w:rsidR="007F7A88">
        <w:t>.</w:t>
      </w:r>
    </w:p>
    <w:p w14:paraId="781CD4DD" w14:textId="7ACA765F" w:rsidR="00873D61" w:rsidRDefault="00BE4C51" w:rsidP="00E5684C">
      <w:pPr>
        <w:pStyle w:val="Bullet1"/>
      </w:pPr>
      <w:r w:rsidRPr="004978F6">
        <w:t xml:space="preserve">The </w:t>
      </w:r>
      <w:r>
        <w:t xml:space="preserve">customer </w:t>
      </w:r>
      <w:r w:rsidRPr="004978F6">
        <w:t xml:space="preserve">survey </w:t>
      </w:r>
      <w:r>
        <w:t xml:space="preserve">forms part of a larger program of work to assess the impact of the program. </w:t>
      </w:r>
    </w:p>
    <w:p w14:paraId="57C73530" w14:textId="6A5BA227" w:rsidR="00BE4C51" w:rsidRPr="004E17EA" w:rsidRDefault="00A30266" w:rsidP="00BD0706">
      <w:pPr>
        <w:pStyle w:val="Bullet1"/>
      </w:pPr>
      <w:r>
        <w:t xml:space="preserve">Overall the survey indicates there is </w:t>
      </w:r>
      <w:r w:rsidR="00BE4C51" w:rsidRPr="004E17EA">
        <w:t xml:space="preserve">widespread appreciation of the importance of the R&amp;D Tax Incentive in supporting Australian organisations and industries. The benefits relate to both individual organisations and the positive impact on innovation within Australia more broadly. </w:t>
      </w:r>
      <w:r>
        <w:t xml:space="preserve"> </w:t>
      </w:r>
      <w:r w:rsidR="00BE4C51" w:rsidRPr="004E17EA">
        <w:t xml:space="preserve">An identified key benefit </w:t>
      </w:r>
      <w:r>
        <w:t xml:space="preserve">is </w:t>
      </w:r>
      <w:r w:rsidR="00BE4C51" w:rsidRPr="004E17EA">
        <w:t xml:space="preserve">that the </w:t>
      </w:r>
      <w:r>
        <w:t xml:space="preserve">incentive can </w:t>
      </w:r>
      <w:r w:rsidR="00BE4C51" w:rsidRPr="004E17EA">
        <w:t xml:space="preserve">be accessed by anyone in any field </w:t>
      </w:r>
      <w:r w:rsidR="006F4E3E">
        <w:t xml:space="preserve">of R&amp;D </w:t>
      </w:r>
      <w:r w:rsidR="00A618D9">
        <w:t>which</w:t>
      </w:r>
      <w:r w:rsidR="00BE4C51" w:rsidRPr="004E17EA">
        <w:t xml:space="preserve"> has promoted </w:t>
      </w:r>
      <w:r w:rsidR="00A618D9">
        <w:t xml:space="preserve">the opportunity </w:t>
      </w:r>
      <w:r w:rsidR="006F4E3E">
        <w:t>for</w:t>
      </w:r>
      <w:r w:rsidR="00A618D9">
        <w:t xml:space="preserve"> </w:t>
      </w:r>
      <w:r w:rsidR="00BE4C51" w:rsidRPr="004E17EA">
        <w:t xml:space="preserve">R&amp;D to industries where </w:t>
      </w:r>
      <w:r w:rsidR="00A618D9">
        <w:t>this</w:t>
      </w:r>
      <w:r w:rsidR="00BE4C51" w:rsidRPr="004E17EA">
        <w:t xml:space="preserve"> </w:t>
      </w:r>
      <w:r w:rsidR="00A618D9">
        <w:t xml:space="preserve">is traditionally less of </w:t>
      </w:r>
      <w:r w:rsidR="00BE4C51" w:rsidRPr="004E17EA">
        <w:t>a</w:t>
      </w:r>
      <w:r w:rsidR="00E30AE5">
        <w:t xml:space="preserve"> focus</w:t>
      </w:r>
      <w:r w:rsidR="007A7210" w:rsidRPr="004E17EA">
        <w:t>.</w:t>
      </w:r>
    </w:p>
    <w:p w14:paraId="430BD674" w14:textId="439B3602" w:rsidR="00C463D1" w:rsidRPr="00E5684C" w:rsidRDefault="00C463D1" w:rsidP="00211700">
      <w:pPr>
        <w:pStyle w:val="Heading2"/>
      </w:pPr>
      <w:r w:rsidRPr="00E5684C">
        <w:t>ATO Update</w:t>
      </w:r>
      <w:r w:rsidR="00FE3B7A" w:rsidRPr="00E5684C">
        <w:t xml:space="preserve"> </w:t>
      </w:r>
    </w:p>
    <w:p w14:paraId="430BD675" w14:textId="6FA6FDE3" w:rsidR="000533D6" w:rsidRPr="00E5684C" w:rsidRDefault="00084687" w:rsidP="00E5684C">
      <w:pPr>
        <w:pStyle w:val="Heading3"/>
      </w:pPr>
      <w:r w:rsidRPr="00E5684C">
        <w:t>Systems changes and website updates</w:t>
      </w:r>
      <w:r w:rsidR="00A330A7">
        <w:t xml:space="preserve"> – Glenn Cooper</w:t>
      </w:r>
    </w:p>
    <w:p w14:paraId="5FA720A3" w14:textId="79E01277" w:rsidR="00084687" w:rsidRPr="00406AD3" w:rsidRDefault="00084687" w:rsidP="00E5684C">
      <w:pPr>
        <w:pStyle w:val="Bullet1"/>
      </w:pPr>
      <w:r w:rsidRPr="00A330A7">
        <w:t xml:space="preserve">ATO systems have been updated </w:t>
      </w:r>
      <w:r w:rsidR="00A330A7">
        <w:t xml:space="preserve">to align with </w:t>
      </w:r>
      <w:r w:rsidRPr="00A330A7">
        <w:t xml:space="preserve">the </w:t>
      </w:r>
      <w:r w:rsidR="003A1F0B">
        <w:t>reforms</w:t>
      </w:r>
      <w:r w:rsidRPr="00A330A7">
        <w:t xml:space="preserve"> to the R&amp;D Tax Incentive for income years from 1 July 2021. The </w:t>
      </w:r>
      <w:r w:rsidR="00A330A7">
        <w:t xml:space="preserve">user instructions for the </w:t>
      </w:r>
      <w:r w:rsidRPr="00A330A7">
        <w:t>2022</w:t>
      </w:r>
      <w:r w:rsidRPr="00406AD3">
        <w:t xml:space="preserve"> R&amp;D schedule have </w:t>
      </w:r>
      <w:r w:rsidR="00A330A7">
        <w:t xml:space="preserve">also </w:t>
      </w:r>
      <w:r w:rsidRPr="00406AD3">
        <w:t>been updated to provide greater clarity.</w:t>
      </w:r>
    </w:p>
    <w:p w14:paraId="2DB39BF0" w14:textId="515645E1" w:rsidR="003A1F0B" w:rsidRDefault="00084687" w:rsidP="00E5684C">
      <w:pPr>
        <w:pStyle w:val="Bullet1"/>
      </w:pPr>
      <w:r w:rsidRPr="00406AD3">
        <w:lastRenderedPageBreak/>
        <w:t>The ATO is updat</w:t>
      </w:r>
      <w:r w:rsidR="00A330A7">
        <w:t>ing</w:t>
      </w:r>
      <w:r w:rsidRPr="00406AD3">
        <w:t xml:space="preserve"> its R&amp;D </w:t>
      </w:r>
      <w:r w:rsidR="003A1F0B">
        <w:t xml:space="preserve">Tax Incentive </w:t>
      </w:r>
      <w:r w:rsidRPr="00406AD3">
        <w:t>web</w:t>
      </w:r>
      <w:r w:rsidR="002F452B">
        <w:t>site</w:t>
      </w:r>
      <w:r w:rsidRPr="00406AD3">
        <w:t xml:space="preserve"> content </w:t>
      </w:r>
      <w:r w:rsidR="00A330A7">
        <w:t xml:space="preserve">as </w:t>
      </w:r>
      <w:r w:rsidRPr="00406AD3">
        <w:t>part of a wider site update</w:t>
      </w:r>
      <w:r w:rsidR="002F452B">
        <w:t>s</w:t>
      </w:r>
      <w:r w:rsidR="003A1F0B">
        <w:t xml:space="preserve"> to reflect the program reforms</w:t>
      </w:r>
      <w:r w:rsidRPr="00406AD3">
        <w:t xml:space="preserve">. The intention is to </w:t>
      </w:r>
      <w:r w:rsidR="00A330A7">
        <w:t xml:space="preserve">enhance the guidance that is available and </w:t>
      </w:r>
      <w:r w:rsidRPr="00406AD3">
        <w:t>improve search function</w:t>
      </w:r>
      <w:r w:rsidR="00A330A7">
        <w:t xml:space="preserve">s. </w:t>
      </w:r>
      <w:r w:rsidR="003A1F0B">
        <w:t>Refreshed</w:t>
      </w:r>
      <w:r w:rsidRPr="00406AD3">
        <w:t xml:space="preserve"> guidance </w:t>
      </w:r>
      <w:r w:rsidR="003A1F0B">
        <w:t>will be available on:</w:t>
      </w:r>
    </w:p>
    <w:p w14:paraId="36F601E3" w14:textId="1777FD03" w:rsidR="003A1F0B" w:rsidRDefault="00084687" w:rsidP="00E5684C">
      <w:pPr>
        <w:pStyle w:val="Bullet2"/>
      </w:pPr>
      <w:r w:rsidRPr="00406AD3">
        <w:t>record keeping and the nexus between registered activities and R&amp;D expenditure</w:t>
      </w:r>
    </w:p>
    <w:p w14:paraId="1907E0B1" w14:textId="71321BDA" w:rsidR="003A1F0B" w:rsidRDefault="00084687" w:rsidP="00E5684C">
      <w:pPr>
        <w:pStyle w:val="Bullet2"/>
      </w:pPr>
      <w:r w:rsidRPr="00406AD3">
        <w:t>apportionment of expenditure, including overheads</w:t>
      </w:r>
    </w:p>
    <w:p w14:paraId="00F497BE" w14:textId="2A636A24" w:rsidR="003A1F0B" w:rsidRDefault="00084687" w:rsidP="00E5684C">
      <w:pPr>
        <w:pStyle w:val="Bullet2"/>
      </w:pPr>
      <w:r w:rsidRPr="00406AD3">
        <w:t>payments to associates</w:t>
      </w:r>
    </w:p>
    <w:p w14:paraId="246513E2" w14:textId="6F3E2579" w:rsidR="00084687" w:rsidRPr="00406AD3" w:rsidRDefault="00084687" w:rsidP="00E5684C">
      <w:pPr>
        <w:pStyle w:val="Bullet2"/>
      </w:pPr>
      <w:r w:rsidRPr="00406AD3">
        <w:t xml:space="preserve">overseas expenditure and </w:t>
      </w:r>
      <w:r w:rsidR="003A1F0B">
        <w:t xml:space="preserve">the requirement for </w:t>
      </w:r>
      <w:r w:rsidR="007A7210" w:rsidRPr="00406AD3">
        <w:t>Advance and Overseas Finding</w:t>
      </w:r>
      <w:r w:rsidR="003A1F0B">
        <w:t>s</w:t>
      </w:r>
      <w:r w:rsidRPr="00406AD3">
        <w:t>.</w:t>
      </w:r>
    </w:p>
    <w:p w14:paraId="673E1D55" w14:textId="65BE9DEB" w:rsidR="00084687" w:rsidRPr="00406AD3" w:rsidRDefault="00084687" w:rsidP="00E5684C">
      <w:pPr>
        <w:pStyle w:val="Bullet1"/>
      </w:pPr>
      <w:r w:rsidRPr="00406AD3">
        <w:t>The ATO will be commencing a</w:t>
      </w:r>
      <w:r w:rsidR="003A1F0B">
        <w:t xml:space="preserve"> new expenditure module for the</w:t>
      </w:r>
      <w:r w:rsidRPr="00406AD3">
        <w:t xml:space="preserve"> software guide shortly. </w:t>
      </w:r>
    </w:p>
    <w:p w14:paraId="3130CFC2" w14:textId="5E35F4B1" w:rsidR="00084687" w:rsidRPr="00406AD3" w:rsidRDefault="00084687" w:rsidP="00E5684C">
      <w:pPr>
        <w:pStyle w:val="Bullet1"/>
      </w:pPr>
      <w:r w:rsidRPr="00406AD3">
        <w:t xml:space="preserve">Members </w:t>
      </w:r>
      <w:r w:rsidR="003A1F0B">
        <w:t xml:space="preserve">were </w:t>
      </w:r>
      <w:r w:rsidRPr="00406AD3">
        <w:t xml:space="preserve">invited to provide suggestions </w:t>
      </w:r>
      <w:r w:rsidR="003A1F0B">
        <w:t xml:space="preserve">for </w:t>
      </w:r>
      <w:r w:rsidRPr="00406AD3">
        <w:t xml:space="preserve">additional web content or guidance. </w:t>
      </w:r>
    </w:p>
    <w:p w14:paraId="7466DBD5" w14:textId="4A8EA39C" w:rsidR="00A330A7" w:rsidRDefault="00A330A7" w:rsidP="00E5684C">
      <w:pPr>
        <w:pStyle w:val="Heading3"/>
      </w:pPr>
      <w:r>
        <w:t>ATO Insights – Brett Challans</w:t>
      </w:r>
    </w:p>
    <w:p w14:paraId="4E6A14AE" w14:textId="44CC9FBB" w:rsidR="009F3450" w:rsidRPr="00406AD3" w:rsidRDefault="009F3450" w:rsidP="009F3450">
      <w:pPr>
        <w:pStyle w:val="Bullet1"/>
      </w:pPr>
      <w:r w:rsidRPr="00E5684C">
        <w:t xml:space="preserve">The ATO has noted incorrect claims for </w:t>
      </w:r>
      <w:r w:rsidRPr="00A330A7">
        <w:t>‘payments to associates’ with particular refer</w:t>
      </w:r>
      <w:r w:rsidRPr="00406AD3">
        <w:t xml:space="preserve">ence to loan repayments which </w:t>
      </w:r>
      <w:r w:rsidR="00974A88">
        <w:t xml:space="preserve">do not meet the requirements </w:t>
      </w:r>
      <w:r>
        <w:t xml:space="preserve">for </w:t>
      </w:r>
      <w:r w:rsidRPr="00406AD3">
        <w:t>payment</w:t>
      </w:r>
      <w:r>
        <w:t>s</w:t>
      </w:r>
      <w:r w:rsidRPr="00406AD3">
        <w:t xml:space="preserve"> to an associate. </w:t>
      </w:r>
    </w:p>
    <w:p w14:paraId="56A83F6F" w14:textId="77777777" w:rsidR="009F3450" w:rsidRPr="00406AD3" w:rsidRDefault="009F3450" w:rsidP="009F3450">
      <w:pPr>
        <w:pStyle w:val="Bullet1"/>
      </w:pPr>
      <w:r w:rsidRPr="00406AD3">
        <w:t xml:space="preserve">Overhead expenditure continues to be an issue of concern where companies are either not correctly apportioning their expenditure or simply picking up their expenses from their profit and loss and claiming the whole amount as an overhead. Companies </w:t>
      </w:r>
      <w:r>
        <w:t xml:space="preserve">are encouraged to </w:t>
      </w:r>
      <w:r w:rsidRPr="00406AD3">
        <w:t xml:space="preserve">take care with </w:t>
      </w:r>
      <w:r>
        <w:t>overhead claims</w:t>
      </w:r>
      <w:r w:rsidRPr="00406AD3">
        <w:t>.</w:t>
      </w:r>
    </w:p>
    <w:p w14:paraId="0F967891" w14:textId="583B3BF9" w:rsidR="009F3450" w:rsidRPr="00406AD3" w:rsidRDefault="009F3450" w:rsidP="009F3450">
      <w:pPr>
        <w:pStyle w:val="Bullet1"/>
      </w:pPr>
      <w:r w:rsidRPr="00406AD3">
        <w:t xml:space="preserve">The ATO </w:t>
      </w:r>
      <w:r>
        <w:t>do engage</w:t>
      </w:r>
      <w:r w:rsidRPr="00406AD3">
        <w:t xml:space="preserve"> with companies </w:t>
      </w:r>
      <w:r>
        <w:t xml:space="preserve">regarding </w:t>
      </w:r>
      <w:r w:rsidRPr="00406AD3">
        <w:t>payments to associates and apportionment of overhead expenditure and encourage</w:t>
      </w:r>
      <w:r>
        <w:t>s</w:t>
      </w:r>
      <w:r w:rsidRPr="00406AD3">
        <w:t xml:space="preserve"> companies and advisers to seek advice </w:t>
      </w:r>
      <w:r>
        <w:t xml:space="preserve">if there is doubt </w:t>
      </w:r>
      <w:r w:rsidRPr="00406AD3">
        <w:t xml:space="preserve">before lodgement to ensure their claims are correct. </w:t>
      </w:r>
      <w:r>
        <w:t>The</w:t>
      </w:r>
      <w:r w:rsidRPr="00406AD3">
        <w:t xml:space="preserve"> ATO </w:t>
      </w:r>
      <w:r>
        <w:t>can be contacted at</w:t>
      </w:r>
      <w:r w:rsidRPr="00406AD3">
        <w:t xml:space="preserve"> </w:t>
      </w:r>
      <w:hyperlink r:id="rId16" w:history="1">
        <w:r w:rsidRPr="00E5684C">
          <w:rPr>
            <w:rStyle w:val="Hyperlink"/>
            <w:color w:val="000000" w:themeColor="text1"/>
            <w:u w:val="none"/>
          </w:rPr>
          <w:t>innovationtax@ato.gov.au</w:t>
        </w:r>
      </w:hyperlink>
      <w:r>
        <w:rPr>
          <w:rStyle w:val="Hyperlink"/>
          <w:color w:val="000000" w:themeColor="text1"/>
          <w:u w:val="none"/>
        </w:rPr>
        <w:t xml:space="preserve"> and keen to assist by meeting with </w:t>
      </w:r>
      <w:r w:rsidRPr="00406AD3">
        <w:t xml:space="preserve">companies, consulting firms and industry groups </w:t>
      </w:r>
      <w:r w:rsidR="00C61E55">
        <w:t xml:space="preserve">and </w:t>
      </w:r>
      <w:r w:rsidRPr="00406AD3">
        <w:t>to assist with queries one-</w:t>
      </w:r>
      <w:r>
        <w:t>to</w:t>
      </w:r>
      <w:r w:rsidRPr="00406AD3">
        <w:t>-one.</w:t>
      </w:r>
    </w:p>
    <w:p w14:paraId="430BD67B" w14:textId="2C400AF8" w:rsidR="00C463D1" w:rsidRPr="00E5684C" w:rsidRDefault="00C463D1" w:rsidP="00211700">
      <w:pPr>
        <w:pStyle w:val="Heading2"/>
      </w:pPr>
      <w:r w:rsidRPr="00E5684C">
        <w:t>R</w:t>
      </w:r>
      <w:r w:rsidR="000C3AD6" w:rsidRPr="00E5684C">
        <w:t>esearch Service Providers</w:t>
      </w:r>
      <w:r w:rsidR="002C6347" w:rsidRPr="00E5684C">
        <w:t xml:space="preserve"> (RSPs)</w:t>
      </w:r>
    </w:p>
    <w:p w14:paraId="15FA6051" w14:textId="6476857F" w:rsidR="00126C47" w:rsidRDefault="00126C47" w:rsidP="00E5684C">
      <w:pPr>
        <w:pStyle w:val="Heading3"/>
      </w:pPr>
      <w:r>
        <w:t xml:space="preserve">RSP Working Group - </w:t>
      </w:r>
      <w:r w:rsidR="006C694D" w:rsidRPr="00126C47">
        <w:t>Lyndall Milward</w:t>
      </w:r>
      <w:r>
        <w:t>-</w:t>
      </w:r>
      <w:r w:rsidR="006C694D" w:rsidRPr="00126C47">
        <w:t>Bason</w:t>
      </w:r>
    </w:p>
    <w:p w14:paraId="3E6400B7" w14:textId="7B914671" w:rsidR="00286276" w:rsidRDefault="00BE4C51" w:rsidP="00E5684C">
      <w:pPr>
        <w:pStyle w:val="Bullet1"/>
      </w:pPr>
      <w:r w:rsidRPr="00126C47">
        <w:t xml:space="preserve">Roundtable members were invited to participate in </w:t>
      </w:r>
      <w:r w:rsidR="00286276">
        <w:t>a</w:t>
      </w:r>
      <w:r w:rsidRPr="00126C47">
        <w:t xml:space="preserve"> RSP Working Group</w:t>
      </w:r>
      <w:r w:rsidR="00286276">
        <w:t xml:space="preserve"> in June 2022 to </w:t>
      </w:r>
      <w:r w:rsidR="00B40C65">
        <w:t xml:space="preserve">discuss </w:t>
      </w:r>
      <w:r w:rsidR="00C61E55">
        <w:t xml:space="preserve">their </w:t>
      </w:r>
      <w:r w:rsidR="00286276" w:rsidRPr="008124C1">
        <w:t>experience</w:t>
      </w:r>
      <w:r w:rsidR="00C61E55">
        <w:t>s</w:t>
      </w:r>
      <w:r w:rsidR="00286276" w:rsidRPr="008124C1">
        <w:t xml:space="preserve"> </w:t>
      </w:r>
      <w:r w:rsidR="00286276">
        <w:t>and insights regarding</w:t>
      </w:r>
      <w:r w:rsidR="00286276" w:rsidRPr="008124C1">
        <w:t xml:space="preserve"> RSPs</w:t>
      </w:r>
      <w:r w:rsidR="00286276">
        <w:t xml:space="preserve"> and </w:t>
      </w:r>
      <w:r w:rsidR="004614C4">
        <w:t>generate</w:t>
      </w:r>
      <w:r w:rsidR="00B40C65">
        <w:t xml:space="preserve"> </w:t>
      </w:r>
      <w:r w:rsidR="00286276">
        <w:t xml:space="preserve">suggestions </w:t>
      </w:r>
      <w:r w:rsidR="00B40C65">
        <w:t xml:space="preserve">on </w:t>
      </w:r>
      <w:r w:rsidR="00286276" w:rsidRPr="008124C1">
        <w:t>building awareness of RSPs and encourag</w:t>
      </w:r>
      <w:r w:rsidR="00B40C65">
        <w:t>ing</w:t>
      </w:r>
      <w:r w:rsidR="00286276" w:rsidRPr="008124C1">
        <w:t xml:space="preserve"> </w:t>
      </w:r>
      <w:r w:rsidR="00286276">
        <w:t xml:space="preserve">research </w:t>
      </w:r>
      <w:r w:rsidR="00286276" w:rsidRPr="008124C1">
        <w:t>collaboration</w:t>
      </w:r>
      <w:r w:rsidR="00286276">
        <w:t>s in general.</w:t>
      </w:r>
    </w:p>
    <w:p w14:paraId="33644F49" w14:textId="773546EA" w:rsidR="00BE4C51" w:rsidRPr="00126C47" w:rsidRDefault="00BC75F1" w:rsidP="00E5684C">
      <w:pPr>
        <w:pStyle w:val="Bullet1"/>
      </w:pPr>
      <w:r w:rsidRPr="00126C47">
        <w:t>A</w:t>
      </w:r>
      <w:r w:rsidR="00BE4C51" w:rsidRPr="00126C47">
        <w:t xml:space="preserve"> summary of key themes </w:t>
      </w:r>
      <w:r w:rsidRPr="00126C47">
        <w:t xml:space="preserve">was shared </w:t>
      </w:r>
      <w:r w:rsidR="00BE4C51" w:rsidRPr="00126C47">
        <w:t>with members following the meeting</w:t>
      </w:r>
      <w:r w:rsidR="004A3763" w:rsidRPr="00126C47">
        <w:t xml:space="preserve"> (see </w:t>
      </w:r>
      <w:r w:rsidR="004A3763" w:rsidRPr="00286276">
        <w:rPr>
          <w:b/>
        </w:rPr>
        <w:t xml:space="preserve">Attachment </w:t>
      </w:r>
      <w:r w:rsidR="00854163" w:rsidRPr="00286276">
        <w:rPr>
          <w:b/>
        </w:rPr>
        <w:t>3</w:t>
      </w:r>
      <w:r w:rsidR="004A3763" w:rsidRPr="00126C47">
        <w:t>).</w:t>
      </w:r>
    </w:p>
    <w:p w14:paraId="7504CE39" w14:textId="1E6C8961" w:rsidR="004A3763" w:rsidRDefault="00B83EB7" w:rsidP="00E5684C">
      <w:pPr>
        <w:pStyle w:val="Bullet1"/>
      </w:pPr>
      <w:r>
        <w:t>M</w:t>
      </w:r>
      <w:r w:rsidR="004A3763" w:rsidRPr="00126C47">
        <w:t xml:space="preserve">embers indicated that the </w:t>
      </w:r>
      <w:r>
        <w:t xml:space="preserve">working </w:t>
      </w:r>
      <w:r w:rsidR="004A3763" w:rsidRPr="00126C47">
        <w:t xml:space="preserve">group was informative and helpful and that similar working groups on other issues impacting industry would be </w:t>
      </w:r>
      <w:r>
        <w:t xml:space="preserve">welcomed and </w:t>
      </w:r>
      <w:r w:rsidR="004A3763" w:rsidRPr="00126C47">
        <w:t>appreciated.</w:t>
      </w:r>
    </w:p>
    <w:p w14:paraId="6574B3BC" w14:textId="4568D828" w:rsidR="003F4D36" w:rsidRDefault="00C61E55" w:rsidP="00E5684C">
      <w:pPr>
        <w:pStyle w:val="Bullet1"/>
      </w:pPr>
      <w:r>
        <w:t xml:space="preserve">There was discussion on the </w:t>
      </w:r>
      <w:r w:rsidR="003F4D36">
        <w:t>Department of Education</w:t>
      </w:r>
      <w:r>
        <w:t>’s</w:t>
      </w:r>
      <w:r w:rsidR="003F4D36">
        <w:t xml:space="preserve"> IP Framework for universities to work with industry</w:t>
      </w:r>
      <w:r>
        <w:t xml:space="preserve"> released earlier in the week</w:t>
      </w:r>
      <w:r w:rsidR="003F4D36">
        <w:t xml:space="preserve">. The templates and guide make </w:t>
      </w:r>
      <w:r>
        <w:t xml:space="preserve">a small </w:t>
      </w:r>
      <w:r w:rsidR="003F4D36">
        <w:t>reference to the R&amp;D Tax Incentive</w:t>
      </w:r>
      <w:r>
        <w:t xml:space="preserve">. </w:t>
      </w:r>
      <w:r w:rsidR="00974A88">
        <w:t>[AusIndustry has since included information and the framework will be included in the October eBulletin]</w:t>
      </w:r>
    </w:p>
    <w:p w14:paraId="2E1A8591" w14:textId="6E497B16" w:rsidR="00286276" w:rsidRPr="00126C47" w:rsidRDefault="00286276" w:rsidP="00E5684C">
      <w:pPr>
        <w:pStyle w:val="Heading3"/>
      </w:pPr>
      <w:r>
        <w:t>RSP Registrations</w:t>
      </w:r>
      <w:r w:rsidR="001819C1">
        <w:t xml:space="preserve"> -</w:t>
      </w:r>
      <w:r w:rsidR="001819C1" w:rsidRPr="001819C1">
        <w:t xml:space="preserve"> Lyndall Milward-Bason</w:t>
      </w:r>
    </w:p>
    <w:p w14:paraId="27A776D4" w14:textId="08858C1A" w:rsidR="003764A7" w:rsidRPr="00126C47" w:rsidRDefault="003764A7" w:rsidP="00E5684C">
      <w:pPr>
        <w:pStyle w:val="Bullet1"/>
      </w:pPr>
      <w:r w:rsidRPr="00126C47">
        <w:t xml:space="preserve">RSP applications received by 30 June </w:t>
      </w:r>
      <w:r w:rsidR="005876D8">
        <w:t xml:space="preserve">2022 </w:t>
      </w:r>
      <w:r w:rsidRPr="00126C47">
        <w:t>for the coming year have been processed. This year</w:t>
      </w:r>
      <w:r w:rsidR="005876D8">
        <w:t>,</w:t>
      </w:r>
      <w:r w:rsidR="00486C72" w:rsidRPr="00126C47">
        <w:t xml:space="preserve"> </w:t>
      </w:r>
      <w:r w:rsidRPr="00126C47">
        <w:t xml:space="preserve">RSPs </w:t>
      </w:r>
      <w:r w:rsidR="00486C72" w:rsidRPr="00126C47">
        <w:t xml:space="preserve">were required to transition to the </w:t>
      </w:r>
      <w:r w:rsidRPr="00126C47">
        <w:t xml:space="preserve">updated </w:t>
      </w:r>
      <w:r w:rsidR="00486C72" w:rsidRPr="00126C47">
        <w:t xml:space="preserve">2020 </w:t>
      </w:r>
      <w:r w:rsidRPr="00126C47">
        <w:t>ANZSRC codes</w:t>
      </w:r>
      <w:r w:rsidR="002C6347" w:rsidRPr="00126C47">
        <w:t>.</w:t>
      </w:r>
    </w:p>
    <w:p w14:paraId="2DBAD0C8" w14:textId="294E9FC9" w:rsidR="003764A7" w:rsidRPr="00126C47" w:rsidRDefault="003764A7" w:rsidP="00E5684C">
      <w:pPr>
        <w:pStyle w:val="Bullet1"/>
      </w:pPr>
      <w:r w:rsidRPr="00126C47">
        <w:t xml:space="preserve">174 organisations </w:t>
      </w:r>
      <w:r w:rsidR="00486C72" w:rsidRPr="00126C47">
        <w:t xml:space="preserve">have been </w:t>
      </w:r>
      <w:r w:rsidRPr="00126C47">
        <w:t>registered as RSPs for the 2022-23 year. 27 RSPs chose not to renew</w:t>
      </w:r>
      <w:r w:rsidR="005876D8">
        <w:t>.</w:t>
      </w:r>
      <w:r w:rsidR="00486C72" w:rsidRPr="00126C47">
        <w:t xml:space="preserve"> </w:t>
      </w:r>
      <w:r w:rsidRPr="00126C47">
        <w:t xml:space="preserve">It is not clear why this reduction </w:t>
      </w:r>
      <w:r w:rsidR="005876D8">
        <w:t xml:space="preserve">in renewals </w:t>
      </w:r>
      <w:r w:rsidR="00E75E4D">
        <w:t xml:space="preserve">has </w:t>
      </w:r>
      <w:r w:rsidRPr="00126C47">
        <w:t>occurred</w:t>
      </w:r>
      <w:r w:rsidR="00486C72" w:rsidRPr="00126C47">
        <w:t xml:space="preserve"> and may be due to a number of factors such as the require</w:t>
      </w:r>
      <w:r w:rsidR="00C61E55">
        <w:t>ment</w:t>
      </w:r>
      <w:r w:rsidR="00486C72" w:rsidRPr="00126C47">
        <w:t xml:space="preserve"> to transition to the new ANZSRC</w:t>
      </w:r>
      <w:r w:rsidRPr="00126C47">
        <w:t xml:space="preserve"> codes </w:t>
      </w:r>
      <w:r w:rsidR="00486C72" w:rsidRPr="00126C47">
        <w:t>or t</w:t>
      </w:r>
      <w:r w:rsidRPr="00126C47">
        <w:t xml:space="preserve">he requirement for 5 full-time equivalent staff </w:t>
      </w:r>
      <w:r w:rsidR="00486C72" w:rsidRPr="00126C47">
        <w:t xml:space="preserve">which is possibly more </w:t>
      </w:r>
      <w:r w:rsidRPr="00126C47">
        <w:t>challenging in the current environment of skill</w:t>
      </w:r>
      <w:r w:rsidR="00C61E55">
        <w:t>s</w:t>
      </w:r>
      <w:r w:rsidRPr="00126C47">
        <w:t xml:space="preserve"> shortages.</w:t>
      </w:r>
      <w:r w:rsidR="00486C72" w:rsidRPr="00126C47">
        <w:t xml:space="preserve"> </w:t>
      </w:r>
    </w:p>
    <w:p w14:paraId="006E5406" w14:textId="19DB5499" w:rsidR="00A0563D" w:rsidRPr="00126C47" w:rsidRDefault="00486C72" w:rsidP="00E5684C">
      <w:pPr>
        <w:pStyle w:val="Bullet1"/>
      </w:pPr>
      <w:r w:rsidRPr="00126C47">
        <w:t xml:space="preserve">The </w:t>
      </w:r>
      <w:r w:rsidR="003764A7" w:rsidRPr="00126C47">
        <w:t xml:space="preserve">updated list of </w:t>
      </w:r>
      <w:r w:rsidRPr="00126C47">
        <w:t xml:space="preserve">2022-23 </w:t>
      </w:r>
      <w:r w:rsidR="003764A7" w:rsidRPr="00126C47">
        <w:t>Cooperative Research Centres (CRC</w:t>
      </w:r>
      <w:r w:rsidR="002C6347" w:rsidRPr="00126C47">
        <w:t>s</w:t>
      </w:r>
      <w:r w:rsidR="003764A7" w:rsidRPr="00126C47">
        <w:t xml:space="preserve">) and </w:t>
      </w:r>
      <w:r w:rsidR="002C6347" w:rsidRPr="00126C47">
        <w:t>RSPs</w:t>
      </w:r>
      <w:r w:rsidR="003764A7" w:rsidRPr="00126C47">
        <w:t xml:space="preserve"> </w:t>
      </w:r>
      <w:r w:rsidR="006C694D" w:rsidRPr="00126C47">
        <w:t>is now</w:t>
      </w:r>
      <w:r w:rsidR="003764A7" w:rsidRPr="00126C47">
        <w:t xml:space="preserve"> available in the </w:t>
      </w:r>
      <w:r w:rsidR="00F04FDB">
        <w:t xml:space="preserve">portal </w:t>
      </w:r>
      <w:r w:rsidRPr="00126C47">
        <w:t xml:space="preserve">and will soon be </w:t>
      </w:r>
      <w:r w:rsidR="003764A7" w:rsidRPr="00126C47">
        <w:t xml:space="preserve">published on the website. </w:t>
      </w:r>
    </w:p>
    <w:p w14:paraId="430BD687" w14:textId="24F4814E" w:rsidR="00C463D1" w:rsidRPr="00E5684C" w:rsidRDefault="00C463D1" w:rsidP="00211700">
      <w:pPr>
        <w:pStyle w:val="Heading2"/>
      </w:pPr>
      <w:r w:rsidRPr="00E5684C">
        <w:lastRenderedPageBreak/>
        <w:t xml:space="preserve">Advance </w:t>
      </w:r>
      <w:r w:rsidR="00033D00">
        <w:t xml:space="preserve">and </w:t>
      </w:r>
      <w:r w:rsidRPr="00E5684C">
        <w:t>Overseas Findings</w:t>
      </w:r>
      <w:r w:rsidR="008F661C" w:rsidRPr="00E5684C">
        <w:t xml:space="preserve"> (AOF)</w:t>
      </w:r>
    </w:p>
    <w:p w14:paraId="39CD3D6D" w14:textId="77777777" w:rsidR="00845186" w:rsidRDefault="00845186" w:rsidP="00E5684C">
      <w:pPr>
        <w:pStyle w:val="Heading3"/>
      </w:pPr>
      <w:r w:rsidRPr="00845186">
        <w:t>Shorter findings initiative</w:t>
      </w:r>
      <w:r>
        <w:t xml:space="preserve"> - </w:t>
      </w:r>
      <w:r w:rsidR="008F661C" w:rsidRPr="005930D2">
        <w:t>T</w:t>
      </w:r>
      <w:r w:rsidR="00F66DDD">
        <w:t>om Gilbert</w:t>
      </w:r>
    </w:p>
    <w:p w14:paraId="51590491" w14:textId="42AEA522" w:rsidR="00F66DDD" w:rsidRDefault="00F41D22" w:rsidP="00E5684C">
      <w:pPr>
        <w:pStyle w:val="Bullet1"/>
      </w:pPr>
      <w:r w:rsidRPr="005930D2">
        <w:t>A</w:t>
      </w:r>
      <w:r w:rsidR="00033D00">
        <w:t xml:space="preserve">dvance and </w:t>
      </w:r>
      <w:r w:rsidRPr="005930D2">
        <w:t>O</w:t>
      </w:r>
      <w:r w:rsidR="00033D00">
        <w:t xml:space="preserve">verseas </w:t>
      </w:r>
      <w:r w:rsidRPr="005930D2">
        <w:t>F</w:t>
      </w:r>
      <w:r w:rsidR="00033D00">
        <w:t>inding</w:t>
      </w:r>
      <w:r w:rsidR="00845186">
        <w:t xml:space="preserve">s </w:t>
      </w:r>
      <w:r w:rsidR="00033D00">
        <w:t xml:space="preserve">(AOF) </w:t>
      </w:r>
      <w:r w:rsidR="00845186">
        <w:t xml:space="preserve">aim to </w:t>
      </w:r>
      <w:r w:rsidRPr="005930D2">
        <w:t xml:space="preserve">provide certainty prior to </w:t>
      </w:r>
      <w:r w:rsidR="00845186">
        <w:t xml:space="preserve">application </w:t>
      </w:r>
      <w:r w:rsidR="00F66DDD">
        <w:t xml:space="preserve">and </w:t>
      </w:r>
      <w:r w:rsidR="00845186">
        <w:t>are</w:t>
      </w:r>
      <w:r w:rsidR="00F66DDD">
        <w:t xml:space="preserve"> essential for</w:t>
      </w:r>
      <w:r w:rsidR="008F661C" w:rsidRPr="005930D2">
        <w:t xml:space="preserve"> </w:t>
      </w:r>
      <w:r w:rsidR="00033D00">
        <w:t>activities conducted overseas.</w:t>
      </w:r>
    </w:p>
    <w:p w14:paraId="0FECC3FF" w14:textId="0E616995" w:rsidR="000D060F" w:rsidRDefault="005930D2" w:rsidP="000D060F">
      <w:pPr>
        <w:pStyle w:val="Bullet1"/>
      </w:pPr>
      <w:r>
        <w:t xml:space="preserve">AusIndustry </w:t>
      </w:r>
      <w:r w:rsidR="00845186">
        <w:t xml:space="preserve">is </w:t>
      </w:r>
      <w:r w:rsidR="000D060F">
        <w:t xml:space="preserve">improving </w:t>
      </w:r>
      <w:r>
        <w:t xml:space="preserve">AOF administration </w:t>
      </w:r>
      <w:r w:rsidR="000D060F">
        <w:t xml:space="preserve">with a </w:t>
      </w:r>
      <w:r w:rsidR="000D060F" w:rsidRPr="000D060F">
        <w:t xml:space="preserve">‘shorter findings’ project </w:t>
      </w:r>
      <w:r>
        <w:t xml:space="preserve">in response to stakeholder feedback and recommendations </w:t>
      </w:r>
      <w:r w:rsidR="000D060F">
        <w:t xml:space="preserve">made in </w:t>
      </w:r>
      <w:r w:rsidR="002C6347">
        <w:t>Australian National Audit Office (</w:t>
      </w:r>
      <w:r>
        <w:t>ANAO</w:t>
      </w:r>
      <w:r w:rsidR="002C6347">
        <w:t>)</w:t>
      </w:r>
      <w:r>
        <w:t xml:space="preserve"> and Board of Taxation</w:t>
      </w:r>
      <w:r w:rsidR="000D060F">
        <w:t xml:space="preserve"> reviews of the program</w:t>
      </w:r>
      <w:r w:rsidR="00B242A4">
        <w:t>.</w:t>
      </w:r>
      <w:r w:rsidR="000D060F" w:rsidRPr="000D060F">
        <w:t xml:space="preserve"> </w:t>
      </w:r>
      <w:r w:rsidR="000D060F">
        <w:t>Key areas of focus include:</w:t>
      </w:r>
    </w:p>
    <w:p w14:paraId="0927D81E" w14:textId="4A1513D8" w:rsidR="000D060F" w:rsidRDefault="000D060F" w:rsidP="000D060F">
      <w:pPr>
        <w:pStyle w:val="Bullet2"/>
      </w:pPr>
      <w:r>
        <w:t>new processes to target and close information gaps to enable assessment decisions</w:t>
      </w:r>
    </w:p>
    <w:p w14:paraId="589ABF81" w14:textId="77777777" w:rsidR="000D060F" w:rsidRDefault="000D060F" w:rsidP="000D060F">
      <w:pPr>
        <w:pStyle w:val="Bullet2"/>
      </w:pPr>
      <w:r>
        <w:t>revised assessment processes to create efficiencies</w:t>
      </w:r>
    </w:p>
    <w:p w14:paraId="43B19214" w14:textId="77777777" w:rsidR="000D060F" w:rsidRDefault="000D060F" w:rsidP="000D060F">
      <w:pPr>
        <w:pStyle w:val="Bullet2"/>
      </w:pPr>
      <w:r>
        <w:t>surge resourcing to help process applications in peak lodgement periods</w:t>
      </w:r>
    </w:p>
    <w:p w14:paraId="0E3DD76B" w14:textId="77777777" w:rsidR="000D060F" w:rsidRDefault="000D060F" w:rsidP="000D060F">
      <w:pPr>
        <w:pStyle w:val="Bullet2"/>
      </w:pPr>
      <w:r>
        <w:t>enhanced tracking and monitoring of case age</w:t>
      </w:r>
    </w:p>
    <w:p w14:paraId="757DE8A7" w14:textId="77777777" w:rsidR="000D060F" w:rsidRDefault="000D060F" w:rsidP="000D060F">
      <w:pPr>
        <w:pStyle w:val="Bullet1"/>
      </w:pPr>
      <w:r>
        <w:t>AOF examination timeframes have decreased over the last 3 years, with the average completion time from application lodgement to decision improving by around 30% (from 181 days in 2020-21 to 111 days in 2021-22).</w:t>
      </w:r>
    </w:p>
    <w:p w14:paraId="7A534520" w14:textId="26494073" w:rsidR="000D060F" w:rsidRDefault="000D060F" w:rsidP="000D060F">
      <w:pPr>
        <w:pStyle w:val="Bullet1"/>
      </w:pPr>
      <w:r>
        <w:t>AusIndustry</w:t>
      </w:r>
      <w:r w:rsidR="00C61E55">
        <w:t xml:space="preserve"> understands these timeframes remain too long and </w:t>
      </w:r>
      <w:r>
        <w:t>is actively working to shorten examination timeframes to 90 days. Companies seeking extensions of time for responses may extend decision timeframes.</w:t>
      </w:r>
    </w:p>
    <w:p w14:paraId="468F277D" w14:textId="57350D27" w:rsidR="005930D2" w:rsidRDefault="00F66DDD" w:rsidP="00E5684C">
      <w:pPr>
        <w:pStyle w:val="Bullet1"/>
      </w:pPr>
      <w:r>
        <w:t>The benefits of an advance finding include:</w:t>
      </w:r>
    </w:p>
    <w:p w14:paraId="7CEAD3CD" w14:textId="23B52807" w:rsidR="005930D2" w:rsidRDefault="005930D2" w:rsidP="00E5684C">
      <w:pPr>
        <w:pStyle w:val="Bullet2"/>
      </w:pPr>
      <w:r>
        <w:t>certainty from the regulators</w:t>
      </w:r>
      <w:r w:rsidR="00845186">
        <w:t xml:space="preserve">– an AOF is </w:t>
      </w:r>
      <w:r>
        <w:t>binding and can support fundraising or investment decisions, especially useful if significant expenditure is involved</w:t>
      </w:r>
    </w:p>
    <w:p w14:paraId="57CC672B" w14:textId="13A38D88" w:rsidR="005930D2" w:rsidRDefault="005930D2" w:rsidP="00E5684C">
      <w:pPr>
        <w:pStyle w:val="Bullet2"/>
      </w:pPr>
      <w:r>
        <w:t xml:space="preserve">no penalties derive from a negative finding – an </w:t>
      </w:r>
      <w:r w:rsidR="00974A88">
        <w:t xml:space="preserve">advance finding </w:t>
      </w:r>
      <w:r>
        <w:t xml:space="preserve">is not an audit and </w:t>
      </w:r>
      <w:r w:rsidR="002C6347">
        <w:t xml:space="preserve">is </w:t>
      </w:r>
      <w:r>
        <w:t xml:space="preserve">actually viewed as a positive compliance behaviour in light of the integrity framework </w:t>
      </w:r>
      <w:r w:rsidR="004A5655">
        <w:t>i.e.</w:t>
      </w:r>
      <w:r>
        <w:t xml:space="preserve"> “trying to get it right”</w:t>
      </w:r>
    </w:p>
    <w:p w14:paraId="7E85A1A4" w14:textId="175770AC" w:rsidR="005930D2" w:rsidRDefault="005930D2" w:rsidP="00E5684C">
      <w:pPr>
        <w:pStyle w:val="Bullet2"/>
      </w:pPr>
      <w:r>
        <w:t>findings last for three years</w:t>
      </w:r>
      <w:r w:rsidR="00920B76">
        <w:t>,</w:t>
      </w:r>
      <w:r>
        <w:t xml:space="preserve"> providing some flexibility for registering and claiming R&amp;D activities</w:t>
      </w:r>
      <w:r w:rsidR="002C6347">
        <w:t>.</w:t>
      </w:r>
    </w:p>
    <w:p w14:paraId="4ABE7D0D" w14:textId="58D2E308" w:rsidR="000D060F" w:rsidRDefault="000D060F" w:rsidP="000D060F">
      <w:pPr>
        <w:pStyle w:val="Bullet1"/>
      </w:pPr>
      <w:r>
        <w:t>Members shared their experience with advance findings. Some advised that the process was seen as time consuming and complex</w:t>
      </w:r>
      <w:r w:rsidR="00D202C8">
        <w:t xml:space="preserve"> and not used very often</w:t>
      </w:r>
      <w:r>
        <w:t xml:space="preserve">, while others noted </w:t>
      </w:r>
      <w:r w:rsidR="00D202C8">
        <w:t>a higher level of use and a positive experience in the last few years.</w:t>
      </w:r>
    </w:p>
    <w:p w14:paraId="430BD69E" w14:textId="513C1083" w:rsidR="00C463D1" w:rsidRPr="00E5684C" w:rsidRDefault="00C463D1" w:rsidP="00211700">
      <w:pPr>
        <w:pStyle w:val="Heading2"/>
      </w:pPr>
      <w:r w:rsidRPr="00E5684C">
        <w:t xml:space="preserve">Justified Trust </w:t>
      </w:r>
      <w:r w:rsidR="00FE66A9" w:rsidRPr="00E5684C">
        <w:t>and Large Business Reviews</w:t>
      </w:r>
    </w:p>
    <w:p w14:paraId="29D6C3FA" w14:textId="0F22C639" w:rsidR="00F64E99" w:rsidRDefault="00F64E99" w:rsidP="00E5684C">
      <w:pPr>
        <w:pStyle w:val="Heading3"/>
        <w:rPr>
          <w:rFonts w:eastAsia="Times New Roman"/>
          <w:lang w:eastAsia="en-AU"/>
        </w:rPr>
      </w:pPr>
      <w:r>
        <w:t xml:space="preserve">ATO’s Justified Trust Program - </w:t>
      </w:r>
      <w:r w:rsidR="00A0563D" w:rsidRPr="000C4320">
        <w:rPr>
          <w:rFonts w:eastAsia="Times New Roman"/>
          <w:lang w:eastAsia="en-AU"/>
        </w:rPr>
        <w:t>Faith Harako</w:t>
      </w:r>
    </w:p>
    <w:p w14:paraId="3DB59FC1" w14:textId="5F94D53D" w:rsidR="007A48D7" w:rsidRPr="009E3698" w:rsidRDefault="00A0563D" w:rsidP="00E5684C">
      <w:pPr>
        <w:pStyle w:val="Bullet1"/>
      </w:pPr>
      <w:r w:rsidRPr="000C4320">
        <w:rPr>
          <w:rFonts w:eastAsia="Times New Roman"/>
          <w:lang w:eastAsia="en-AU"/>
        </w:rPr>
        <w:t xml:space="preserve"> </w:t>
      </w:r>
      <w:r w:rsidR="007A48D7" w:rsidRPr="00211700">
        <w:t>The</w:t>
      </w:r>
      <w:r w:rsidR="00CA69DA" w:rsidRPr="0028526D">
        <w:t xml:space="preserve"> ATO’s</w:t>
      </w:r>
      <w:r w:rsidR="007A48D7" w:rsidRPr="004E17EA">
        <w:t xml:space="preserve"> Justified Trust Program</w:t>
      </w:r>
      <w:r>
        <w:t xml:space="preserve"> </w:t>
      </w:r>
      <w:r w:rsidR="007A48D7" w:rsidRPr="000C4320">
        <w:t xml:space="preserve">engages with the top 100 taxpayers </w:t>
      </w:r>
      <w:r w:rsidR="007A48D7" w:rsidRPr="00873D61">
        <w:t>on an annual basis</w:t>
      </w:r>
      <w:r w:rsidR="00CA69DA" w:rsidRPr="00873D61">
        <w:t>,</w:t>
      </w:r>
      <w:r w:rsidR="007A48D7" w:rsidRPr="00873D61">
        <w:t xml:space="preserve"> and with the next 1000 largest companies once every four years.</w:t>
      </w:r>
    </w:p>
    <w:p w14:paraId="481D7B19" w14:textId="1FA559F3" w:rsidR="006203FB" w:rsidRDefault="007A48D7" w:rsidP="00E5684C">
      <w:pPr>
        <w:pStyle w:val="Bullet1"/>
      </w:pPr>
      <w:r>
        <w:t xml:space="preserve">To achieve a high assurance of justified trust, the ATO </w:t>
      </w:r>
      <w:r w:rsidRPr="007A48D7">
        <w:t xml:space="preserve">seeks objective evidence that would lead a reasonable person to conclude that a taxpayer has paid the right amount of tax. </w:t>
      </w:r>
    </w:p>
    <w:p w14:paraId="0D156D6C" w14:textId="77777777" w:rsidR="006203FB" w:rsidRDefault="006203FB" w:rsidP="00E5684C">
      <w:pPr>
        <w:pStyle w:val="Bullet1"/>
      </w:pPr>
      <w:r>
        <w:t>Justified Trust involves four key areas of review:</w:t>
      </w:r>
    </w:p>
    <w:p w14:paraId="1E630771" w14:textId="5C86C0E2" w:rsidR="006203FB" w:rsidRDefault="006203FB" w:rsidP="00E5684C">
      <w:pPr>
        <w:pStyle w:val="Bullet2"/>
      </w:pPr>
      <w:r>
        <w:t>understanding the taxpayer’s tax</w:t>
      </w:r>
      <w:r w:rsidR="00CA69DA">
        <w:t xml:space="preserve"> position</w:t>
      </w:r>
      <w:r>
        <w:t>, risk management and governance framework</w:t>
      </w:r>
    </w:p>
    <w:p w14:paraId="58214E32" w14:textId="2DFC4EE2" w:rsidR="006203FB" w:rsidRDefault="006203FB" w:rsidP="00E5684C">
      <w:pPr>
        <w:pStyle w:val="Bullet2"/>
      </w:pPr>
      <w:r>
        <w:t xml:space="preserve">identifying tax risks </w:t>
      </w:r>
      <w:r w:rsidR="00CA69DA">
        <w:t>ATO has</w:t>
      </w:r>
      <w:r>
        <w:t xml:space="preserve"> flagged to the market</w:t>
      </w:r>
      <w:r w:rsidR="00CA69DA">
        <w:t xml:space="preserve"> e.g. Taxpayer Alerts</w:t>
      </w:r>
    </w:p>
    <w:p w14:paraId="10C1AD55" w14:textId="77777777" w:rsidR="006203FB" w:rsidRDefault="006203FB" w:rsidP="00E5684C">
      <w:pPr>
        <w:pStyle w:val="Bullet2"/>
      </w:pPr>
      <w:r>
        <w:t>understanding significant or new transactions</w:t>
      </w:r>
    </w:p>
    <w:p w14:paraId="71234F32" w14:textId="77777777" w:rsidR="006203FB" w:rsidRDefault="006203FB" w:rsidP="00E5684C">
      <w:pPr>
        <w:pStyle w:val="Bullet2"/>
      </w:pPr>
      <w:r>
        <w:t>understanding why accounting and tax results vary.</w:t>
      </w:r>
    </w:p>
    <w:p w14:paraId="07C4FE63" w14:textId="7B9B5863" w:rsidR="006203FB" w:rsidRDefault="006203FB" w:rsidP="00E5684C">
      <w:pPr>
        <w:pStyle w:val="Bullet1"/>
      </w:pPr>
      <w:r>
        <w:t>Four out of five taxpayers in the top 100 achieve a high or medium level of assurance,</w:t>
      </w:r>
      <w:r w:rsidRPr="006203FB">
        <w:t xml:space="preserve"> </w:t>
      </w:r>
      <w:r>
        <w:t>demonstrating a high level of willing participation in the tax system in this population</w:t>
      </w:r>
      <w:r w:rsidR="00CA69DA">
        <w:t>.</w:t>
      </w:r>
    </w:p>
    <w:p w14:paraId="17BA1317" w14:textId="6D47963A" w:rsidR="006203FB" w:rsidRDefault="00CA69DA" w:rsidP="00E5684C">
      <w:pPr>
        <w:pStyle w:val="Bullet1"/>
      </w:pPr>
      <w:r>
        <w:lastRenderedPageBreak/>
        <w:t>Common</w:t>
      </w:r>
      <w:r w:rsidR="006203FB">
        <w:t xml:space="preserve"> issues attracting a lower level of assurance involve transfer pricing matters (related party financing, marketing hubs, inbound distributions, intangibles and non-arm’s length pricing)</w:t>
      </w:r>
      <w:r>
        <w:t>, followed by</w:t>
      </w:r>
      <w:r w:rsidR="006203FB">
        <w:t xml:space="preserve"> uniform capital allowances and </w:t>
      </w:r>
      <w:r>
        <w:t xml:space="preserve">other </w:t>
      </w:r>
      <w:r w:rsidR="006203FB">
        <w:t>domestic risks.</w:t>
      </w:r>
    </w:p>
    <w:p w14:paraId="743B8FBD" w14:textId="77777777" w:rsidR="00A0563D" w:rsidRDefault="006203FB" w:rsidP="00E5684C">
      <w:pPr>
        <w:pStyle w:val="Bullet1"/>
      </w:pPr>
      <w:r>
        <w:t>The J</w:t>
      </w:r>
      <w:r w:rsidRPr="006203FB">
        <w:t xml:space="preserve">ustified </w:t>
      </w:r>
      <w:r>
        <w:t>T</w:t>
      </w:r>
      <w:r w:rsidRPr="006203FB">
        <w:t xml:space="preserve">rust reviews </w:t>
      </w:r>
      <w:r>
        <w:t xml:space="preserve">concerning the R&amp;D Tax Incentive </w:t>
      </w:r>
      <w:r w:rsidRPr="006203FB">
        <w:t xml:space="preserve">are focused on whether notional deductions are actually incurred on eligible activities, whether the deductions have been allocated using a </w:t>
      </w:r>
      <w:r w:rsidR="00CA69DA">
        <w:t xml:space="preserve">reasonable </w:t>
      </w:r>
      <w:r w:rsidRPr="006203FB">
        <w:t>methodology, in particular overhead expenditure, distinguishing between expenditure incurred on eligible</w:t>
      </w:r>
      <w:r w:rsidR="00CA69DA">
        <w:t xml:space="preserve"> R&amp;D</w:t>
      </w:r>
      <w:r w:rsidRPr="006203FB">
        <w:t xml:space="preserve"> activities and ordinary business activities</w:t>
      </w:r>
      <w:r w:rsidR="00CA69DA">
        <w:t>,</w:t>
      </w:r>
      <w:r w:rsidRPr="006203FB">
        <w:t xml:space="preserve"> and ensuring that a nexus between </w:t>
      </w:r>
      <w:r w:rsidR="00CA69DA">
        <w:t xml:space="preserve">R&amp;D </w:t>
      </w:r>
      <w:r w:rsidRPr="006203FB">
        <w:t xml:space="preserve">activities and expenditure </w:t>
      </w:r>
      <w:r w:rsidR="00CA69DA">
        <w:t>is</w:t>
      </w:r>
      <w:r w:rsidRPr="006203FB">
        <w:t xml:space="preserve"> demonstrated. </w:t>
      </w:r>
    </w:p>
    <w:p w14:paraId="6E7034EA" w14:textId="2C0635AE" w:rsidR="006203FB" w:rsidRDefault="006203FB" w:rsidP="00E5684C">
      <w:pPr>
        <w:pStyle w:val="Bullet1"/>
      </w:pPr>
      <w:r>
        <w:t>The ATO also l</w:t>
      </w:r>
      <w:r w:rsidRPr="006203FB">
        <w:t>ook</w:t>
      </w:r>
      <w:r>
        <w:t>s</w:t>
      </w:r>
      <w:r w:rsidRPr="006203FB">
        <w:t xml:space="preserve"> at governance and the controls in place to review registered activities and claims</w:t>
      </w:r>
      <w:r w:rsidR="00CA69DA">
        <w:t xml:space="preserve">, </w:t>
      </w:r>
      <w:r w:rsidRPr="006203FB">
        <w:t xml:space="preserve">the ability to distinguish between ordinary </w:t>
      </w:r>
      <w:r w:rsidR="00CA69DA">
        <w:t xml:space="preserve">business activities </w:t>
      </w:r>
      <w:r w:rsidRPr="006203FB">
        <w:t xml:space="preserve">and eligible </w:t>
      </w:r>
      <w:r w:rsidR="00CA69DA">
        <w:t xml:space="preserve">R&amp;D </w:t>
      </w:r>
      <w:r w:rsidRPr="006203FB">
        <w:t>activities</w:t>
      </w:r>
      <w:r w:rsidR="00CA69DA">
        <w:t>,</w:t>
      </w:r>
      <w:r w:rsidRPr="006203FB">
        <w:t xml:space="preserve"> and when eligible </w:t>
      </w:r>
      <w:r w:rsidR="00CA69DA">
        <w:t xml:space="preserve">R&amp;D </w:t>
      </w:r>
      <w:r w:rsidRPr="006203FB">
        <w:t>activities transition to ordinary business activities.</w:t>
      </w:r>
      <w:r>
        <w:t xml:space="preserve"> Questions of eligibility </w:t>
      </w:r>
      <w:r w:rsidR="00CA69DA">
        <w:t>are</w:t>
      </w:r>
      <w:r>
        <w:t xml:space="preserve"> referred to AusIndustry.</w:t>
      </w:r>
    </w:p>
    <w:p w14:paraId="12F86105" w14:textId="77777777" w:rsidR="00796106" w:rsidRDefault="00796106" w:rsidP="00E5684C">
      <w:pPr>
        <w:pStyle w:val="Bullet1"/>
      </w:pPr>
      <w:r w:rsidRPr="00796106">
        <w:t xml:space="preserve">R&amp;D does form some of the low assurance ratings and a large part of the medium assurance ratings. </w:t>
      </w:r>
      <w:r>
        <w:t>This</w:t>
      </w:r>
      <w:r w:rsidRPr="00796106">
        <w:t xml:space="preserve"> indicates that more information need</w:t>
      </w:r>
      <w:r>
        <w:t>s</w:t>
      </w:r>
      <w:r w:rsidRPr="00796106">
        <w:t xml:space="preserve"> to be provided to the ATO or more work</w:t>
      </w:r>
      <w:r>
        <w:t xml:space="preserve"> is</w:t>
      </w:r>
      <w:r w:rsidRPr="00796106">
        <w:t xml:space="preserve"> needed by ATO to advance</w:t>
      </w:r>
      <w:r>
        <w:t xml:space="preserve"> the review</w:t>
      </w:r>
      <w:r w:rsidRPr="00796106">
        <w:t xml:space="preserve">. </w:t>
      </w:r>
    </w:p>
    <w:p w14:paraId="47D6AF58" w14:textId="33ABA780" w:rsidR="00796106" w:rsidRDefault="00796106" w:rsidP="00E5684C">
      <w:pPr>
        <w:pStyle w:val="Bullet1"/>
      </w:pPr>
      <w:r>
        <w:t>Where</w:t>
      </w:r>
      <w:r w:rsidRPr="00796106">
        <w:t xml:space="preserve"> AusIndustry has made an adverse finding </w:t>
      </w:r>
      <w:r>
        <w:t>or the ATO has</w:t>
      </w:r>
      <w:r w:rsidRPr="00796106">
        <w:t xml:space="preserve"> concerns around expenditure and around nexus</w:t>
      </w:r>
      <w:r>
        <w:t xml:space="preserve">, this is flagged and </w:t>
      </w:r>
      <w:r w:rsidRPr="00796106">
        <w:t xml:space="preserve">normally carved out into some form of targeted review outside of the </w:t>
      </w:r>
      <w:r w:rsidR="00656491">
        <w:t>J</w:t>
      </w:r>
      <w:r w:rsidRPr="00796106">
        <w:t xml:space="preserve">ustified </w:t>
      </w:r>
      <w:r w:rsidR="00656491">
        <w:t>T</w:t>
      </w:r>
      <w:r w:rsidRPr="00796106">
        <w:t xml:space="preserve">rust product. </w:t>
      </w:r>
    </w:p>
    <w:p w14:paraId="221A656A" w14:textId="7C247E9D" w:rsidR="00796106" w:rsidRDefault="00796106" w:rsidP="00E5684C">
      <w:pPr>
        <w:pStyle w:val="Bullet1"/>
      </w:pPr>
      <w:r>
        <w:t xml:space="preserve">The ATO may </w:t>
      </w:r>
      <w:r w:rsidR="00656491">
        <w:t xml:space="preserve">also </w:t>
      </w:r>
      <w:r>
        <w:t xml:space="preserve">assign a </w:t>
      </w:r>
      <w:r w:rsidRPr="00796106">
        <w:t>‘not rated’ rating</w:t>
      </w:r>
      <w:r>
        <w:t xml:space="preserve">, </w:t>
      </w:r>
      <w:r w:rsidR="00656491">
        <w:t>e.g.</w:t>
      </w:r>
      <w:r>
        <w:t xml:space="preserve">, </w:t>
      </w:r>
      <w:r w:rsidRPr="00796106">
        <w:t xml:space="preserve">where the taxpayer hasn't claimed an R&amp;D Tax Incentive in </w:t>
      </w:r>
      <w:r w:rsidR="00656491">
        <w:t>the</w:t>
      </w:r>
      <w:r w:rsidRPr="00796106">
        <w:t xml:space="preserve"> particular year </w:t>
      </w:r>
      <w:r>
        <w:t>being reviewed</w:t>
      </w:r>
      <w:r w:rsidRPr="00796106">
        <w:t xml:space="preserve"> but </w:t>
      </w:r>
      <w:r w:rsidR="00656491">
        <w:t>has</w:t>
      </w:r>
      <w:r w:rsidRPr="00796106">
        <w:t xml:space="preserve"> indicated they might amend their return for that year or may claim the Incentive in a future year. </w:t>
      </w:r>
      <w:r>
        <w:t>The ATO</w:t>
      </w:r>
      <w:r w:rsidRPr="00796106">
        <w:t xml:space="preserve"> will review that in subsequent years.</w:t>
      </w:r>
    </w:p>
    <w:p w14:paraId="62B77475" w14:textId="77777777" w:rsidR="00523038" w:rsidRDefault="00796106" w:rsidP="00E5684C">
      <w:pPr>
        <w:pStyle w:val="Bullet1"/>
      </w:pPr>
      <w:r>
        <w:t>A</w:t>
      </w:r>
      <w:r w:rsidRPr="00796106">
        <w:t xml:space="preserve"> high assurance rating</w:t>
      </w:r>
      <w:r>
        <w:t xml:space="preserve"> can be given where there is</w:t>
      </w:r>
      <w:r w:rsidR="00523038">
        <w:t>:</w:t>
      </w:r>
    </w:p>
    <w:p w14:paraId="39EB725E" w14:textId="53335E17" w:rsidR="00523038" w:rsidRDefault="00796106" w:rsidP="00E5684C">
      <w:pPr>
        <w:pStyle w:val="Bullet2"/>
      </w:pPr>
      <w:r w:rsidRPr="00796106">
        <w:t>good governance</w:t>
      </w:r>
    </w:p>
    <w:p w14:paraId="7506844C" w14:textId="74AD67ED" w:rsidR="00523038" w:rsidRDefault="00796106" w:rsidP="00E5684C">
      <w:pPr>
        <w:pStyle w:val="Bullet2"/>
      </w:pPr>
      <w:r w:rsidRPr="00796106">
        <w:t>good documentation</w:t>
      </w:r>
    </w:p>
    <w:p w14:paraId="01B88A8F" w14:textId="3B78EB8E" w:rsidR="00523038" w:rsidRDefault="00796106" w:rsidP="00E5684C">
      <w:pPr>
        <w:pStyle w:val="Bullet2"/>
      </w:pPr>
      <w:r w:rsidRPr="00796106">
        <w:t xml:space="preserve">where </w:t>
      </w:r>
      <w:r>
        <w:t>the company has</w:t>
      </w:r>
      <w:r w:rsidRPr="00796106">
        <w:t xml:space="preserve"> lodged in accordance with AusIndustry findings</w:t>
      </w:r>
    </w:p>
    <w:p w14:paraId="23354BC2" w14:textId="59AA56C3" w:rsidR="00A0563D" w:rsidRDefault="00796106" w:rsidP="00E5684C">
      <w:pPr>
        <w:pStyle w:val="Bullet2"/>
      </w:pPr>
      <w:r w:rsidRPr="00796106">
        <w:t xml:space="preserve">no </w:t>
      </w:r>
      <w:r w:rsidR="00523038">
        <w:t xml:space="preserve">expenditure </w:t>
      </w:r>
      <w:r w:rsidRPr="00796106">
        <w:t xml:space="preserve">issues. </w:t>
      </w:r>
    </w:p>
    <w:p w14:paraId="69FA9630" w14:textId="41594E27" w:rsidR="00523038" w:rsidRDefault="00523038" w:rsidP="00E5684C">
      <w:pPr>
        <w:pStyle w:val="Heading3"/>
      </w:pPr>
      <w:r>
        <w:t xml:space="preserve">AusIndustry’s Large Business Reviews - </w:t>
      </w:r>
      <w:r w:rsidR="00A0563D">
        <w:t>Christopher Clarke</w:t>
      </w:r>
    </w:p>
    <w:p w14:paraId="31E5DC8A" w14:textId="23C20264" w:rsidR="00FE66A9" w:rsidRPr="00FE66A9" w:rsidRDefault="00A0563D" w:rsidP="00E5684C">
      <w:pPr>
        <w:pStyle w:val="Bullet1"/>
      </w:pPr>
      <w:r>
        <w:t xml:space="preserve"> </w:t>
      </w:r>
      <w:r w:rsidR="001819C1">
        <w:t xml:space="preserve">AusIndustry is continuing its </w:t>
      </w:r>
      <w:r w:rsidR="00FE66A9" w:rsidRPr="00FE66A9">
        <w:t>L</w:t>
      </w:r>
      <w:r w:rsidR="001819C1">
        <w:t xml:space="preserve">arge </w:t>
      </w:r>
      <w:r w:rsidR="00FE66A9" w:rsidRPr="00FE66A9">
        <w:t>B</w:t>
      </w:r>
      <w:r w:rsidR="001819C1">
        <w:t xml:space="preserve">usiness </w:t>
      </w:r>
      <w:r w:rsidR="00FE66A9" w:rsidRPr="00FE66A9">
        <w:t>R</w:t>
      </w:r>
      <w:r w:rsidR="001819C1">
        <w:t>eview</w:t>
      </w:r>
      <w:r w:rsidR="00FE66A9" w:rsidRPr="00FE66A9">
        <w:t xml:space="preserve"> </w:t>
      </w:r>
      <w:r w:rsidR="001819C1">
        <w:t xml:space="preserve">(LBR) </w:t>
      </w:r>
      <w:r w:rsidR="00FE66A9" w:rsidRPr="00FE66A9">
        <w:t>program from 2021.</w:t>
      </w:r>
    </w:p>
    <w:p w14:paraId="5A4A5985" w14:textId="2D7E45A9" w:rsidR="00FE66A9" w:rsidRPr="00FE66A9" w:rsidRDefault="001819C1" w:rsidP="00E5684C">
      <w:pPr>
        <w:pStyle w:val="Bullet1"/>
      </w:pPr>
      <w:r>
        <w:t>The reviews involve 2</w:t>
      </w:r>
      <w:r w:rsidR="00403B80">
        <w:t xml:space="preserve"> or </w:t>
      </w:r>
      <w:r>
        <w:t>3</w:t>
      </w:r>
      <w:r w:rsidR="00FE66A9" w:rsidRPr="00FE66A9">
        <w:t xml:space="preserve"> meetings </w:t>
      </w:r>
      <w:r>
        <w:t xml:space="preserve">with companies and their advisors </w:t>
      </w:r>
      <w:r w:rsidR="00FE66A9" w:rsidRPr="00FE66A9">
        <w:t xml:space="preserve">to understand how they self-assess for the </w:t>
      </w:r>
      <w:r w:rsidR="00FE66A9">
        <w:t>R&amp;D Tax Incentive and</w:t>
      </w:r>
      <w:r w:rsidR="00FE66A9" w:rsidRPr="00FE66A9">
        <w:t xml:space="preserve"> </w:t>
      </w:r>
      <w:r w:rsidR="00403B80">
        <w:t>to</w:t>
      </w:r>
      <w:r w:rsidR="00FE66A9" w:rsidRPr="00FE66A9">
        <w:t xml:space="preserve"> address any compliance issues.</w:t>
      </w:r>
    </w:p>
    <w:p w14:paraId="715936C7" w14:textId="604320B6" w:rsidR="00FE66A9" w:rsidRPr="00FE66A9" w:rsidRDefault="00403B80" w:rsidP="00E5684C">
      <w:pPr>
        <w:pStyle w:val="Bullet1"/>
      </w:pPr>
      <w:r>
        <w:t>LBRs</w:t>
      </w:r>
      <w:r w:rsidR="00FE66A9" w:rsidRPr="00FE66A9">
        <w:t xml:space="preserve"> aim to promote transparency so future engagement can focus on any areas of uncertainty and provide clarity for </w:t>
      </w:r>
      <w:r w:rsidR="001819C1">
        <w:t>future</w:t>
      </w:r>
      <w:r w:rsidR="001819C1" w:rsidRPr="00FE66A9">
        <w:t xml:space="preserve"> </w:t>
      </w:r>
      <w:r w:rsidR="00FE66A9" w:rsidRPr="00FE66A9">
        <w:t>claims</w:t>
      </w:r>
      <w:r w:rsidR="00FE66A9">
        <w:t>.</w:t>
      </w:r>
    </w:p>
    <w:p w14:paraId="7B9D32B9" w14:textId="2195DF8D" w:rsidR="00FE66A9" w:rsidRPr="00FE66A9" w:rsidRDefault="00403B80" w:rsidP="00E5684C">
      <w:pPr>
        <w:pStyle w:val="Bullet1"/>
      </w:pPr>
      <w:r>
        <w:t xml:space="preserve">AusIndustry </w:t>
      </w:r>
      <w:r w:rsidR="001819C1">
        <w:t xml:space="preserve">aims </w:t>
      </w:r>
      <w:r w:rsidR="00FE66A9" w:rsidRPr="00FE66A9">
        <w:t xml:space="preserve">to </w:t>
      </w:r>
      <w:r w:rsidR="001819C1">
        <w:t xml:space="preserve">complete 4 to 6 </w:t>
      </w:r>
      <w:r w:rsidR="00FE66A9" w:rsidRPr="00FE66A9">
        <w:t>LBRs each year selecting from a list of approximately 20</w:t>
      </w:r>
      <w:r>
        <w:t xml:space="preserve"> to </w:t>
      </w:r>
      <w:r w:rsidR="00FE66A9" w:rsidRPr="00FE66A9">
        <w:t>25 companies</w:t>
      </w:r>
      <w:r w:rsidR="001819C1">
        <w:t xml:space="preserve"> with an R&amp;D in excess of $40 million per annum that </w:t>
      </w:r>
      <w:r w:rsidR="001819C1" w:rsidRPr="001819C1">
        <w:t>have not been subject to compliance in the past four years</w:t>
      </w:r>
      <w:r w:rsidR="001819C1">
        <w:t xml:space="preserve">. Companies are selected </w:t>
      </w:r>
      <w:r w:rsidR="00FE66A9">
        <w:t>from a range of industries</w:t>
      </w:r>
      <w:r w:rsidR="001819C1">
        <w:t xml:space="preserve"> and </w:t>
      </w:r>
      <w:r w:rsidR="00FE66A9">
        <w:t>sectors</w:t>
      </w:r>
      <w:r w:rsidR="001819C1">
        <w:t>.</w:t>
      </w:r>
    </w:p>
    <w:p w14:paraId="430BD6B5" w14:textId="5573E210" w:rsidR="00C463D1" w:rsidRPr="00E5684C" w:rsidRDefault="000C7B48" w:rsidP="00E5684C">
      <w:pPr>
        <w:pStyle w:val="Heading2"/>
      </w:pPr>
      <w:r w:rsidRPr="00E5684C">
        <w:t>Action Items</w:t>
      </w:r>
    </w:p>
    <w:p w14:paraId="430BD6B6" w14:textId="3637D511" w:rsidR="00EC0612" w:rsidRDefault="000C7B48" w:rsidP="00E5684C">
      <w:pPr>
        <w:pStyle w:val="Bullet1"/>
      </w:pPr>
      <w:r w:rsidRPr="000C7B48">
        <w:t>ATO and AusIndustry</w:t>
      </w:r>
      <w:r>
        <w:t xml:space="preserve"> </w:t>
      </w:r>
      <w:r w:rsidR="001030D9">
        <w:t xml:space="preserve">to </w:t>
      </w:r>
      <w:r>
        <w:t xml:space="preserve">reflect on </w:t>
      </w:r>
      <w:r w:rsidR="007C387E">
        <w:t xml:space="preserve">the </w:t>
      </w:r>
      <w:r>
        <w:t xml:space="preserve">feedback provided </w:t>
      </w:r>
      <w:r w:rsidR="001030D9">
        <w:t xml:space="preserve">on </w:t>
      </w:r>
      <w:r>
        <w:t>the Terms of Reference</w:t>
      </w:r>
      <w:r w:rsidR="009042F7">
        <w:t xml:space="preserve"> and provide advice back to members on any changes</w:t>
      </w:r>
      <w:r>
        <w:t>.</w:t>
      </w:r>
    </w:p>
    <w:p w14:paraId="2AB69D0D" w14:textId="5ED43768" w:rsidR="009A6010" w:rsidRDefault="009A6010" w:rsidP="00E5684C">
      <w:pPr>
        <w:pStyle w:val="Bullet1"/>
      </w:pPr>
      <w:r w:rsidRPr="009A6010">
        <w:t xml:space="preserve">AusIndustry </w:t>
      </w:r>
      <w:r w:rsidR="009D443B">
        <w:t xml:space="preserve">to </w:t>
      </w:r>
      <w:r w:rsidR="00066DD0">
        <w:t xml:space="preserve">determine </w:t>
      </w:r>
      <w:r w:rsidR="007C387E">
        <w:t xml:space="preserve">what </w:t>
      </w:r>
      <w:r w:rsidRPr="009A6010">
        <w:t xml:space="preserve">additional data </w:t>
      </w:r>
      <w:r w:rsidR="00066DD0">
        <w:t xml:space="preserve">insights </w:t>
      </w:r>
      <w:r w:rsidRPr="009A6010">
        <w:t>c</w:t>
      </w:r>
      <w:r w:rsidR="00066DD0">
        <w:t xml:space="preserve">ould </w:t>
      </w:r>
      <w:r w:rsidRPr="009A6010">
        <w:t xml:space="preserve">be provided </w:t>
      </w:r>
      <w:r w:rsidR="00066DD0">
        <w:t xml:space="preserve">on </w:t>
      </w:r>
      <w:r w:rsidR="009D443B">
        <w:t>compliance trends.</w:t>
      </w:r>
    </w:p>
    <w:p w14:paraId="610328D4" w14:textId="77777777" w:rsidR="00066DD0" w:rsidRDefault="009A6010" w:rsidP="00E5684C">
      <w:pPr>
        <w:pStyle w:val="Bullet1"/>
      </w:pPr>
      <w:r>
        <w:t>M</w:t>
      </w:r>
      <w:r w:rsidRPr="009A6010">
        <w:t xml:space="preserve">embers </w:t>
      </w:r>
      <w:r w:rsidR="009D443B">
        <w:t xml:space="preserve">to </w:t>
      </w:r>
      <w:r w:rsidR="007C387E">
        <w:t>propose</w:t>
      </w:r>
      <w:r w:rsidRPr="009A6010">
        <w:t xml:space="preserve"> ideas on possible topics for future work</w:t>
      </w:r>
      <w:r w:rsidR="009D443B">
        <w:t>ing groups</w:t>
      </w:r>
      <w:r w:rsidR="00066DD0">
        <w:t xml:space="preserve"> and</w:t>
      </w:r>
      <w:r w:rsidR="00120744">
        <w:t xml:space="preserve"> Roundtable meetings</w:t>
      </w:r>
    </w:p>
    <w:p w14:paraId="0408F160" w14:textId="5863F686" w:rsidR="00066DD0" w:rsidRDefault="00066DD0" w:rsidP="00E5684C">
      <w:pPr>
        <w:pStyle w:val="Bullet1"/>
      </w:pPr>
      <w:r>
        <w:t xml:space="preserve">AusIndustry to consider </w:t>
      </w:r>
      <w:r w:rsidR="009042F7">
        <w:t xml:space="preserve">these topics and </w:t>
      </w:r>
      <w:r w:rsidR="009A6010" w:rsidRPr="009A6010">
        <w:t xml:space="preserve">opportunities </w:t>
      </w:r>
      <w:r w:rsidR="009D443B">
        <w:t xml:space="preserve">for </w:t>
      </w:r>
      <w:r w:rsidR="009A6010" w:rsidRPr="009A6010">
        <w:t>cross</w:t>
      </w:r>
      <w:r w:rsidR="007C387E">
        <w:t>-</w:t>
      </w:r>
      <w:r w:rsidR="009A6010" w:rsidRPr="009A6010">
        <w:t xml:space="preserve">portfolio </w:t>
      </w:r>
      <w:r w:rsidR="009D443B">
        <w:t>collaboration</w:t>
      </w:r>
      <w:r w:rsidR="009042F7">
        <w:t xml:space="preserve"> as part of future workshops</w:t>
      </w:r>
      <w:r w:rsidR="009D443B">
        <w:t>.</w:t>
      </w:r>
    </w:p>
    <w:p w14:paraId="391C9300" w14:textId="77777777" w:rsidR="00BD0706" w:rsidRDefault="00BD0706" w:rsidP="00066DD0"/>
    <w:p w14:paraId="4651E748" w14:textId="6536AE0D" w:rsidR="000C7B48" w:rsidRPr="000C7B48" w:rsidRDefault="00066DD0" w:rsidP="00066DD0">
      <w:r>
        <w:lastRenderedPageBreak/>
        <w:t>All f</w:t>
      </w:r>
      <w:r w:rsidR="000C7B48" w:rsidRPr="000C7B48">
        <w:t xml:space="preserve">eedback </w:t>
      </w:r>
      <w:r w:rsidR="00120744">
        <w:t>and suggestions are</w:t>
      </w:r>
      <w:r>
        <w:t xml:space="preserve"> welcome at</w:t>
      </w:r>
      <w:r w:rsidR="000C7B48" w:rsidRPr="000C7B48">
        <w:t xml:space="preserve"> </w:t>
      </w:r>
      <w:hyperlink r:id="rId17" w:history="1">
        <w:r w:rsidR="00D13E4D" w:rsidRPr="00527181">
          <w:rPr>
            <w:rStyle w:val="Hyperlink"/>
            <w:szCs w:val="20"/>
          </w:rPr>
          <w:t>rdti.engagement@industry.gov.au</w:t>
        </w:r>
      </w:hyperlink>
      <w:r w:rsidR="00D13E4D">
        <w:t xml:space="preserve"> </w:t>
      </w:r>
    </w:p>
    <w:p w14:paraId="3EDC4D53" w14:textId="77777777" w:rsidR="005720CB" w:rsidRDefault="00854163" w:rsidP="00211700">
      <w:pPr>
        <w:pStyle w:val="Heading2"/>
      </w:pPr>
      <w:r>
        <w:t>Attachment</w:t>
      </w:r>
      <w:r w:rsidR="005720CB">
        <w:t>s</w:t>
      </w:r>
    </w:p>
    <w:p w14:paraId="658125F6" w14:textId="299521DC" w:rsidR="00854163" w:rsidRDefault="00AD2DF5" w:rsidP="005720CB">
      <w:pPr>
        <w:pStyle w:val="Heading3"/>
      </w:pPr>
      <w:hyperlink w:anchor="_Attachment_1_–" w:history="1">
        <w:r w:rsidR="005720CB" w:rsidRPr="00F466AB">
          <w:rPr>
            <w:rStyle w:val="Hyperlink"/>
          </w:rPr>
          <w:t>Attac</w:t>
        </w:r>
        <w:r w:rsidR="006E7B70" w:rsidRPr="00F466AB">
          <w:rPr>
            <w:rStyle w:val="Hyperlink"/>
          </w:rPr>
          <w:t>h</w:t>
        </w:r>
        <w:r w:rsidR="005720CB" w:rsidRPr="00F466AB">
          <w:rPr>
            <w:rStyle w:val="Hyperlink"/>
          </w:rPr>
          <w:t>ment</w:t>
        </w:r>
        <w:r w:rsidR="00854163" w:rsidRPr="00F466AB">
          <w:rPr>
            <w:rStyle w:val="Hyperlink"/>
          </w:rPr>
          <w:t xml:space="preserve"> 1</w:t>
        </w:r>
        <w:r w:rsidR="00BC75F1" w:rsidRPr="00F466AB">
          <w:rPr>
            <w:rStyle w:val="Hyperlink"/>
          </w:rPr>
          <w:t xml:space="preserve"> – Roundtable Terms of Reference</w:t>
        </w:r>
        <w:r w:rsidR="00974A88" w:rsidRPr="00F466AB">
          <w:rPr>
            <w:rStyle w:val="Hyperlink"/>
          </w:rPr>
          <w:t xml:space="preserve"> as at 1 September 2022</w:t>
        </w:r>
        <w:r w:rsidR="00B30A8D" w:rsidRPr="00F466AB">
          <w:rPr>
            <w:rStyle w:val="Hyperlink"/>
          </w:rPr>
          <w:t xml:space="preserve"> (currently under review)</w:t>
        </w:r>
      </w:hyperlink>
    </w:p>
    <w:p w14:paraId="269A3CE3" w14:textId="50BDD25E" w:rsidR="00854163" w:rsidRPr="00854163" w:rsidRDefault="00854163" w:rsidP="00854163">
      <w:pPr>
        <w:rPr>
          <w:lang w:eastAsia="zh-CN"/>
        </w:rPr>
      </w:pPr>
    </w:p>
    <w:p w14:paraId="5F599BDA" w14:textId="3FA4BDC8" w:rsidR="006C68F5" w:rsidRPr="004A3763" w:rsidRDefault="00AD2DF5" w:rsidP="005720CB">
      <w:pPr>
        <w:pStyle w:val="Heading3"/>
      </w:pPr>
      <w:hyperlink w:anchor="_Attachment_2_–" w:history="1">
        <w:r w:rsidR="006C68F5" w:rsidRPr="00F466AB">
          <w:rPr>
            <w:rStyle w:val="Hyperlink"/>
          </w:rPr>
          <w:t xml:space="preserve">Attachment </w:t>
        </w:r>
        <w:r w:rsidR="00854163" w:rsidRPr="00F466AB">
          <w:rPr>
            <w:rStyle w:val="Hyperlink"/>
          </w:rPr>
          <w:t>2</w:t>
        </w:r>
        <w:r w:rsidR="00BC75F1" w:rsidRPr="00F466AB">
          <w:rPr>
            <w:rStyle w:val="Hyperlink"/>
          </w:rPr>
          <w:t xml:space="preserve"> – R&amp;D Tax Incentive program update</w:t>
        </w:r>
      </w:hyperlink>
    </w:p>
    <w:p w14:paraId="0BBCF4DB" w14:textId="188D7840" w:rsidR="006C68F5" w:rsidRDefault="006C68F5"/>
    <w:p w14:paraId="1F7E7AAF" w14:textId="50DBFAEA" w:rsidR="004A3763" w:rsidRPr="004A3763" w:rsidRDefault="00AD2DF5" w:rsidP="005720CB">
      <w:pPr>
        <w:pStyle w:val="Heading3"/>
      </w:pPr>
      <w:hyperlink w:anchor="_Roundtable_Working_Group" w:history="1">
        <w:r w:rsidR="004A3763" w:rsidRPr="008B53D5">
          <w:rPr>
            <w:rStyle w:val="Hyperlink"/>
          </w:rPr>
          <w:t xml:space="preserve">Attachment </w:t>
        </w:r>
        <w:r w:rsidR="00854163" w:rsidRPr="008B53D5">
          <w:rPr>
            <w:rStyle w:val="Hyperlink"/>
          </w:rPr>
          <w:t>3</w:t>
        </w:r>
        <w:r w:rsidR="00BC75F1" w:rsidRPr="008B53D5">
          <w:rPr>
            <w:rStyle w:val="Hyperlink"/>
          </w:rPr>
          <w:t xml:space="preserve"> – Roundtable Working Group Meeting</w:t>
        </w:r>
      </w:hyperlink>
    </w:p>
    <w:p w14:paraId="52355E98" w14:textId="1C016431" w:rsidR="004A3763" w:rsidRDefault="004A3763"/>
    <w:p w14:paraId="29C7C022" w14:textId="77777777" w:rsidR="00B70A28" w:rsidRDefault="00B70A28"/>
    <w:p w14:paraId="21517105" w14:textId="77777777" w:rsidR="00B70A28" w:rsidRDefault="00B70A28">
      <w:pPr>
        <w:spacing w:before="0" w:after="160" w:line="259" w:lineRule="auto"/>
      </w:pPr>
      <w:r>
        <w:br w:type="page"/>
      </w:r>
    </w:p>
    <w:p w14:paraId="17EEA4C3" w14:textId="77777777" w:rsidR="00B70A28" w:rsidRPr="0081179E" w:rsidRDefault="00B70A28" w:rsidP="00951DA9">
      <w:pPr>
        <w:pStyle w:val="Heading1"/>
        <w:jc w:val="center"/>
        <w:rPr>
          <w:rStyle w:val="Strong"/>
          <w:rFonts w:ascii="Calibri" w:hAnsi="Calibri" w:cs="Calibri"/>
          <w:b w:val="0"/>
          <w:bCs w:val="0"/>
          <w:color w:val="013063"/>
          <w:sz w:val="2"/>
          <w:szCs w:val="36"/>
        </w:rPr>
      </w:pPr>
    </w:p>
    <w:p w14:paraId="632CFCD0" w14:textId="77777777" w:rsidR="00B70A28" w:rsidRDefault="00B70A28" w:rsidP="00B70A28">
      <w:pPr>
        <w:pStyle w:val="Heading3"/>
      </w:pPr>
      <w:bookmarkStart w:id="1" w:name="_Attachment_1_–"/>
      <w:bookmarkEnd w:id="1"/>
      <w:r>
        <w:t>Attachment 1 – Roundtable Terms of Reference as at 1 September 2022 (currently under review)</w:t>
      </w:r>
    </w:p>
    <w:p w14:paraId="0C12C3F5" w14:textId="77777777" w:rsidR="00B70A28" w:rsidRPr="006C1EDD" w:rsidRDefault="00B70A28" w:rsidP="00951DA9">
      <w:pPr>
        <w:pStyle w:val="Heading1"/>
        <w:jc w:val="center"/>
        <w:rPr>
          <w:rStyle w:val="Strong"/>
          <w:rFonts w:ascii="Calibri" w:hAnsi="Calibri" w:cs="Calibri"/>
          <w:b w:val="0"/>
          <w:bCs w:val="0"/>
          <w:color w:val="212A4C"/>
          <w:sz w:val="52"/>
          <w:szCs w:val="48"/>
        </w:rPr>
      </w:pPr>
      <w:r w:rsidRPr="006C1EDD">
        <w:rPr>
          <w:rStyle w:val="Strong"/>
          <w:rFonts w:ascii="Calibri" w:hAnsi="Calibri" w:cs="Calibri"/>
          <w:color w:val="212A4C"/>
          <w:sz w:val="52"/>
          <w:szCs w:val="48"/>
        </w:rPr>
        <w:t>Roundtable - Terms of Reference</w:t>
      </w:r>
    </w:p>
    <w:p w14:paraId="2478123C" w14:textId="77777777" w:rsidR="00B70A28" w:rsidRPr="0081179E" w:rsidRDefault="00B70A28" w:rsidP="00DD2DA6">
      <w:pPr>
        <w:spacing w:before="480" w:after="120" w:line="288" w:lineRule="auto"/>
        <w:jc w:val="both"/>
        <w:rPr>
          <w:rFonts w:ascii="Calibri" w:hAnsi="Calibri" w:cs="Calibri"/>
        </w:rPr>
      </w:pPr>
      <w:r w:rsidRPr="0081179E">
        <w:rPr>
          <w:rFonts w:ascii="Calibri" w:hAnsi="Calibri" w:cs="Calibri"/>
        </w:rPr>
        <w:t>The R&amp;D Tax Incentive Roundtable (Roundtable) is the peak forum for engaging with key stakeholders of the R&amp;D Tax Incentive program.</w:t>
      </w:r>
    </w:p>
    <w:p w14:paraId="2D60580C" w14:textId="77777777" w:rsidR="00B70A28" w:rsidRPr="0081179E" w:rsidRDefault="00B70A28" w:rsidP="00951DA9">
      <w:pPr>
        <w:spacing w:before="60" w:after="120" w:line="288" w:lineRule="auto"/>
        <w:jc w:val="both"/>
        <w:rPr>
          <w:rFonts w:ascii="Calibri" w:hAnsi="Calibri" w:cs="Calibri"/>
        </w:rPr>
      </w:pPr>
      <w:r w:rsidRPr="0081179E">
        <w:rPr>
          <w:rFonts w:ascii="Calibri" w:hAnsi="Calibri" w:cs="Calibri"/>
        </w:rPr>
        <w:t xml:space="preserve">The forum is jointly sponsored by the Department of Industry, Science and Resources (DISR) and the Australian Taxation Office (ATO). Roundtable members are invited to share their insights on the R&amp;D Tax Incentive program. </w:t>
      </w:r>
    </w:p>
    <w:tbl>
      <w:tblPr>
        <w:tblStyle w:val="TableGrid"/>
        <w:tblW w:w="9067" w:type="dxa"/>
        <w:tblLayout w:type="fixed"/>
        <w:tblLook w:val="04A0" w:firstRow="1" w:lastRow="0" w:firstColumn="1" w:lastColumn="0" w:noHBand="0" w:noVBand="1"/>
        <w:tblCaption w:val="Terms of Reference"/>
      </w:tblPr>
      <w:tblGrid>
        <w:gridCol w:w="1696"/>
        <w:gridCol w:w="7371"/>
      </w:tblGrid>
      <w:tr w:rsidR="00B70A28" w:rsidRPr="0081179E" w14:paraId="2D0C65F5" w14:textId="77777777" w:rsidTr="00951DA9">
        <w:trPr>
          <w:trHeight w:val="2921"/>
        </w:trPr>
        <w:tc>
          <w:tcPr>
            <w:tcW w:w="1696" w:type="dxa"/>
          </w:tcPr>
          <w:p w14:paraId="641E8C70" w14:textId="77777777" w:rsidR="00B70A28" w:rsidRPr="0081179E" w:rsidRDefault="00B70A28" w:rsidP="00951DA9">
            <w:pPr>
              <w:spacing w:before="60" w:after="120"/>
              <w:contextualSpacing/>
              <w:rPr>
                <w:rFonts w:ascii="Calibri" w:hAnsi="Calibri" w:cs="Calibri"/>
              </w:rPr>
            </w:pPr>
            <w:r w:rsidRPr="0081179E">
              <w:rPr>
                <w:rFonts w:ascii="Calibri" w:hAnsi="Calibri" w:cs="Calibri"/>
              </w:rPr>
              <w:t>Purpose</w:t>
            </w:r>
          </w:p>
        </w:tc>
        <w:tc>
          <w:tcPr>
            <w:tcW w:w="7371" w:type="dxa"/>
          </w:tcPr>
          <w:p w14:paraId="02FE9ADA" w14:textId="77777777" w:rsidR="00B70A28" w:rsidRPr="0081179E" w:rsidRDefault="00B70A28" w:rsidP="00951DA9">
            <w:pPr>
              <w:spacing w:before="60" w:after="120"/>
              <w:ind w:right="175"/>
              <w:rPr>
                <w:rFonts w:ascii="Calibri" w:hAnsi="Calibri" w:cs="Calibri"/>
              </w:rPr>
            </w:pPr>
            <w:r w:rsidRPr="0081179E">
              <w:rPr>
                <w:rFonts w:ascii="Calibri" w:hAnsi="Calibri" w:cs="Calibri"/>
              </w:rPr>
              <w:t>The Roundtable aims to bring together diverse stakeholders to share insights and discuss opportunities to improve program administration.</w:t>
            </w:r>
          </w:p>
          <w:p w14:paraId="7C8761D4" w14:textId="77777777" w:rsidR="00B70A28" w:rsidRPr="0081179E" w:rsidRDefault="00B70A28" w:rsidP="00951DA9">
            <w:pPr>
              <w:spacing w:before="60" w:after="120"/>
              <w:rPr>
                <w:rFonts w:ascii="Calibri" w:hAnsi="Calibri" w:cs="Calibri"/>
              </w:rPr>
            </w:pPr>
            <w:r w:rsidRPr="0081179E">
              <w:rPr>
                <w:rFonts w:ascii="Calibri" w:hAnsi="Calibri" w:cs="Calibri"/>
              </w:rPr>
              <w:t>The objectives of the Roundtable are to:</w:t>
            </w:r>
          </w:p>
          <w:p w14:paraId="70C0EA8A" w14:textId="77777777" w:rsidR="00B70A28" w:rsidRPr="0081179E" w:rsidRDefault="00B70A28" w:rsidP="00B70A28">
            <w:pPr>
              <w:pStyle w:val="ListParagraph"/>
              <w:numPr>
                <w:ilvl w:val="0"/>
                <w:numId w:val="35"/>
              </w:numPr>
              <w:spacing w:before="60" w:after="120" w:line="276" w:lineRule="auto"/>
              <w:contextualSpacing w:val="0"/>
              <w:rPr>
                <w:rFonts w:ascii="Calibri" w:hAnsi="Calibri" w:cs="Calibri"/>
              </w:rPr>
            </w:pPr>
            <w:r w:rsidRPr="0081179E">
              <w:rPr>
                <w:rFonts w:ascii="Calibri" w:hAnsi="Calibri" w:cs="Calibri"/>
              </w:rPr>
              <w:t>exchange stakeholder information and industry insights on the use and impact of the R&amp;D Tax Incentive program</w:t>
            </w:r>
          </w:p>
          <w:p w14:paraId="33F2AFE3" w14:textId="77777777" w:rsidR="00B70A28" w:rsidRPr="0081179E" w:rsidRDefault="00B70A28" w:rsidP="00B70A28">
            <w:pPr>
              <w:pStyle w:val="ListParagraph"/>
              <w:numPr>
                <w:ilvl w:val="0"/>
                <w:numId w:val="35"/>
              </w:numPr>
              <w:spacing w:before="60" w:after="120" w:line="276" w:lineRule="auto"/>
              <w:contextualSpacing w:val="0"/>
              <w:rPr>
                <w:rFonts w:ascii="Calibri" w:hAnsi="Calibri" w:cs="Calibri"/>
              </w:rPr>
            </w:pPr>
            <w:r w:rsidRPr="0081179E">
              <w:rPr>
                <w:rFonts w:ascii="Calibri" w:hAnsi="Calibri" w:cs="Calibri"/>
              </w:rPr>
              <w:t xml:space="preserve">discuss emerging issues </w:t>
            </w:r>
          </w:p>
          <w:p w14:paraId="005265C5" w14:textId="77777777" w:rsidR="00B70A28" w:rsidRPr="0081179E" w:rsidRDefault="00B70A28" w:rsidP="00B70A28">
            <w:pPr>
              <w:pStyle w:val="ListParagraph"/>
              <w:numPr>
                <w:ilvl w:val="0"/>
                <w:numId w:val="35"/>
              </w:numPr>
              <w:spacing w:before="60" w:after="120" w:line="276" w:lineRule="auto"/>
              <w:contextualSpacing w:val="0"/>
              <w:rPr>
                <w:rFonts w:ascii="Calibri" w:hAnsi="Calibri" w:cs="Calibri"/>
              </w:rPr>
            </w:pPr>
            <w:r w:rsidRPr="0081179E">
              <w:rPr>
                <w:rFonts w:ascii="Calibri" w:hAnsi="Calibri" w:cs="Calibri"/>
              </w:rPr>
              <w:t>receive constructive feedback on administrative challenges experienced by program stakeholders and hold collaborative discussions on potential solutions</w:t>
            </w:r>
          </w:p>
          <w:p w14:paraId="7416E2EC" w14:textId="77777777" w:rsidR="00B70A28" w:rsidRPr="0081179E" w:rsidRDefault="00B70A28" w:rsidP="00B70A28">
            <w:pPr>
              <w:pStyle w:val="ListParagraph"/>
              <w:numPr>
                <w:ilvl w:val="0"/>
                <w:numId w:val="35"/>
              </w:numPr>
              <w:spacing w:before="60" w:after="120" w:line="276" w:lineRule="auto"/>
              <w:contextualSpacing w:val="0"/>
              <w:rPr>
                <w:rFonts w:ascii="Calibri" w:hAnsi="Calibri" w:cs="Calibri"/>
              </w:rPr>
            </w:pPr>
            <w:r w:rsidRPr="0081179E">
              <w:rPr>
                <w:rFonts w:ascii="Calibri" w:hAnsi="Calibri" w:cs="Calibri"/>
              </w:rPr>
              <w:t>share information on program performance and delivery</w:t>
            </w:r>
          </w:p>
        </w:tc>
      </w:tr>
      <w:tr w:rsidR="00B70A28" w:rsidRPr="0081179E" w14:paraId="1B79B786" w14:textId="77777777" w:rsidTr="00951DA9">
        <w:trPr>
          <w:trHeight w:val="374"/>
        </w:trPr>
        <w:tc>
          <w:tcPr>
            <w:tcW w:w="1696" w:type="dxa"/>
          </w:tcPr>
          <w:p w14:paraId="4FB0315C" w14:textId="77777777" w:rsidR="00B70A28" w:rsidRPr="0081179E" w:rsidRDefault="00B70A28" w:rsidP="00951DA9">
            <w:pPr>
              <w:spacing w:before="60" w:after="120"/>
              <w:contextualSpacing/>
              <w:rPr>
                <w:rFonts w:ascii="Calibri" w:hAnsi="Calibri" w:cs="Calibri"/>
              </w:rPr>
            </w:pPr>
            <w:r w:rsidRPr="0081179E">
              <w:rPr>
                <w:rFonts w:ascii="Calibri" w:hAnsi="Calibri" w:cs="Calibri"/>
              </w:rPr>
              <w:t>Co-chairs</w:t>
            </w:r>
          </w:p>
        </w:tc>
        <w:tc>
          <w:tcPr>
            <w:tcW w:w="7371" w:type="dxa"/>
          </w:tcPr>
          <w:p w14:paraId="35626998" w14:textId="77777777" w:rsidR="00B70A28" w:rsidRPr="0081179E" w:rsidRDefault="00B70A28" w:rsidP="00951DA9">
            <w:pPr>
              <w:spacing w:before="60" w:after="120"/>
              <w:ind w:right="175"/>
              <w:rPr>
                <w:rFonts w:ascii="Calibri" w:hAnsi="Calibri" w:cs="Calibri"/>
              </w:rPr>
            </w:pPr>
            <w:r w:rsidRPr="0081179E">
              <w:rPr>
                <w:rFonts w:ascii="Calibri" w:hAnsi="Calibri" w:cs="Calibri"/>
              </w:rPr>
              <w:t>The Roundtable is co-chaired by DISR and the ATO. Other Roundtable members may be invited to co-chair a meeting or facilitate a topic of discussion. Roundtable co-chairs host the meeting and establish the agenda.</w:t>
            </w:r>
          </w:p>
        </w:tc>
      </w:tr>
      <w:tr w:rsidR="00B70A28" w:rsidRPr="0081179E" w14:paraId="1DFA93B5" w14:textId="77777777" w:rsidTr="00951DA9">
        <w:trPr>
          <w:trHeight w:val="1414"/>
        </w:trPr>
        <w:tc>
          <w:tcPr>
            <w:tcW w:w="1696" w:type="dxa"/>
          </w:tcPr>
          <w:p w14:paraId="27825836" w14:textId="77777777" w:rsidR="00B70A28" w:rsidRPr="0081179E" w:rsidRDefault="00B70A28" w:rsidP="00951DA9">
            <w:pPr>
              <w:spacing w:before="60" w:after="120"/>
              <w:contextualSpacing/>
              <w:rPr>
                <w:rFonts w:ascii="Calibri" w:hAnsi="Calibri" w:cs="Calibri"/>
              </w:rPr>
            </w:pPr>
            <w:r w:rsidRPr="0081179E">
              <w:rPr>
                <w:rFonts w:ascii="Calibri" w:hAnsi="Calibri" w:cs="Calibri"/>
              </w:rPr>
              <w:t>Meetings</w:t>
            </w:r>
          </w:p>
        </w:tc>
        <w:tc>
          <w:tcPr>
            <w:tcW w:w="7371" w:type="dxa"/>
          </w:tcPr>
          <w:p w14:paraId="4E7EE2DD" w14:textId="77777777" w:rsidR="00B70A28" w:rsidRPr="0081179E" w:rsidRDefault="00B70A28" w:rsidP="00951DA9">
            <w:pPr>
              <w:spacing w:before="60" w:after="120"/>
              <w:rPr>
                <w:rFonts w:ascii="Calibri" w:hAnsi="Calibri" w:cs="Calibri"/>
              </w:rPr>
            </w:pPr>
            <w:r w:rsidRPr="0081179E">
              <w:rPr>
                <w:rFonts w:ascii="Calibri" w:hAnsi="Calibri" w:cs="Calibri"/>
              </w:rPr>
              <w:t>Roundtable meetings:</w:t>
            </w:r>
          </w:p>
          <w:p w14:paraId="74D20A8E" w14:textId="77777777" w:rsidR="00B70A28" w:rsidRPr="0081179E" w:rsidRDefault="00B70A28" w:rsidP="00B70A28">
            <w:pPr>
              <w:pStyle w:val="ListParagraph"/>
              <w:numPr>
                <w:ilvl w:val="0"/>
                <w:numId w:val="37"/>
              </w:numPr>
              <w:spacing w:before="60" w:after="120" w:line="276" w:lineRule="auto"/>
              <w:contextualSpacing w:val="0"/>
              <w:rPr>
                <w:rFonts w:ascii="Calibri" w:hAnsi="Calibri" w:cs="Calibri"/>
              </w:rPr>
            </w:pPr>
            <w:r w:rsidRPr="0081179E">
              <w:rPr>
                <w:rFonts w:ascii="Calibri" w:hAnsi="Calibri" w:cs="Calibri"/>
              </w:rPr>
              <w:t>may be held online or at any DISR or ATO office around Australia</w:t>
            </w:r>
          </w:p>
          <w:p w14:paraId="38EBD45C" w14:textId="77777777" w:rsidR="00B70A28" w:rsidRPr="0081179E" w:rsidRDefault="00B70A28" w:rsidP="00B70A28">
            <w:pPr>
              <w:pStyle w:val="ListParagraph"/>
              <w:numPr>
                <w:ilvl w:val="0"/>
                <w:numId w:val="37"/>
              </w:numPr>
              <w:spacing w:before="60" w:after="120" w:line="276" w:lineRule="auto"/>
              <w:contextualSpacing w:val="0"/>
              <w:rPr>
                <w:rFonts w:ascii="Calibri" w:hAnsi="Calibri" w:cs="Calibri"/>
              </w:rPr>
            </w:pPr>
            <w:r w:rsidRPr="0081179E">
              <w:rPr>
                <w:rFonts w:ascii="Calibri" w:hAnsi="Calibri" w:cs="Calibri"/>
              </w:rPr>
              <w:t>may be hosted by a Roundtable member at their organisation’s premises</w:t>
            </w:r>
          </w:p>
          <w:p w14:paraId="4A3EA11E" w14:textId="77777777" w:rsidR="00B70A28" w:rsidRPr="0081179E" w:rsidRDefault="00B70A28" w:rsidP="00B70A28">
            <w:pPr>
              <w:pStyle w:val="ListParagraph"/>
              <w:numPr>
                <w:ilvl w:val="0"/>
                <w:numId w:val="37"/>
              </w:numPr>
              <w:spacing w:before="60" w:after="120" w:line="276" w:lineRule="auto"/>
              <w:contextualSpacing w:val="0"/>
              <w:rPr>
                <w:rFonts w:ascii="Calibri" w:hAnsi="Calibri" w:cs="Calibri"/>
              </w:rPr>
            </w:pPr>
            <w:r w:rsidRPr="0081179E">
              <w:rPr>
                <w:rFonts w:ascii="Calibri" w:hAnsi="Calibri" w:cs="Calibri"/>
              </w:rPr>
              <w:t>will be held at least twice a year</w:t>
            </w:r>
          </w:p>
          <w:p w14:paraId="5FB7D19D" w14:textId="77777777" w:rsidR="00B70A28" w:rsidRPr="0081179E" w:rsidRDefault="00B70A28" w:rsidP="00951DA9">
            <w:pPr>
              <w:spacing w:before="60" w:after="120"/>
              <w:rPr>
                <w:rFonts w:ascii="Calibri" w:hAnsi="Calibri" w:cs="Calibri"/>
              </w:rPr>
            </w:pPr>
            <w:r w:rsidRPr="0081179E">
              <w:rPr>
                <w:rFonts w:ascii="Calibri" w:hAnsi="Calibri" w:cs="Calibri"/>
              </w:rPr>
              <w:t>Members are responsible for any arrangements or expenses related to meeting attendance.</w:t>
            </w:r>
          </w:p>
          <w:p w14:paraId="29F16C72" w14:textId="77777777" w:rsidR="00B70A28" w:rsidRPr="0081179E" w:rsidRDefault="00B70A28" w:rsidP="00951DA9">
            <w:pPr>
              <w:spacing w:before="60" w:after="120"/>
              <w:rPr>
                <w:rFonts w:ascii="Calibri" w:hAnsi="Calibri" w:cs="Calibri"/>
              </w:rPr>
            </w:pPr>
            <w:r w:rsidRPr="0081179E">
              <w:rPr>
                <w:rFonts w:ascii="Calibri" w:hAnsi="Calibri" w:cs="Calibri"/>
              </w:rPr>
              <w:t>Roundtable members are encouraged to promote interactive discussion and are welcome to propose agenda items in advance of a meeting. This may include member or guest speaker presentations on a topic of relevance to members and the R&amp;D Tax Incentive program.</w:t>
            </w:r>
          </w:p>
          <w:p w14:paraId="2DDA2749" w14:textId="77777777" w:rsidR="00B70A28" w:rsidRPr="0081179E" w:rsidRDefault="00B70A28" w:rsidP="00951DA9">
            <w:pPr>
              <w:spacing w:before="60" w:after="120"/>
              <w:rPr>
                <w:rFonts w:ascii="Calibri" w:hAnsi="Calibri" w:cs="Calibri"/>
              </w:rPr>
            </w:pPr>
            <w:r w:rsidRPr="0081179E">
              <w:rPr>
                <w:rFonts w:ascii="Calibri" w:hAnsi="Calibri" w:cs="Calibri"/>
              </w:rPr>
              <w:t xml:space="preserve">Agenda, venue and co-chair proposals can be forwarded to AusIndustry at </w:t>
            </w:r>
            <w:hyperlink r:id="rId18" w:history="1">
              <w:r w:rsidRPr="00D90F1E">
                <w:rPr>
                  <w:rStyle w:val="Hyperlink"/>
                  <w:rFonts w:ascii="Calibri" w:hAnsi="Calibri" w:cs="Calibri"/>
                  <w:color w:val="176CB5"/>
                </w:rPr>
                <w:t>rdti.engagement@industry.gov.au</w:t>
              </w:r>
            </w:hyperlink>
            <w:r w:rsidRPr="0081179E">
              <w:rPr>
                <w:rFonts w:ascii="Calibri" w:hAnsi="Calibri" w:cs="Calibri"/>
              </w:rPr>
              <w:t xml:space="preserve"> for consideration. </w:t>
            </w:r>
          </w:p>
          <w:p w14:paraId="2521D524" w14:textId="77777777" w:rsidR="00B70A28" w:rsidRPr="0081179E" w:rsidRDefault="00B70A28" w:rsidP="00951DA9">
            <w:pPr>
              <w:spacing w:before="60" w:after="120"/>
              <w:rPr>
                <w:rFonts w:ascii="Calibri" w:hAnsi="Calibri" w:cs="Calibri"/>
              </w:rPr>
            </w:pPr>
            <w:r w:rsidRPr="0081179E">
              <w:rPr>
                <w:rFonts w:ascii="Calibri" w:hAnsi="Calibri" w:cs="Calibri"/>
              </w:rPr>
              <w:t xml:space="preserve">A summary of the meeting will be circulated to all Roundtable members and published on </w:t>
            </w:r>
            <w:r w:rsidRPr="0081179E">
              <w:rPr>
                <w:rFonts w:ascii="Calibri" w:hAnsi="Calibri" w:cs="Calibri"/>
                <w:i/>
              </w:rPr>
              <w:t xml:space="preserve">business.gov.au </w:t>
            </w:r>
            <w:r w:rsidRPr="0081179E">
              <w:rPr>
                <w:rFonts w:ascii="Calibri" w:hAnsi="Calibri" w:cs="Calibri"/>
              </w:rPr>
              <w:t>to enable members to share and disseminate information to the benefit of program participants.</w:t>
            </w:r>
          </w:p>
        </w:tc>
      </w:tr>
      <w:tr w:rsidR="00B70A28" w:rsidRPr="0081179E" w14:paraId="6C62200E" w14:textId="77777777" w:rsidTr="00951DA9">
        <w:trPr>
          <w:trHeight w:val="1414"/>
        </w:trPr>
        <w:tc>
          <w:tcPr>
            <w:tcW w:w="1696" w:type="dxa"/>
          </w:tcPr>
          <w:p w14:paraId="31014120" w14:textId="77777777" w:rsidR="00B70A28" w:rsidRPr="0081179E" w:rsidRDefault="00B70A28" w:rsidP="00951DA9">
            <w:pPr>
              <w:spacing w:before="60" w:after="120"/>
              <w:contextualSpacing/>
              <w:rPr>
                <w:rFonts w:ascii="Calibri" w:hAnsi="Calibri" w:cs="Calibri"/>
              </w:rPr>
            </w:pPr>
            <w:r w:rsidRPr="0081179E">
              <w:rPr>
                <w:rFonts w:ascii="Calibri" w:hAnsi="Calibri" w:cs="Calibri"/>
              </w:rPr>
              <w:lastRenderedPageBreak/>
              <w:t>Membership</w:t>
            </w:r>
          </w:p>
        </w:tc>
        <w:tc>
          <w:tcPr>
            <w:tcW w:w="7371" w:type="dxa"/>
          </w:tcPr>
          <w:p w14:paraId="182C2F36" w14:textId="77777777" w:rsidR="00B70A28" w:rsidRPr="0081179E" w:rsidRDefault="00B70A28" w:rsidP="00951DA9">
            <w:pPr>
              <w:spacing w:before="60" w:after="120"/>
              <w:rPr>
                <w:rFonts w:ascii="Calibri" w:hAnsi="Calibri" w:cs="Calibri"/>
              </w:rPr>
            </w:pPr>
            <w:r w:rsidRPr="0081179E">
              <w:rPr>
                <w:rFonts w:ascii="Calibri" w:hAnsi="Calibri" w:cs="Calibri"/>
              </w:rPr>
              <w:t>Roundtable membership aims to represent the diversity of R&amp;D Tax Incentive stakeholders and utilises member panels to achieve balanced representation. Each panel has multiple members who are rotated for each meeting. Each panel member will be invited to attend at least one meeting per year.</w:t>
            </w:r>
          </w:p>
          <w:p w14:paraId="721BE223" w14:textId="77777777" w:rsidR="00B70A28" w:rsidRPr="0081179E" w:rsidRDefault="00B70A28" w:rsidP="00951DA9">
            <w:pPr>
              <w:spacing w:before="60" w:after="120"/>
              <w:rPr>
                <w:rFonts w:ascii="Calibri" w:hAnsi="Calibri" w:cs="Calibri"/>
              </w:rPr>
            </w:pPr>
            <w:r w:rsidRPr="0081179E">
              <w:rPr>
                <w:rFonts w:ascii="Calibri" w:hAnsi="Calibri" w:cs="Calibri"/>
              </w:rPr>
              <w:t>Member panels:</w:t>
            </w:r>
          </w:p>
          <w:p w14:paraId="32BF4968" w14:textId="77777777" w:rsidR="00B70A28" w:rsidRPr="0081179E" w:rsidRDefault="00B70A28" w:rsidP="00B70A28">
            <w:pPr>
              <w:pStyle w:val="ListParagraph"/>
              <w:numPr>
                <w:ilvl w:val="0"/>
                <w:numId w:val="34"/>
              </w:numPr>
              <w:spacing w:before="60" w:after="120" w:line="276" w:lineRule="auto"/>
              <w:contextualSpacing w:val="0"/>
              <w:rPr>
                <w:rFonts w:ascii="Calibri" w:hAnsi="Calibri" w:cs="Calibri"/>
              </w:rPr>
            </w:pPr>
            <w:r w:rsidRPr="0081179E">
              <w:rPr>
                <w:rFonts w:ascii="Calibri" w:hAnsi="Calibri" w:cs="Calibri"/>
              </w:rPr>
              <w:t>companies</w:t>
            </w:r>
          </w:p>
          <w:p w14:paraId="6F6FFBD0" w14:textId="77777777" w:rsidR="00B70A28" w:rsidRPr="0081179E" w:rsidRDefault="00B70A28" w:rsidP="00B70A28">
            <w:pPr>
              <w:pStyle w:val="ListParagraph"/>
              <w:numPr>
                <w:ilvl w:val="0"/>
                <w:numId w:val="34"/>
              </w:numPr>
              <w:spacing w:before="60" w:after="120" w:line="276" w:lineRule="auto"/>
              <w:contextualSpacing w:val="0"/>
              <w:rPr>
                <w:rFonts w:ascii="Calibri" w:hAnsi="Calibri" w:cs="Calibri"/>
              </w:rPr>
            </w:pPr>
            <w:r w:rsidRPr="0081179E">
              <w:rPr>
                <w:rFonts w:ascii="Calibri" w:hAnsi="Calibri" w:cs="Calibri"/>
              </w:rPr>
              <w:t>industry, research and tax associations</w:t>
            </w:r>
          </w:p>
          <w:p w14:paraId="361C3D05" w14:textId="77777777" w:rsidR="00B70A28" w:rsidRPr="0081179E" w:rsidRDefault="00B70A28" w:rsidP="00B70A28">
            <w:pPr>
              <w:pStyle w:val="ListParagraph"/>
              <w:numPr>
                <w:ilvl w:val="0"/>
                <w:numId w:val="34"/>
              </w:numPr>
              <w:spacing w:before="60" w:after="120" w:line="276" w:lineRule="auto"/>
              <w:contextualSpacing w:val="0"/>
              <w:rPr>
                <w:rFonts w:ascii="Calibri" w:hAnsi="Calibri" w:cs="Calibri"/>
              </w:rPr>
            </w:pPr>
            <w:r w:rsidRPr="0081179E">
              <w:rPr>
                <w:rFonts w:ascii="Calibri" w:hAnsi="Calibri" w:cs="Calibri"/>
              </w:rPr>
              <w:t>tax consultant firms</w:t>
            </w:r>
          </w:p>
          <w:p w14:paraId="745DB65D" w14:textId="77777777" w:rsidR="00B70A28" w:rsidRPr="0081179E" w:rsidRDefault="00B70A28" w:rsidP="00951DA9">
            <w:pPr>
              <w:spacing w:before="60" w:after="120"/>
              <w:rPr>
                <w:rFonts w:ascii="Calibri" w:hAnsi="Calibri" w:cs="Calibri"/>
              </w:rPr>
            </w:pPr>
            <w:r w:rsidRPr="0081179E">
              <w:rPr>
                <w:rFonts w:ascii="Calibri" w:hAnsi="Calibri" w:cs="Calibri"/>
              </w:rPr>
              <w:t>Roundtable membership:</w:t>
            </w:r>
          </w:p>
          <w:p w14:paraId="4A2A0DEA" w14:textId="77777777" w:rsidR="00B70A28" w:rsidRPr="0081179E" w:rsidRDefault="00B70A28" w:rsidP="00B70A28">
            <w:pPr>
              <w:pStyle w:val="ListParagraph"/>
              <w:numPr>
                <w:ilvl w:val="0"/>
                <w:numId w:val="34"/>
              </w:numPr>
              <w:spacing w:before="60" w:after="120" w:line="276" w:lineRule="auto"/>
              <w:contextualSpacing w:val="0"/>
              <w:rPr>
                <w:rFonts w:ascii="Calibri" w:hAnsi="Calibri" w:cs="Calibri"/>
              </w:rPr>
            </w:pPr>
            <w:r w:rsidRPr="0081179E">
              <w:rPr>
                <w:rFonts w:ascii="Calibri" w:hAnsi="Calibri" w:cs="Calibri"/>
              </w:rPr>
              <w:t>occurs by invitation</w:t>
            </w:r>
          </w:p>
          <w:p w14:paraId="4A6494DC" w14:textId="77777777" w:rsidR="00B70A28" w:rsidRPr="0081179E" w:rsidRDefault="00B70A28" w:rsidP="00B70A28">
            <w:pPr>
              <w:pStyle w:val="ListParagraph"/>
              <w:numPr>
                <w:ilvl w:val="0"/>
                <w:numId w:val="34"/>
              </w:numPr>
              <w:spacing w:before="60" w:after="120" w:line="276" w:lineRule="auto"/>
              <w:contextualSpacing w:val="0"/>
              <w:rPr>
                <w:rFonts w:ascii="Calibri" w:hAnsi="Calibri" w:cs="Calibri"/>
              </w:rPr>
            </w:pPr>
            <w:r w:rsidRPr="0081179E">
              <w:rPr>
                <w:rFonts w:ascii="Calibri" w:hAnsi="Calibri" w:cs="Calibri"/>
              </w:rPr>
              <w:t>is extended to an organisation to nominate their meeting representative</w:t>
            </w:r>
          </w:p>
          <w:p w14:paraId="0FAFA75F" w14:textId="77777777" w:rsidR="00B70A28" w:rsidRPr="0081179E" w:rsidRDefault="00B70A28" w:rsidP="00B70A28">
            <w:pPr>
              <w:pStyle w:val="ListParagraph"/>
              <w:numPr>
                <w:ilvl w:val="0"/>
                <w:numId w:val="34"/>
              </w:numPr>
              <w:spacing w:before="60" w:after="120" w:line="276" w:lineRule="auto"/>
              <w:contextualSpacing w:val="0"/>
              <w:rPr>
                <w:rFonts w:ascii="Calibri" w:hAnsi="Calibri" w:cs="Calibri"/>
              </w:rPr>
            </w:pPr>
            <w:r w:rsidRPr="0081179E">
              <w:rPr>
                <w:rFonts w:ascii="Calibri" w:hAnsi="Calibri" w:cs="Calibri"/>
              </w:rPr>
              <w:t>is extended for a two year term which may be extended</w:t>
            </w:r>
          </w:p>
          <w:p w14:paraId="60B4AD1E" w14:textId="77777777" w:rsidR="00B70A28" w:rsidRPr="0081179E" w:rsidRDefault="00B70A28" w:rsidP="00951DA9">
            <w:pPr>
              <w:spacing w:before="60" w:after="120"/>
              <w:ind w:left="34"/>
              <w:rPr>
                <w:rFonts w:ascii="Calibri" w:hAnsi="Calibri" w:cs="Calibri"/>
              </w:rPr>
            </w:pPr>
            <w:r w:rsidRPr="0081179E">
              <w:rPr>
                <w:rFonts w:ascii="Calibri" w:hAnsi="Calibri" w:cs="Calibri"/>
              </w:rPr>
              <w:t xml:space="preserve">Each meeting will be attended by representatives from DISR and the ATO and balanced representation from each panel. Representatives from the R&amp;D Tax Incentives Committee </w:t>
            </w:r>
            <w:r>
              <w:rPr>
                <w:rFonts w:ascii="Calibri" w:hAnsi="Calibri" w:cs="Calibri"/>
              </w:rPr>
              <w:t xml:space="preserve">(R&amp;DIC) </w:t>
            </w:r>
            <w:r w:rsidRPr="0081179E">
              <w:rPr>
                <w:rFonts w:ascii="Calibri" w:hAnsi="Calibri" w:cs="Calibri"/>
              </w:rPr>
              <w:t>may also be invited to Roundtable meetings as observers.</w:t>
            </w:r>
          </w:p>
          <w:p w14:paraId="0E624E4A" w14:textId="77777777" w:rsidR="00B70A28" w:rsidRPr="0081179E" w:rsidRDefault="00B70A28" w:rsidP="00951DA9">
            <w:pPr>
              <w:spacing w:before="60" w:after="120"/>
              <w:ind w:left="34"/>
              <w:rPr>
                <w:rFonts w:ascii="Calibri" w:hAnsi="Calibri" w:cs="Calibri"/>
              </w:rPr>
            </w:pPr>
            <w:r w:rsidRPr="0081179E">
              <w:rPr>
                <w:rFonts w:ascii="Calibri" w:hAnsi="Calibri" w:cs="Calibri"/>
              </w:rPr>
              <w:t>Organisations may submit an expression of interest to join a member panel. Requests will be considered in respect of balanced and appropriate representation.</w:t>
            </w:r>
          </w:p>
        </w:tc>
      </w:tr>
      <w:tr w:rsidR="00B70A28" w:rsidRPr="0081179E" w14:paraId="54870B12" w14:textId="77777777" w:rsidTr="00951DA9">
        <w:trPr>
          <w:trHeight w:val="769"/>
        </w:trPr>
        <w:tc>
          <w:tcPr>
            <w:tcW w:w="1696" w:type="dxa"/>
          </w:tcPr>
          <w:p w14:paraId="0B74BB9D" w14:textId="77777777" w:rsidR="00B70A28" w:rsidRPr="0081179E" w:rsidRDefault="00B70A28" w:rsidP="00951DA9">
            <w:pPr>
              <w:spacing w:before="60" w:after="120"/>
              <w:contextualSpacing/>
              <w:rPr>
                <w:rFonts w:ascii="Calibri" w:hAnsi="Calibri" w:cs="Calibri"/>
              </w:rPr>
            </w:pPr>
            <w:r w:rsidRPr="0081179E">
              <w:rPr>
                <w:rFonts w:ascii="Calibri" w:hAnsi="Calibri" w:cs="Calibri"/>
              </w:rPr>
              <w:t>Member participation</w:t>
            </w:r>
          </w:p>
        </w:tc>
        <w:tc>
          <w:tcPr>
            <w:tcW w:w="7371" w:type="dxa"/>
          </w:tcPr>
          <w:p w14:paraId="184E39B3" w14:textId="77777777" w:rsidR="00B70A28" w:rsidRPr="0081179E" w:rsidRDefault="00B70A28" w:rsidP="00951DA9">
            <w:pPr>
              <w:spacing w:before="60" w:after="120"/>
              <w:rPr>
                <w:rFonts w:ascii="Calibri" w:hAnsi="Calibri" w:cs="Calibri"/>
              </w:rPr>
            </w:pPr>
            <w:r w:rsidRPr="0081179E">
              <w:rPr>
                <w:rFonts w:ascii="Calibri" w:hAnsi="Calibri" w:cs="Calibri"/>
              </w:rPr>
              <w:t>Roundtable members are expected to:</w:t>
            </w:r>
          </w:p>
          <w:p w14:paraId="0C083C55" w14:textId="77777777" w:rsidR="00B70A28" w:rsidRPr="0081179E" w:rsidRDefault="00B70A28" w:rsidP="00B70A28">
            <w:pPr>
              <w:pStyle w:val="ListParagraph"/>
              <w:numPr>
                <w:ilvl w:val="0"/>
                <w:numId w:val="36"/>
              </w:numPr>
              <w:spacing w:before="60" w:after="120" w:line="276" w:lineRule="auto"/>
              <w:contextualSpacing w:val="0"/>
              <w:rPr>
                <w:rFonts w:ascii="Calibri" w:hAnsi="Calibri" w:cs="Calibri"/>
              </w:rPr>
            </w:pPr>
            <w:r w:rsidRPr="0081179E">
              <w:rPr>
                <w:rFonts w:ascii="Calibri" w:hAnsi="Calibri" w:cs="Calibri"/>
              </w:rPr>
              <w:t>actively and respectfully engage with Roundtable members to constructively contribute to discussions</w:t>
            </w:r>
          </w:p>
          <w:p w14:paraId="32FF341D" w14:textId="77777777" w:rsidR="00B70A28" w:rsidRPr="0081179E" w:rsidRDefault="00B70A28" w:rsidP="00B70A28">
            <w:pPr>
              <w:pStyle w:val="ListParagraph"/>
              <w:numPr>
                <w:ilvl w:val="0"/>
                <w:numId w:val="36"/>
              </w:numPr>
              <w:spacing w:before="60" w:after="120" w:line="276" w:lineRule="auto"/>
              <w:contextualSpacing w:val="0"/>
              <w:rPr>
                <w:rFonts w:ascii="Calibri" w:hAnsi="Calibri" w:cs="Calibri"/>
              </w:rPr>
            </w:pPr>
            <w:r w:rsidRPr="0081179E">
              <w:rPr>
                <w:rFonts w:ascii="Calibri" w:hAnsi="Calibri" w:cs="Calibri"/>
              </w:rPr>
              <w:t>adhere to confidentiality requirements and sensitivities of Roundtable participants and member organisations by not sharing specific member comments or affiliations without their permission</w:t>
            </w:r>
          </w:p>
          <w:p w14:paraId="037F0EF6" w14:textId="77777777" w:rsidR="00B70A28" w:rsidRPr="0081179E" w:rsidRDefault="00B70A28" w:rsidP="00B70A28">
            <w:pPr>
              <w:pStyle w:val="ListParagraph"/>
              <w:numPr>
                <w:ilvl w:val="0"/>
                <w:numId w:val="36"/>
              </w:numPr>
              <w:spacing w:before="60" w:after="120" w:line="276" w:lineRule="auto"/>
              <w:contextualSpacing w:val="0"/>
              <w:rPr>
                <w:rFonts w:ascii="Calibri" w:hAnsi="Calibri" w:cs="Calibri"/>
              </w:rPr>
            </w:pPr>
            <w:r w:rsidRPr="0081179E">
              <w:rPr>
                <w:rFonts w:ascii="Calibri" w:hAnsi="Calibri" w:cs="Calibri"/>
              </w:rPr>
              <w:t>acknowledge that government decisions may not align with the views or recommendations of all panel members</w:t>
            </w:r>
          </w:p>
          <w:p w14:paraId="3C6D9F5A" w14:textId="77777777" w:rsidR="00B70A28" w:rsidRPr="0081179E" w:rsidRDefault="00B70A28" w:rsidP="00951DA9">
            <w:pPr>
              <w:spacing w:before="60" w:after="120"/>
              <w:rPr>
                <w:rFonts w:ascii="Calibri" w:hAnsi="Calibri" w:cs="Calibri"/>
              </w:rPr>
            </w:pPr>
            <w:r w:rsidRPr="0081179E">
              <w:rPr>
                <w:rFonts w:ascii="Calibri" w:hAnsi="Calibri" w:cs="Calibri"/>
              </w:rPr>
              <w:t>Members who do not uphold the standards of respectful discussion and collaboration may be excluded from Roundtable membership.</w:t>
            </w:r>
          </w:p>
        </w:tc>
      </w:tr>
      <w:tr w:rsidR="00B70A28" w:rsidRPr="0081179E" w14:paraId="04264C25" w14:textId="77777777" w:rsidTr="00951DA9">
        <w:trPr>
          <w:trHeight w:val="769"/>
        </w:trPr>
        <w:tc>
          <w:tcPr>
            <w:tcW w:w="1696" w:type="dxa"/>
          </w:tcPr>
          <w:p w14:paraId="5BC0A766" w14:textId="77777777" w:rsidR="00B70A28" w:rsidRPr="0081179E" w:rsidRDefault="00B70A28" w:rsidP="00951DA9">
            <w:pPr>
              <w:spacing w:before="60" w:after="120"/>
              <w:contextualSpacing/>
              <w:rPr>
                <w:rFonts w:ascii="Calibri" w:hAnsi="Calibri" w:cs="Calibri"/>
              </w:rPr>
            </w:pPr>
            <w:r w:rsidRPr="0081179E">
              <w:rPr>
                <w:rFonts w:ascii="Calibri" w:hAnsi="Calibri" w:cs="Calibri"/>
              </w:rPr>
              <w:t>Working Groups</w:t>
            </w:r>
          </w:p>
        </w:tc>
        <w:tc>
          <w:tcPr>
            <w:tcW w:w="7371" w:type="dxa"/>
          </w:tcPr>
          <w:p w14:paraId="08E2E98C" w14:textId="77777777" w:rsidR="00B70A28" w:rsidRPr="0081179E" w:rsidRDefault="00B70A28" w:rsidP="00951DA9">
            <w:pPr>
              <w:spacing w:before="60" w:after="120"/>
              <w:rPr>
                <w:rFonts w:ascii="Calibri" w:hAnsi="Calibri" w:cs="Calibri"/>
              </w:rPr>
            </w:pPr>
            <w:r w:rsidRPr="0081179E">
              <w:rPr>
                <w:rFonts w:ascii="Calibri" w:hAnsi="Calibri" w:cs="Calibri"/>
              </w:rPr>
              <w:t>Roundtable co-chairs may invite members to join a working group for more detailed engagement on a specific issue, project or proposal.</w:t>
            </w:r>
          </w:p>
        </w:tc>
      </w:tr>
    </w:tbl>
    <w:p w14:paraId="4C43E854" w14:textId="77777777" w:rsidR="00B70A28" w:rsidRPr="0081179E" w:rsidRDefault="00B70A28" w:rsidP="00951DA9">
      <w:pPr>
        <w:rPr>
          <w:rFonts w:ascii="Calibri" w:hAnsi="Calibri" w:cs="Calibri"/>
        </w:rPr>
      </w:pPr>
    </w:p>
    <w:p w14:paraId="6434C3E4" w14:textId="77777777" w:rsidR="00B70A28" w:rsidRPr="0081179E" w:rsidRDefault="00B70A28" w:rsidP="00951DA9">
      <w:pPr>
        <w:rPr>
          <w:rFonts w:ascii="Calibri" w:hAnsi="Calibri" w:cs="Calibri"/>
        </w:rPr>
      </w:pPr>
    </w:p>
    <w:p w14:paraId="6464C59C" w14:textId="77777777" w:rsidR="00B70A28" w:rsidRDefault="00B70A28">
      <w:pPr>
        <w:spacing w:before="0" w:after="160" w:line="259" w:lineRule="auto"/>
      </w:pPr>
      <w:r>
        <w:br w:type="page"/>
      </w:r>
    </w:p>
    <w:p w14:paraId="08FDDE9F" w14:textId="77777777" w:rsidR="00B70A28" w:rsidRPr="004A3763" w:rsidRDefault="00B70A28" w:rsidP="00B70A28">
      <w:pPr>
        <w:pStyle w:val="Heading3"/>
      </w:pPr>
      <w:bookmarkStart w:id="2" w:name="_Attachment_2_–"/>
      <w:bookmarkEnd w:id="2"/>
      <w:r w:rsidRPr="004A3763">
        <w:lastRenderedPageBreak/>
        <w:t xml:space="preserve">Attachment </w:t>
      </w:r>
      <w:r>
        <w:t>2 – R&amp;D Tax Incentive program update</w:t>
      </w:r>
    </w:p>
    <w:p w14:paraId="4A6095A5" w14:textId="2E754856" w:rsidR="00B70A28" w:rsidRDefault="00B70A28"/>
    <w:p w14:paraId="731ED901" w14:textId="77777777" w:rsidR="00B70A28" w:rsidRPr="00B70A28" w:rsidRDefault="00B70A28" w:rsidP="00B70A28">
      <w:pPr>
        <w:pStyle w:val="Heading1"/>
        <w:jc w:val="center"/>
        <w:rPr>
          <w:rStyle w:val="Strong"/>
          <w:rFonts w:ascii="Calibri" w:hAnsi="Calibri" w:cs="Calibri"/>
          <w:color w:val="212A4C"/>
          <w:sz w:val="52"/>
          <w:szCs w:val="48"/>
        </w:rPr>
      </w:pPr>
      <w:r w:rsidRPr="00B70A28">
        <w:rPr>
          <w:rStyle w:val="Strong"/>
          <w:rFonts w:ascii="Calibri" w:hAnsi="Calibri" w:cs="Calibri"/>
          <w:color w:val="212A4C"/>
          <w:sz w:val="52"/>
          <w:szCs w:val="48"/>
        </w:rPr>
        <w:t>R&amp;D Tax Incentive</w:t>
      </w:r>
      <w:r w:rsidRPr="00B70A28">
        <w:rPr>
          <w:rStyle w:val="Strong"/>
          <w:rFonts w:ascii="Calibri" w:hAnsi="Calibri" w:cs="Calibri"/>
          <w:color w:val="212A4C"/>
          <w:sz w:val="160"/>
          <w:szCs w:val="48"/>
        </w:rPr>
        <w:br/>
      </w:r>
      <w:r w:rsidRPr="00B70A28">
        <w:rPr>
          <w:rStyle w:val="Strong"/>
          <w:rFonts w:ascii="Calibri" w:hAnsi="Calibri" w:cs="Calibri"/>
          <w:color w:val="212A4C"/>
          <w:sz w:val="52"/>
          <w:szCs w:val="48"/>
        </w:rPr>
        <w:t>Program Update – September 2022</w:t>
      </w:r>
    </w:p>
    <w:p w14:paraId="71348FDA" w14:textId="77777777" w:rsidR="00B70A28" w:rsidRDefault="00B70A28" w:rsidP="00C93430">
      <w:pPr>
        <w:pStyle w:val="Heading3"/>
        <w:pBdr>
          <w:top w:val="single" w:sz="4" w:space="1" w:color="auto"/>
          <w:left w:val="single" w:sz="4" w:space="4" w:color="auto"/>
          <w:bottom w:val="single" w:sz="4" w:space="1" w:color="auto"/>
          <w:right w:val="single" w:sz="4" w:space="4" w:color="auto"/>
        </w:pBdr>
        <w:shd w:val="clear" w:color="auto" w:fill="D9E2F3" w:themeFill="accent5" w:themeFillTint="33"/>
        <w:spacing w:before="0"/>
        <w:rPr>
          <w:sz w:val="22"/>
        </w:rPr>
      </w:pPr>
      <w:r w:rsidRPr="00DC4D18">
        <w:rPr>
          <w:sz w:val="22"/>
        </w:rPr>
        <w:t xml:space="preserve">This update provides information on various elements of program administration. </w:t>
      </w:r>
    </w:p>
    <w:p w14:paraId="087FA3DF" w14:textId="77777777" w:rsidR="00B70A28" w:rsidRDefault="00B70A28" w:rsidP="00C93430">
      <w:pPr>
        <w:pStyle w:val="Heading3"/>
        <w:pBdr>
          <w:top w:val="single" w:sz="4" w:space="1" w:color="auto"/>
          <w:left w:val="single" w:sz="4" w:space="4" w:color="auto"/>
          <w:bottom w:val="single" w:sz="4" w:space="1" w:color="auto"/>
          <w:right w:val="single" w:sz="4" w:space="4" w:color="auto"/>
        </w:pBdr>
        <w:shd w:val="clear" w:color="auto" w:fill="D9E2F3" w:themeFill="accent5" w:themeFillTint="33"/>
        <w:spacing w:before="0"/>
        <w:rPr>
          <w:sz w:val="22"/>
        </w:rPr>
      </w:pPr>
      <w:r w:rsidRPr="00DC4D18">
        <w:rPr>
          <w:sz w:val="22"/>
        </w:rPr>
        <w:t>You are welcome to comment on the information or ask questions during the meeting.</w:t>
      </w:r>
    </w:p>
    <w:p w14:paraId="23BE62D4" w14:textId="77777777" w:rsidR="00B70A28" w:rsidRPr="00FE478F" w:rsidRDefault="00B70A28" w:rsidP="00C93430">
      <w:pPr>
        <w:pBdr>
          <w:top w:val="single" w:sz="4" w:space="1" w:color="auto"/>
          <w:left w:val="single" w:sz="4" w:space="4" w:color="auto"/>
          <w:bottom w:val="single" w:sz="4" w:space="1" w:color="auto"/>
          <w:right w:val="single" w:sz="4" w:space="4" w:color="auto"/>
        </w:pBdr>
        <w:shd w:val="clear" w:color="auto" w:fill="D9E2F3" w:themeFill="accent5" w:themeFillTint="33"/>
        <w:spacing w:before="0" w:after="0"/>
      </w:pPr>
    </w:p>
    <w:p w14:paraId="59E21710" w14:textId="77777777" w:rsidR="00B70A28" w:rsidRDefault="00B70A28" w:rsidP="00C93430">
      <w:pPr>
        <w:pStyle w:val="Heading3"/>
        <w:pBdr>
          <w:top w:val="single" w:sz="4" w:space="1" w:color="auto"/>
          <w:left w:val="single" w:sz="4" w:space="4" w:color="auto"/>
          <w:bottom w:val="single" w:sz="4" w:space="1" w:color="auto"/>
          <w:right w:val="single" w:sz="4" w:space="4" w:color="auto"/>
        </w:pBdr>
        <w:shd w:val="clear" w:color="auto" w:fill="D9E2F3" w:themeFill="accent5" w:themeFillTint="33"/>
        <w:spacing w:before="0"/>
        <w:rPr>
          <w:sz w:val="22"/>
        </w:rPr>
      </w:pPr>
      <w:r w:rsidRPr="00DC4D18">
        <w:rPr>
          <w:sz w:val="22"/>
        </w:rPr>
        <w:t>1.</w:t>
      </w:r>
      <w:r w:rsidRPr="00DC4D18">
        <w:rPr>
          <w:sz w:val="22"/>
        </w:rPr>
        <w:tab/>
      </w:r>
      <w:r>
        <w:rPr>
          <w:sz w:val="22"/>
        </w:rPr>
        <w:t xml:space="preserve">Departmental changes </w:t>
      </w:r>
    </w:p>
    <w:p w14:paraId="519B958E" w14:textId="77777777" w:rsidR="00B70A28" w:rsidRPr="00DC4D18" w:rsidRDefault="00B70A28" w:rsidP="00C93430">
      <w:pPr>
        <w:pStyle w:val="Heading3"/>
        <w:pBdr>
          <w:top w:val="single" w:sz="4" w:space="1" w:color="auto"/>
          <w:left w:val="single" w:sz="4" w:space="4" w:color="auto"/>
          <w:bottom w:val="single" w:sz="4" w:space="1" w:color="auto"/>
          <w:right w:val="single" w:sz="4" w:space="4" w:color="auto"/>
        </w:pBdr>
        <w:shd w:val="clear" w:color="auto" w:fill="D9E2F3" w:themeFill="accent5" w:themeFillTint="33"/>
        <w:spacing w:before="0"/>
        <w:rPr>
          <w:sz w:val="22"/>
        </w:rPr>
      </w:pPr>
      <w:r>
        <w:rPr>
          <w:sz w:val="22"/>
        </w:rPr>
        <w:t xml:space="preserve">2.  </w:t>
      </w:r>
      <w:r>
        <w:rPr>
          <w:sz w:val="22"/>
        </w:rPr>
        <w:tab/>
      </w:r>
      <w:r w:rsidRPr="00DC4D18">
        <w:rPr>
          <w:sz w:val="22"/>
        </w:rPr>
        <w:t>Advance and overseas findings</w:t>
      </w:r>
    </w:p>
    <w:p w14:paraId="58C55322" w14:textId="77777777" w:rsidR="00B70A28" w:rsidRPr="00DC4D18" w:rsidRDefault="00B70A28" w:rsidP="00C93430">
      <w:pPr>
        <w:pStyle w:val="Heading3"/>
        <w:pBdr>
          <w:top w:val="single" w:sz="4" w:space="1" w:color="auto"/>
          <w:left w:val="single" w:sz="4" w:space="4" w:color="auto"/>
          <w:bottom w:val="single" w:sz="4" w:space="1" w:color="auto"/>
          <w:right w:val="single" w:sz="4" w:space="4" w:color="auto"/>
        </w:pBdr>
        <w:shd w:val="clear" w:color="auto" w:fill="D9E2F3" w:themeFill="accent5" w:themeFillTint="33"/>
        <w:spacing w:before="0"/>
        <w:rPr>
          <w:sz w:val="22"/>
        </w:rPr>
      </w:pPr>
      <w:r>
        <w:rPr>
          <w:sz w:val="22"/>
        </w:rPr>
        <w:t>3</w:t>
      </w:r>
      <w:r w:rsidRPr="00DC4D18">
        <w:rPr>
          <w:sz w:val="22"/>
        </w:rPr>
        <w:t>.</w:t>
      </w:r>
      <w:r w:rsidRPr="00DC4D18">
        <w:rPr>
          <w:sz w:val="22"/>
        </w:rPr>
        <w:tab/>
        <w:t>Program guidance</w:t>
      </w:r>
      <w:r w:rsidRPr="00DC4D18">
        <w:rPr>
          <w:sz w:val="22"/>
        </w:rPr>
        <w:br/>
      </w:r>
      <w:r w:rsidRPr="00DC4D18">
        <w:rPr>
          <w:sz w:val="22"/>
        </w:rPr>
        <w:tab/>
        <w:t xml:space="preserve">- </w:t>
      </w:r>
      <w:r>
        <w:rPr>
          <w:sz w:val="22"/>
        </w:rPr>
        <w:t xml:space="preserve"> </w:t>
      </w:r>
      <w:r w:rsidRPr="00DC4D18">
        <w:rPr>
          <w:sz w:val="22"/>
        </w:rPr>
        <w:t>Information sessions</w:t>
      </w:r>
      <w:r w:rsidRPr="00DC4D18">
        <w:rPr>
          <w:sz w:val="22"/>
        </w:rPr>
        <w:br/>
      </w:r>
      <w:r w:rsidRPr="00DC4D18">
        <w:rPr>
          <w:sz w:val="22"/>
        </w:rPr>
        <w:tab/>
        <w:t xml:space="preserve">- </w:t>
      </w:r>
      <w:r>
        <w:rPr>
          <w:sz w:val="22"/>
        </w:rPr>
        <w:t xml:space="preserve"> </w:t>
      </w:r>
      <w:r w:rsidRPr="00DC4D18">
        <w:rPr>
          <w:sz w:val="22"/>
        </w:rPr>
        <w:t>Guide to interpretation video</w:t>
      </w:r>
      <w:r w:rsidRPr="00DC4D18">
        <w:rPr>
          <w:sz w:val="22"/>
        </w:rPr>
        <w:br/>
      </w:r>
      <w:r w:rsidRPr="00DC4D18">
        <w:rPr>
          <w:sz w:val="22"/>
        </w:rPr>
        <w:tab/>
        <w:t xml:space="preserve">- </w:t>
      </w:r>
      <w:r>
        <w:rPr>
          <w:sz w:val="22"/>
        </w:rPr>
        <w:t xml:space="preserve"> </w:t>
      </w:r>
      <w:r w:rsidRPr="00DC4D18">
        <w:rPr>
          <w:sz w:val="22"/>
        </w:rPr>
        <w:t>Website updates</w:t>
      </w:r>
    </w:p>
    <w:p w14:paraId="2513246F" w14:textId="77777777" w:rsidR="00B70A28" w:rsidRPr="00DC4D18" w:rsidRDefault="00B70A28" w:rsidP="00C93430">
      <w:pPr>
        <w:pStyle w:val="Heading3"/>
        <w:pBdr>
          <w:top w:val="single" w:sz="4" w:space="1" w:color="auto"/>
          <w:left w:val="single" w:sz="4" w:space="4" w:color="auto"/>
          <w:bottom w:val="single" w:sz="4" w:space="1" w:color="auto"/>
          <w:right w:val="single" w:sz="4" w:space="4" w:color="auto"/>
        </w:pBdr>
        <w:shd w:val="clear" w:color="auto" w:fill="D9E2F3" w:themeFill="accent5" w:themeFillTint="33"/>
        <w:spacing w:before="0"/>
        <w:rPr>
          <w:sz w:val="22"/>
        </w:rPr>
      </w:pPr>
      <w:r>
        <w:rPr>
          <w:sz w:val="22"/>
        </w:rPr>
        <w:t>4</w:t>
      </w:r>
      <w:r w:rsidRPr="00DC4D18">
        <w:rPr>
          <w:sz w:val="22"/>
        </w:rPr>
        <w:t>.</w:t>
      </w:r>
      <w:r w:rsidRPr="00DC4D18">
        <w:rPr>
          <w:sz w:val="22"/>
        </w:rPr>
        <w:tab/>
        <w:t>Determinations</w:t>
      </w:r>
    </w:p>
    <w:p w14:paraId="6A696B12" w14:textId="77777777" w:rsidR="00B70A28" w:rsidRPr="00685984" w:rsidRDefault="00B70A28" w:rsidP="00C93430">
      <w:pPr>
        <w:pStyle w:val="Heading3"/>
        <w:pBdr>
          <w:top w:val="single" w:sz="4" w:space="1" w:color="auto"/>
          <w:left w:val="single" w:sz="4" w:space="4" w:color="auto"/>
          <w:bottom w:val="single" w:sz="4" w:space="1" w:color="auto"/>
          <w:right w:val="single" w:sz="4" w:space="4" w:color="auto"/>
        </w:pBdr>
        <w:shd w:val="clear" w:color="auto" w:fill="D9E2F3" w:themeFill="accent5" w:themeFillTint="33"/>
        <w:spacing w:before="0"/>
        <w:rPr>
          <w:sz w:val="22"/>
        </w:rPr>
      </w:pPr>
      <w:r>
        <w:rPr>
          <w:sz w:val="22"/>
        </w:rPr>
        <w:t>5</w:t>
      </w:r>
      <w:r w:rsidRPr="00DC4D18">
        <w:rPr>
          <w:sz w:val="22"/>
        </w:rPr>
        <w:t xml:space="preserve">. </w:t>
      </w:r>
      <w:r w:rsidRPr="00DC4D18">
        <w:rPr>
          <w:sz w:val="22"/>
        </w:rPr>
        <w:tab/>
        <w:t>Registrations updates</w:t>
      </w:r>
      <w:bookmarkStart w:id="3" w:name="_Determinations"/>
      <w:bookmarkEnd w:id="3"/>
      <w:r w:rsidRPr="00DC4D18">
        <w:rPr>
          <w:sz w:val="22"/>
        </w:rPr>
        <w:br/>
      </w:r>
      <w:r w:rsidRPr="00DC4D18">
        <w:rPr>
          <w:sz w:val="22"/>
        </w:rPr>
        <w:tab/>
        <w:t xml:space="preserve">- </w:t>
      </w:r>
      <w:r>
        <w:rPr>
          <w:sz w:val="22"/>
        </w:rPr>
        <w:t xml:space="preserve"> </w:t>
      </w:r>
      <w:r w:rsidRPr="00DC4D18">
        <w:rPr>
          <w:sz w:val="22"/>
        </w:rPr>
        <w:t>Customer portal</w:t>
      </w:r>
      <w:r w:rsidRPr="00DC4D18">
        <w:rPr>
          <w:sz w:val="22"/>
        </w:rPr>
        <w:br/>
      </w:r>
      <w:r w:rsidRPr="00DC4D18">
        <w:rPr>
          <w:sz w:val="22"/>
        </w:rPr>
        <w:tab/>
        <w:t xml:space="preserve">- </w:t>
      </w:r>
      <w:r>
        <w:rPr>
          <w:sz w:val="22"/>
        </w:rPr>
        <w:t xml:space="preserve"> </w:t>
      </w:r>
      <w:r w:rsidRPr="00DC4D18">
        <w:rPr>
          <w:sz w:val="22"/>
        </w:rPr>
        <w:t>Application insights</w:t>
      </w:r>
      <w:r w:rsidRPr="00DC4D18">
        <w:rPr>
          <w:sz w:val="22"/>
        </w:rPr>
        <w:br/>
      </w:r>
      <w:r w:rsidRPr="00DC4D18">
        <w:rPr>
          <w:sz w:val="22"/>
        </w:rPr>
        <w:tab/>
        <w:t xml:space="preserve">- </w:t>
      </w:r>
      <w:r>
        <w:rPr>
          <w:sz w:val="22"/>
        </w:rPr>
        <w:t xml:space="preserve"> Registration and claims data</w:t>
      </w:r>
    </w:p>
    <w:p w14:paraId="693D8CF2" w14:textId="77777777" w:rsidR="00B70A28" w:rsidRDefault="00B70A28" w:rsidP="00C93430">
      <w:pPr>
        <w:pStyle w:val="Heading2"/>
        <w:pBdr>
          <w:top w:val="single" w:sz="4" w:space="1" w:color="auto"/>
          <w:left w:val="single" w:sz="4" w:space="4" w:color="auto"/>
          <w:bottom w:val="single" w:sz="4" w:space="1" w:color="auto"/>
          <w:right w:val="single" w:sz="4" w:space="4" w:color="auto"/>
        </w:pBdr>
        <w:shd w:val="clear" w:color="auto" w:fill="D9E2F3" w:themeFill="accent5" w:themeFillTint="33"/>
      </w:pPr>
      <w:bookmarkStart w:id="4" w:name="_Software_Guidance"/>
      <w:bookmarkStart w:id="5" w:name="_30_April_deadline"/>
      <w:bookmarkStart w:id="6" w:name="_Registration_Data"/>
      <w:bookmarkEnd w:id="4"/>
      <w:bookmarkEnd w:id="5"/>
      <w:bookmarkEnd w:id="6"/>
      <w:r>
        <w:t>Departmental changes</w:t>
      </w:r>
    </w:p>
    <w:p w14:paraId="7954FFF8" w14:textId="77777777" w:rsidR="00B70A28" w:rsidRPr="005C39B1" w:rsidRDefault="00B70A28" w:rsidP="00951DA9">
      <w:pPr>
        <w:rPr>
          <w:lang w:eastAsia="en-AU"/>
        </w:rPr>
      </w:pPr>
      <w:r>
        <w:rPr>
          <w:lang w:eastAsia="en-AU"/>
        </w:rPr>
        <w:t xml:space="preserve">Some changes have occurred in the department as a result of the change of government following the election in May 2022. </w:t>
      </w:r>
      <w:r w:rsidRPr="005C39B1">
        <w:rPr>
          <w:lang w:eastAsia="en-AU"/>
        </w:rPr>
        <w:t xml:space="preserve">The </w:t>
      </w:r>
      <w:r>
        <w:rPr>
          <w:lang w:eastAsia="en-AU"/>
        </w:rPr>
        <w:t>d</w:t>
      </w:r>
      <w:r w:rsidRPr="005C39B1">
        <w:rPr>
          <w:lang w:eastAsia="en-AU"/>
        </w:rPr>
        <w:t xml:space="preserve">epartment </w:t>
      </w:r>
      <w:r>
        <w:rPr>
          <w:lang w:eastAsia="en-AU"/>
        </w:rPr>
        <w:t>is now</w:t>
      </w:r>
      <w:r w:rsidRPr="005C39B1">
        <w:rPr>
          <w:lang w:eastAsia="en-AU"/>
        </w:rPr>
        <w:t xml:space="preserve"> the Department of Industry, Science and Resources (DISR) </w:t>
      </w:r>
      <w:r>
        <w:rPr>
          <w:lang w:eastAsia="en-AU"/>
        </w:rPr>
        <w:t xml:space="preserve">with the Hon Ed Husic MP </w:t>
      </w:r>
      <w:r w:rsidRPr="005C39B1">
        <w:rPr>
          <w:lang w:eastAsia="en-AU"/>
        </w:rPr>
        <w:t>sworn in as Minister for Industry and Science on 1 June 2022. More recently, Meghan Quinn PSM was appointed as the new Secretary of DISR</w:t>
      </w:r>
      <w:r>
        <w:rPr>
          <w:lang w:eastAsia="en-AU"/>
        </w:rPr>
        <w:t>. Her</w:t>
      </w:r>
      <w:r w:rsidRPr="005C39B1">
        <w:rPr>
          <w:lang w:eastAsia="en-AU"/>
        </w:rPr>
        <w:t xml:space="preserve"> five-year appointment commence</w:t>
      </w:r>
      <w:r>
        <w:rPr>
          <w:lang w:eastAsia="en-AU"/>
        </w:rPr>
        <w:t xml:space="preserve">d </w:t>
      </w:r>
      <w:r w:rsidRPr="005C39B1">
        <w:rPr>
          <w:lang w:eastAsia="en-AU"/>
        </w:rPr>
        <w:t>on 22 August 2022. These changes have not impacted the R&amp;DTI’s legislative framework or administration.</w:t>
      </w:r>
    </w:p>
    <w:p w14:paraId="4CECC80D" w14:textId="77777777" w:rsidR="00B70A28" w:rsidRDefault="00B70A28" w:rsidP="00951DA9">
      <w:pPr>
        <w:pStyle w:val="Heading2"/>
      </w:pPr>
      <w:r>
        <w:t>Advance and overseas findings</w:t>
      </w:r>
    </w:p>
    <w:p w14:paraId="32C37769" w14:textId="77777777" w:rsidR="00B70A28" w:rsidRDefault="00B70A28" w:rsidP="00951DA9">
      <w:pPr>
        <w:rPr>
          <w:lang w:eastAsia="en-AU"/>
        </w:rPr>
      </w:pPr>
      <w:r>
        <w:rPr>
          <w:lang w:eastAsia="en-AU"/>
        </w:rPr>
        <w:t>Current d</w:t>
      </w:r>
      <w:r w:rsidRPr="00AB1645">
        <w:rPr>
          <w:lang w:eastAsia="en-AU"/>
        </w:rPr>
        <w:t xml:space="preserve">emand for </w:t>
      </w:r>
      <w:r>
        <w:rPr>
          <w:lang w:eastAsia="en-AU"/>
        </w:rPr>
        <w:t>o</w:t>
      </w:r>
      <w:r w:rsidRPr="00AB1645">
        <w:rPr>
          <w:lang w:eastAsia="en-AU"/>
        </w:rPr>
        <w:t xml:space="preserve">verseas </w:t>
      </w:r>
      <w:r>
        <w:rPr>
          <w:lang w:eastAsia="en-AU"/>
        </w:rPr>
        <w:t>f</w:t>
      </w:r>
      <w:r w:rsidRPr="00AB1645">
        <w:rPr>
          <w:lang w:eastAsia="en-AU"/>
        </w:rPr>
        <w:t xml:space="preserve">indings </w:t>
      </w:r>
      <w:r>
        <w:rPr>
          <w:lang w:eastAsia="en-AU"/>
        </w:rPr>
        <w:t xml:space="preserve">remains </w:t>
      </w:r>
      <w:r w:rsidRPr="00AB1645">
        <w:rPr>
          <w:lang w:eastAsia="en-AU"/>
        </w:rPr>
        <w:t>high</w:t>
      </w:r>
      <w:r>
        <w:rPr>
          <w:lang w:eastAsia="en-AU"/>
        </w:rPr>
        <w:t xml:space="preserve"> and is returning to pre-COVID-19 levels. Most overseas finding applications are lodged in the last week of June. This peak means many applicants may wait longer for a finding outcome compared to applications lodged at other times of the year.</w:t>
      </w:r>
    </w:p>
    <w:p w14:paraId="0FC8C513" w14:textId="77777777" w:rsidR="00B70A28" w:rsidRDefault="00B70A28" w:rsidP="00951DA9">
      <w:pPr>
        <w:rPr>
          <w:lang w:eastAsia="en-AU"/>
        </w:rPr>
      </w:pPr>
      <w:r w:rsidRPr="00AB1645">
        <w:rPr>
          <w:lang w:eastAsia="en-AU"/>
        </w:rPr>
        <w:t xml:space="preserve">Demand for </w:t>
      </w:r>
      <w:r>
        <w:rPr>
          <w:lang w:eastAsia="en-AU"/>
        </w:rPr>
        <w:t>a</w:t>
      </w:r>
      <w:r w:rsidRPr="00AB1645">
        <w:rPr>
          <w:lang w:eastAsia="en-AU"/>
        </w:rPr>
        <w:t xml:space="preserve">dvance </w:t>
      </w:r>
      <w:r>
        <w:rPr>
          <w:lang w:eastAsia="en-AU"/>
        </w:rPr>
        <w:t>f</w:t>
      </w:r>
      <w:r w:rsidRPr="00AB1645">
        <w:rPr>
          <w:lang w:eastAsia="en-AU"/>
        </w:rPr>
        <w:t xml:space="preserve">indings </w:t>
      </w:r>
      <w:r>
        <w:rPr>
          <w:lang w:eastAsia="en-AU"/>
        </w:rPr>
        <w:t xml:space="preserve">is </w:t>
      </w:r>
      <w:r w:rsidRPr="00AB1645">
        <w:rPr>
          <w:lang w:eastAsia="en-AU"/>
        </w:rPr>
        <w:t>low</w:t>
      </w:r>
      <w:r>
        <w:rPr>
          <w:lang w:eastAsia="en-AU"/>
        </w:rPr>
        <w:t xml:space="preserve"> and </w:t>
      </w:r>
      <w:r w:rsidRPr="37444530">
        <w:rPr>
          <w:lang w:eastAsia="en-AU"/>
        </w:rPr>
        <w:t>represents</w:t>
      </w:r>
      <w:r>
        <w:rPr>
          <w:lang w:eastAsia="en-AU"/>
        </w:rPr>
        <w:t xml:space="preserve"> less than 10% of all advance and overseas finding applications submitted in the 2021/22 financial year. </w:t>
      </w:r>
    </w:p>
    <w:p w14:paraId="243D19C9" w14:textId="77777777" w:rsidR="00B70A28" w:rsidRDefault="00B70A28" w:rsidP="00951DA9">
      <w:pPr>
        <w:pStyle w:val="Heading3"/>
      </w:pPr>
      <w:r>
        <w:t>Assessment timelines</w:t>
      </w:r>
    </w:p>
    <w:p w14:paraId="5712EA1E" w14:textId="77777777" w:rsidR="00B70A28" w:rsidRDefault="00B70A28" w:rsidP="00951DA9">
      <w:pPr>
        <w:rPr>
          <w:lang w:eastAsia="en-AU"/>
        </w:rPr>
      </w:pPr>
      <w:r>
        <w:rPr>
          <w:lang w:eastAsia="en-AU"/>
        </w:rPr>
        <w:t>Advance and overseas findings a</w:t>
      </w:r>
      <w:r w:rsidRPr="00AB1645">
        <w:rPr>
          <w:lang w:eastAsia="en-AU"/>
        </w:rPr>
        <w:t>ss</w:t>
      </w:r>
      <w:r>
        <w:rPr>
          <w:lang w:eastAsia="en-AU"/>
        </w:rPr>
        <w:t>essment timelines have improved over the last year. In 2021-</w:t>
      </w:r>
      <w:r w:rsidRPr="00AB1645">
        <w:rPr>
          <w:lang w:eastAsia="en-AU"/>
        </w:rPr>
        <w:t>22</w:t>
      </w:r>
      <w:r>
        <w:rPr>
          <w:lang w:eastAsia="en-AU"/>
        </w:rPr>
        <w:t>,</w:t>
      </w:r>
      <w:r w:rsidRPr="00AB1645">
        <w:rPr>
          <w:lang w:eastAsia="en-AU"/>
        </w:rPr>
        <w:t xml:space="preserve"> the median time to complete advance and overseas findings </w:t>
      </w:r>
      <w:r>
        <w:rPr>
          <w:lang w:eastAsia="en-AU"/>
        </w:rPr>
        <w:t xml:space="preserve">reduced to </w:t>
      </w:r>
      <w:r w:rsidRPr="00AB1645">
        <w:rPr>
          <w:lang w:eastAsia="en-AU"/>
        </w:rPr>
        <w:t>111 days</w:t>
      </w:r>
      <w:r w:rsidRPr="00B05E1C">
        <w:rPr>
          <w:lang w:eastAsia="en-AU"/>
        </w:rPr>
        <w:t xml:space="preserve"> </w:t>
      </w:r>
      <w:r w:rsidRPr="00AB1645">
        <w:rPr>
          <w:lang w:eastAsia="en-AU"/>
        </w:rPr>
        <w:t>compared to 181 days</w:t>
      </w:r>
      <w:r w:rsidRPr="00B05E1C">
        <w:t xml:space="preserve"> </w:t>
      </w:r>
      <w:r>
        <w:t xml:space="preserve">in </w:t>
      </w:r>
      <w:r w:rsidRPr="00B05E1C">
        <w:rPr>
          <w:lang w:eastAsia="en-AU"/>
        </w:rPr>
        <w:t>2020-21</w:t>
      </w:r>
      <w:r w:rsidRPr="00AB1645">
        <w:rPr>
          <w:lang w:eastAsia="en-AU"/>
        </w:rPr>
        <w:t xml:space="preserve">. </w:t>
      </w:r>
      <w:r>
        <w:rPr>
          <w:lang w:eastAsia="en-AU"/>
        </w:rPr>
        <w:t>This 30% improvement in completion times will be enhanced further by refined assessment and customer engagement processes along with surge capacity provided by an external delivery partner, Proximity Advisory Services.</w:t>
      </w:r>
    </w:p>
    <w:p w14:paraId="0BAC6049" w14:textId="2F09BDBE" w:rsidR="00B70A28" w:rsidRPr="00AB1645" w:rsidRDefault="00B70A28" w:rsidP="00951DA9">
      <w:pPr>
        <w:rPr>
          <w:lang w:eastAsia="en-AU"/>
        </w:rPr>
      </w:pPr>
      <w:r>
        <w:rPr>
          <w:lang w:eastAsia="en-AU"/>
        </w:rPr>
        <w:t>Applicants for advance and overseas findings can also help to streamline the assessment of their application by attaching relevant samples of evidence to their applications.</w:t>
      </w:r>
      <w:r w:rsidR="002E7B7E">
        <w:rPr>
          <w:lang w:eastAsia="en-AU"/>
        </w:rPr>
        <w:t xml:space="preserve"> </w:t>
      </w:r>
    </w:p>
    <w:p w14:paraId="6EF68CC2" w14:textId="77777777" w:rsidR="00B70A28" w:rsidRDefault="00B70A28" w:rsidP="00951DA9">
      <w:pPr>
        <w:pStyle w:val="Heading3"/>
      </w:pPr>
      <w:r>
        <w:t>Feedback request</w:t>
      </w:r>
    </w:p>
    <w:p w14:paraId="0382F02E" w14:textId="77777777" w:rsidR="00B70A28" w:rsidRPr="00D20AD8" w:rsidRDefault="00B70A28" w:rsidP="00951DA9">
      <w:r>
        <w:rPr>
          <w:lang w:eastAsia="en-AU"/>
        </w:rPr>
        <w:t xml:space="preserve">AusIndustry is seeking to better understand the low rate of advanced finding applications given the frequent demand for certainty made by program users. Your comments can be shared during the forum or sent to </w:t>
      </w:r>
      <w:hyperlink r:id="rId19" w:history="1">
        <w:r w:rsidRPr="007524AE">
          <w:rPr>
            <w:rStyle w:val="Hyperlink"/>
            <w:lang w:eastAsia="en-AU"/>
          </w:rPr>
          <w:t>rdti.engagement@industry.gov.au</w:t>
        </w:r>
      </w:hyperlink>
      <w:r>
        <w:rPr>
          <w:lang w:eastAsia="en-AU"/>
        </w:rPr>
        <w:t>.</w:t>
      </w:r>
    </w:p>
    <w:p w14:paraId="5144D85F" w14:textId="77777777" w:rsidR="00B70A28" w:rsidRDefault="00B70A28" w:rsidP="00951DA9">
      <w:pPr>
        <w:pStyle w:val="Heading2"/>
      </w:pPr>
      <w:r>
        <w:lastRenderedPageBreak/>
        <w:t xml:space="preserve">Program guidance </w:t>
      </w:r>
    </w:p>
    <w:p w14:paraId="592D8F2C" w14:textId="77777777" w:rsidR="00B70A28" w:rsidRDefault="00B70A28" w:rsidP="00951DA9">
      <w:pPr>
        <w:pStyle w:val="Heading3"/>
      </w:pPr>
      <w:r>
        <w:t>Information sessions</w:t>
      </w:r>
    </w:p>
    <w:p w14:paraId="43DA82F2" w14:textId="77777777" w:rsidR="00B70A28" w:rsidRPr="00107347" w:rsidRDefault="00B70A28" w:rsidP="00951DA9">
      <w:r>
        <w:t xml:space="preserve">Online information sessions are regularly offered to explain program requirements and assist companies to self-assess their R&amp;D activities. A new </w:t>
      </w:r>
      <w:r w:rsidRPr="37444530">
        <w:t>webinar</w:t>
      </w:r>
      <w:r>
        <w:t xml:space="preserve"> is now available to provide guidance on requirements for both activities and related expenditure, together with information on</w:t>
      </w:r>
      <w:r w:rsidRPr="00192070">
        <w:t xml:space="preserve"> how and when to apply</w:t>
      </w:r>
      <w:r>
        <w:t>,</w:t>
      </w:r>
      <w:r w:rsidRPr="00192070">
        <w:t xml:space="preserve"> and advice on record-keeping</w:t>
      </w:r>
      <w:r>
        <w:t xml:space="preserve">. The webinar is jointly delivered by AusIndustry and the ATO and directed to entities that </w:t>
      </w:r>
      <w:r w:rsidRPr="37444530">
        <w:t>are new to the program</w:t>
      </w:r>
      <w:r>
        <w:t>.</w:t>
      </w:r>
    </w:p>
    <w:p w14:paraId="30DE5056" w14:textId="77777777" w:rsidR="00B70A28" w:rsidRPr="00883A12" w:rsidRDefault="00B70A28" w:rsidP="00951DA9">
      <w:r w:rsidRPr="37444530">
        <w:t xml:space="preserve">The first session on 20 July </w:t>
      </w:r>
      <w:r>
        <w:t xml:space="preserve">proved popular with </w:t>
      </w:r>
      <w:r w:rsidRPr="37444530">
        <w:t>1</w:t>
      </w:r>
      <w:r>
        <w:t>80</w:t>
      </w:r>
      <w:r w:rsidRPr="37444530">
        <w:t xml:space="preserve"> participants</w:t>
      </w:r>
      <w:r>
        <w:t>, of which a third had n</w:t>
      </w:r>
      <w:r w:rsidRPr="37444530">
        <w:t xml:space="preserve">ever </w:t>
      </w:r>
      <w:r>
        <w:t xml:space="preserve">previously </w:t>
      </w:r>
      <w:r w:rsidRPr="37444530">
        <w:t xml:space="preserve">applied for the </w:t>
      </w:r>
      <w:r w:rsidRPr="00883A12">
        <w:t>R&amp;DTI.</w:t>
      </w:r>
      <w:r w:rsidRPr="006E0291">
        <w:t xml:space="preserve"> </w:t>
      </w:r>
      <w:r w:rsidRPr="00883A12">
        <w:t xml:space="preserve">Additional sessions </w:t>
      </w:r>
      <w:r w:rsidRPr="00EF5889">
        <w:t xml:space="preserve">are </w:t>
      </w:r>
      <w:r w:rsidRPr="00751D14">
        <w:t xml:space="preserve">scheduled for </w:t>
      </w:r>
      <w:hyperlink r:id="rId20">
        <w:r w:rsidRPr="00751D14">
          <w:rPr>
            <w:rStyle w:val="Hyperlink"/>
          </w:rPr>
          <w:t>Tuesday, 18th October</w:t>
        </w:r>
      </w:hyperlink>
      <w:r w:rsidRPr="00883A12">
        <w:t xml:space="preserve"> and </w:t>
      </w:r>
      <w:hyperlink r:id="rId21">
        <w:r w:rsidRPr="00751D14">
          <w:rPr>
            <w:rStyle w:val="Hyperlink"/>
          </w:rPr>
          <w:t>Wednesday, 23rd November</w:t>
        </w:r>
      </w:hyperlink>
      <w:r w:rsidRPr="00883A12">
        <w:t>.</w:t>
      </w:r>
      <w:r>
        <w:t xml:space="preserve"> All information sessions are listed on </w:t>
      </w:r>
      <w:hyperlink r:id="rId22" w:history="1">
        <w:r w:rsidRPr="00BE79B1">
          <w:rPr>
            <w:rStyle w:val="Hyperlink"/>
          </w:rPr>
          <w:t>business.gov.au/rdti</w:t>
        </w:r>
      </w:hyperlink>
      <w:r>
        <w:t>.</w:t>
      </w:r>
    </w:p>
    <w:p w14:paraId="5BBCC596" w14:textId="77777777" w:rsidR="00B70A28" w:rsidRDefault="00B70A28" w:rsidP="00951DA9">
      <w:pPr>
        <w:pStyle w:val="Heading3"/>
      </w:pPr>
      <w:r>
        <w:t>Guide to interpretation video</w:t>
      </w:r>
    </w:p>
    <w:p w14:paraId="73F4FD3B" w14:textId="77777777" w:rsidR="00B70A28" w:rsidRPr="00751D14" w:rsidRDefault="00B70A28" w:rsidP="00951DA9">
      <w:r>
        <w:t xml:space="preserve">A </w:t>
      </w:r>
      <w:r w:rsidRPr="37444530">
        <w:t xml:space="preserve">video version of the </w:t>
      </w:r>
      <w:r w:rsidRPr="009E684A">
        <w:rPr>
          <w:i/>
        </w:rPr>
        <w:t>Guide to Interpretation</w:t>
      </w:r>
      <w:r w:rsidRPr="37444530">
        <w:t xml:space="preserve"> </w:t>
      </w:r>
      <w:r>
        <w:t>i</w:t>
      </w:r>
      <w:r w:rsidRPr="37444530">
        <w:t xml:space="preserve">s now available at </w:t>
      </w:r>
      <w:hyperlink r:id="rId23">
        <w:r w:rsidRPr="00751D14">
          <w:rPr>
            <w:rStyle w:val="Hyperlink"/>
          </w:rPr>
          <w:t>business.gov.au/rdti</w:t>
        </w:r>
      </w:hyperlink>
      <w:r>
        <w:t xml:space="preserve"> in conjunction with downloadable versions in written format. </w:t>
      </w:r>
      <w:r w:rsidRPr="37444530">
        <w:t xml:space="preserve">This video </w:t>
      </w:r>
      <w:r>
        <w:t>covers the same content with</w:t>
      </w:r>
      <w:r w:rsidRPr="37444530">
        <w:t xml:space="preserve"> some helpful tips on record keeping</w:t>
      </w:r>
      <w:r>
        <w:t xml:space="preserve"> and common errors.</w:t>
      </w:r>
    </w:p>
    <w:p w14:paraId="18A3B64C" w14:textId="77777777" w:rsidR="00B70A28" w:rsidRDefault="00B70A28" w:rsidP="00951DA9">
      <w:pPr>
        <w:pStyle w:val="Heading3"/>
      </w:pPr>
      <w:r>
        <w:t>Website updates</w:t>
      </w:r>
    </w:p>
    <w:p w14:paraId="5B9550CF" w14:textId="77777777" w:rsidR="00B70A28" w:rsidRDefault="00B70A28" w:rsidP="00951DA9">
      <w:r>
        <w:t xml:space="preserve">You can keep up with </w:t>
      </w:r>
      <w:r w:rsidRPr="37444530">
        <w:t xml:space="preserve">major changes to </w:t>
      </w:r>
      <w:r>
        <w:t xml:space="preserve">R&amp;DTI website content at </w:t>
      </w:r>
      <w:r w:rsidRPr="37444530">
        <w:t xml:space="preserve">business.gov.au/rdti </w:t>
      </w:r>
      <w:r>
        <w:t>by visiting this p</w:t>
      </w:r>
      <w:r w:rsidRPr="37444530">
        <w:t>age</w:t>
      </w:r>
      <w:r>
        <w:t>:</w:t>
      </w:r>
      <w:r w:rsidRPr="37444530">
        <w:t xml:space="preserve"> </w:t>
      </w:r>
      <w:hyperlink r:id="rId24">
        <w:r w:rsidRPr="00751D14">
          <w:rPr>
            <w:rStyle w:val="Hyperlink"/>
          </w:rPr>
          <w:t>latest updates to the R&amp;D Tax Incentive content</w:t>
        </w:r>
      </w:hyperlink>
      <w:r w:rsidRPr="00883A12">
        <w:t xml:space="preserve">. </w:t>
      </w:r>
      <w:r>
        <w:t xml:space="preserve">We recommend that you regularly </w:t>
      </w:r>
      <w:r w:rsidRPr="00883A12">
        <w:t xml:space="preserve">check this page </w:t>
      </w:r>
      <w:r w:rsidRPr="006E0291">
        <w:t xml:space="preserve">to ensure </w:t>
      </w:r>
      <w:r w:rsidRPr="00EF5889">
        <w:t>any c</w:t>
      </w:r>
      <w:r w:rsidRPr="37444530">
        <w:t xml:space="preserve">ontent you </w:t>
      </w:r>
      <w:r>
        <w:t xml:space="preserve">reference </w:t>
      </w:r>
      <w:r w:rsidRPr="37444530">
        <w:t xml:space="preserve">on your website </w:t>
      </w:r>
      <w:r>
        <w:t xml:space="preserve">is </w:t>
      </w:r>
      <w:r w:rsidRPr="37444530">
        <w:t xml:space="preserve">up to date.  </w:t>
      </w:r>
    </w:p>
    <w:p w14:paraId="0A49EED1" w14:textId="77777777" w:rsidR="00B70A28" w:rsidRDefault="00B70A28" w:rsidP="00951DA9">
      <w:pPr>
        <w:pStyle w:val="Heading2"/>
      </w:pPr>
      <w:r>
        <w:t>Determinations</w:t>
      </w:r>
    </w:p>
    <w:p w14:paraId="515B84B1" w14:textId="77777777" w:rsidR="00B70A28" w:rsidRDefault="00B70A28" w:rsidP="00951DA9">
      <w:pPr>
        <w:pStyle w:val="ListParagraph"/>
        <w:ind w:left="0"/>
        <w:rPr>
          <w:rStyle w:val="Heading3Char"/>
        </w:rPr>
      </w:pPr>
      <w:r w:rsidRPr="00987660">
        <w:rPr>
          <w:rStyle w:val="Heading3Char"/>
        </w:rPr>
        <w:t>Industry Research and Development (Clinical Trials) Determination 2022</w:t>
      </w:r>
    </w:p>
    <w:p w14:paraId="3EFE600E" w14:textId="77777777" w:rsidR="00B70A28" w:rsidRDefault="00B70A28" w:rsidP="00951DA9">
      <w:r w:rsidRPr="37444530">
        <w:t xml:space="preserve">The </w:t>
      </w:r>
      <w:hyperlink r:id="rId25">
        <w:r w:rsidRPr="00751D14">
          <w:rPr>
            <w:rStyle w:val="Hyperlink"/>
          </w:rPr>
          <w:t>Industry Research and Development (Clinical Trials) Determination 2022</w:t>
        </w:r>
      </w:hyperlink>
      <w:r w:rsidRPr="37444530">
        <w:t xml:space="preserve"> came into effect on 1 April 2022 </w:t>
      </w:r>
      <w:r>
        <w:t xml:space="preserve">under </w:t>
      </w:r>
      <w:r w:rsidRPr="37444530">
        <w:t xml:space="preserve">the </w:t>
      </w:r>
      <w:r>
        <w:t xml:space="preserve">title </w:t>
      </w:r>
      <w:r w:rsidRPr="009E684A">
        <w:rPr>
          <w:i/>
        </w:rPr>
        <w:t>Industry Research and Development (clinical trials, Phase 0, I, II, III, pre-market pilot stage, pre-market pivotal stage, for an unapproved therapeutic good) Determination 2022</w:t>
      </w:r>
      <w:r w:rsidRPr="37444530">
        <w:t>. Th</w:t>
      </w:r>
      <w:r>
        <w:t>is</w:t>
      </w:r>
      <w:r w:rsidRPr="37444530">
        <w:t xml:space="preserve"> determination offers certainty that phase 0, I, II III, pre-market pilot stage and/or pre-market pivotal stage clinical trials for unapproved therapeutic goods are ‘core R&amp;D activities</w:t>
      </w:r>
      <w:r>
        <w:t>’</w:t>
      </w:r>
      <w:r w:rsidRPr="37444530">
        <w:t>.</w:t>
      </w:r>
    </w:p>
    <w:p w14:paraId="3FB7C630" w14:textId="77777777" w:rsidR="00B70A28" w:rsidRDefault="00B70A28" w:rsidP="00951DA9">
      <w:r w:rsidRPr="00C85689">
        <w:t xml:space="preserve">The determination has received a very positive response </w:t>
      </w:r>
      <w:r>
        <w:t>from companies and stakeholders as i</w:t>
      </w:r>
      <w:r w:rsidRPr="37444530">
        <w:t xml:space="preserve">t </w:t>
      </w:r>
      <w:r>
        <w:t>decreases the</w:t>
      </w:r>
      <w:r w:rsidRPr="37444530">
        <w:t xml:space="preserve"> application </w:t>
      </w:r>
      <w:r>
        <w:t xml:space="preserve">time </w:t>
      </w:r>
      <w:r w:rsidRPr="37444530">
        <w:t>for certain clinical trials</w:t>
      </w:r>
      <w:r>
        <w:t xml:space="preserve"> and enhances the ability to engage in cutting-edge R&amp;D with certainty that the activities meet eligibility requirements. Similarly, reduced complexity has streamlined assessments and reduced processing times for program administrators. In one </w:t>
      </w:r>
      <w:r w:rsidRPr="00D05896">
        <w:t xml:space="preserve">instance, </w:t>
      </w:r>
      <w:r>
        <w:t xml:space="preserve">a company that relied on the </w:t>
      </w:r>
      <w:r w:rsidRPr="00D05896">
        <w:t xml:space="preserve">clinical trials determination </w:t>
      </w:r>
      <w:r>
        <w:t xml:space="preserve">for 35 core R&amp;D activities was processed </w:t>
      </w:r>
      <w:r w:rsidRPr="00D05896">
        <w:t xml:space="preserve">in </w:t>
      </w:r>
      <w:r>
        <w:t xml:space="preserve">only </w:t>
      </w:r>
      <w:r w:rsidRPr="00D05896">
        <w:t>fifteen minutes</w:t>
      </w:r>
      <w:r>
        <w:t>.</w:t>
      </w:r>
    </w:p>
    <w:p w14:paraId="083AF5C2" w14:textId="77777777" w:rsidR="00B70A28" w:rsidRPr="003F2A05" w:rsidRDefault="00B70A28" w:rsidP="00951DA9">
      <w:r w:rsidRPr="37444530">
        <w:t xml:space="preserve">The release of the determination was accompanied by </w:t>
      </w:r>
      <w:hyperlink r:id="rId26">
        <w:r w:rsidRPr="00751D14">
          <w:rPr>
            <w:rStyle w:val="Hyperlink"/>
          </w:rPr>
          <w:t>guidance on how to apply the determination</w:t>
        </w:r>
      </w:hyperlink>
      <w:r w:rsidRPr="37444530">
        <w:t xml:space="preserve"> </w:t>
      </w:r>
      <w:r>
        <w:t xml:space="preserve">to assist companies </w:t>
      </w:r>
      <w:r w:rsidRPr="37444530">
        <w:t xml:space="preserve">when registering for the program and/or </w:t>
      </w:r>
      <w:r>
        <w:t xml:space="preserve">applying for </w:t>
      </w:r>
      <w:r w:rsidRPr="37444530">
        <w:t xml:space="preserve">an Advance or Overseas Finding. The </w:t>
      </w:r>
      <w:hyperlink r:id="rId27">
        <w:r w:rsidRPr="000E7845">
          <w:rPr>
            <w:rStyle w:val="Hyperlink"/>
          </w:rPr>
          <w:t>business.gov.au/rdti</w:t>
        </w:r>
      </w:hyperlink>
      <w:r w:rsidRPr="37444530">
        <w:t xml:space="preserve"> website </w:t>
      </w:r>
      <w:r>
        <w:t>provides</w:t>
      </w:r>
      <w:r w:rsidRPr="37444530">
        <w:t xml:space="preserve"> the primary reference point for up to date information and guidance.</w:t>
      </w:r>
    </w:p>
    <w:p w14:paraId="58F2D08B" w14:textId="77777777" w:rsidR="00B70A28" w:rsidRPr="003F2A05" w:rsidRDefault="00B70A28" w:rsidP="00951DA9">
      <w:r>
        <w:t>AusIndustry</w:t>
      </w:r>
      <w:r w:rsidRPr="37444530">
        <w:t xml:space="preserve"> is </w:t>
      </w:r>
      <w:r>
        <w:t xml:space="preserve">working to </w:t>
      </w:r>
      <w:r w:rsidRPr="37444530">
        <w:t xml:space="preserve">develop </w:t>
      </w:r>
      <w:r>
        <w:t>future</w:t>
      </w:r>
      <w:r w:rsidRPr="37444530">
        <w:t xml:space="preserve"> determinations. R</w:t>
      </w:r>
      <w:r>
        <w:t>&amp;</w:t>
      </w:r>
      <w:r w:rsidRPr="37444530">
        <w:t>DTI determinations made by AusIndustry differ from ATO determinations.</w:t>
      </w:r>
      <w:r>
        <w:t xml:space="preserve"> The latter are binding on the Commissioner of Taxation, while R&amp;DTI determinations are binding on the Industry Innovation Science Australia Board and its delegates.</w:t>
      </w:r>
    </w:p>
    <w:p w14:paraId="76373FC1" w14:textId="77777777" w:rsidR="00B70A28" w:rsidRDefault="00B70A28">
      <w:pPr>
        <w:rPr>
          <w:rFonts w:asciiTheme="majorHAnsi" w:eastAsiaTheme="majorEastAsia" w:hAnsiTheme="majorHAnsi" w:cstheme="majorBidi"/>
          <w:b/>
          <w:color w:val="44546A" w:themeColor="text2"/>
          <w:sz w:val="28"/>
          <w:szCs w:val="26"/>
        </w:rPr>
      </w:pPr>
      <w:r>
        <w:t>Feedback on the clinical determination and suggestions</w:t>
      </w:r>
      <w:r w:rsidRPr="37444530">
        <w:t xml:space="preserve"> for new determinations </w:t>
      </w:r>
      <w:r>
        <w:t xml:space="preserve">can be forwarded to </w:t>
      </w:r>
      <w:hyperlink r:id="rId28" w:history="1">
        <w:r w:rsidRPr="00751D14">
          <w:rPr>
            <w:rStyle w:val="Hyperlink"/>
          </w:rPr>
          <w:t>rdti.engagement@industry.gov.au</w:t>
        </w:r>
      </w:hyperlink>
      <w:r w:rsidRPr="006E0291">
        <w:t xml:space="preserve">. </w:t>
      </w:r>
    </w:p>
    <w:p w14:paraId="4095D875" w14:textId="77777777" w:rsidR="00B70A28" w:rsidRDefault="00B70A28" w:rsidP="00951DA9">
      <w:pPr>
        <w:pStyle w:val="Heading2"/>
      </w:pPr>
      <w:r>
        <w:t>Registrations update</w:t>
      </w:r>
    </w:p>
    <w:p w14:paraId="4F9DD865" w14:textId="77777777" w:rsidR="00B70A28" w:rsidRDefault="00B70A28" w:rsidP="00951DA9">
      <w:pPr>
        <w:pStyle w:val="Heading3"/>
        <w:rPr>
          <w:lang w:eastAsia="en-AU"/>
        </w:rPr>
      </w:pPr>
      <w:r>
        <w:rPr>
          <w:lang w:eastAsia="en-AU"/>
        </w:rPr>
        <w:t>Customer portal</w:t>
      </w:r>
    </w:p>
    <w:p w14:paraId="75837700" w14:textId="77777777" w:rsidR="00B70A28" w:rsidRPr="00DF51B1" w:rsidRDefault="00B70A28" w:rsidP="00951DA9">
      <w:pPr>
        <w:pStyle w:val="Heading5"/>
        <w:rPr>
          <w:i/>
        </w:rPr>
      </w:pPr>
      <w:r w:rsidRPr="00DF51B1">
        <w:t xml:space="preserve">3 May registration deadline </w:t>
      </w:r>
    </w:p>
    <w:p w14:paraId="4F7932CF" w14:textId="77777777" w:rsidR="00B70A28" w:rsidRDefault="00B70A28" w:rsidP="00951DA9">
      <w:pPr>
        <w:rPr>
          <w:rFonts w:eastAsia="Calibri"/>
        </w:rPr>
      </w:pPr>
      <w:r w:rsidRPr="008E529D">
        <w:t xml:space="preserve">The registration deadline on 3 May 2022 for companies with an income year </w:t>
      </w:r>
      <w:r>
        <w:t xml:space="preserve">that </w:t>
      </w:r>
      <w:r w:rsidRPr="008E529D">
        <w:t>end</w:t>
      </w:r>
      <w:r>
        <w:t>ed</w:t>
      </w:r>
      <w:r w:rsidRPr="008E529D">
        <w:t xml:space="preserve"> </w:t>
      </w:r>
      <w:r>
        <w:t xml:space="preserve">on </w:t>
      </w:r>
      <w:r w:rsidRPr="008E529D">
        <w:t>30 June 2021</w:t>
      </w:r>
      <w:r>
        <w:t xml:space="preserve"> was a </w:t>
      </w:r>
      <w:r w:rsidRPr="008E529D">
        <w:t xml:space="preserve">peak </w:t>
      </w:r>
      <w:r>
        <w:t>lodgement date</w:t>
      </w:r>
      <w:r w:rsidRPr="008E529D">
        <w:t xml:space="preserve"> </w:t>
      </w:r>
      <w:r>
        <w:t xml:space="preserve">and the first to occur </w:t>
      </w:r>
      <w:r w:rsidRPr="008E529D">
        <w:t>since the introd</w:t>
      </w:r>
      <w:r w:rsidRPr="008E529D">
        <w:rPr>
          <w:rFonts w:eastAsia="Calibri"/>
        </w:rPr>
        <w:t>uction of the customer portal</w:t>
      </w:r>
      <w:r>
        <w:rPr>
          <w:rFonts w:eastAsia="Calibri"/>
        </w:rPr>
        <w:t xml:space="preserve"> on 5 July 2021.</w:t>
      </w:r>
      <w:r w:rsidRPr="008E529D">
        <w:rPr>
          <w:rFonts w:eastAsia="Calibri"/>
        </w:rPr>
        <w:t xml:space="preserve"> The portal handled the </w:t>
      </w:r>
      <w:r>
        <w:rPr>
          <w:rFonts w:eastAsia="Calibri"/>
        </w:rPr>
        <w:t xml:space="preserve">increased demand as anticipated. On-going </w:t>
      </w:r>
      <w:r w:rsidRPr="008E529D">
        <w:rPr>
          <w:rFonts w:eastAsia="Calibri"/>
        </w:rPr>
        <w:t>monitor</w:t>
      </w:r>
      <w:r>
        <w:rPr>
          <w:rFonts w:eastAsia="Calibri"/>
        </w:rPr>
        <w:t>ing</w:t>
      </w:r>
      <w:r w:rsidRPr="008E529D">
        <w:rPr>
          <w:rFonts w:eastAsia="Calibri"/>
        </w:rPr>
        <w:t xml:space="preserve"> ensure</w:t>
      </w:r>
      <w:r>
        <w:rPr>
          <w:rFonts w:eastAsia="Calibri"/>
        </w:rPr>
        <w:t>s</w:t>
      </w:r>
      <w:r w:rsidRPr="008E529D">
        <w:rPr>
          <w:rFonts w:eastAsia="Calibri"/>
        </w:rPr>
        <w:t xml:space="preserve"> </w:t>
      </w:r>
      <w:r>
        <w:rPr>
          <w:rFonts w:eastAsia="Calibri"/>
        </w:rPr>
        <w:t xml:space="preserve">the portal is </w:t>
      </w:r>
      <w:r w:rsidRPr="008E529D">
        <w:rPr>
          <w:rFonts w:eastAsia="Calibri"/>
        </w:rPr>
        <w:t>meet</w:t>
      </w:r>
      <w:r>
        <w:rPr>
          <w:rFonts w:eastAsia="Calibri"/>
        </w:rPr>
        <w:t>ing</w:t>
      </w:r>
      <w:r w:rsidRPr="008E529D">
        <w:rPr>
          <w:rFonts w:eastAsia="Calibri"/>
        </w:rPr>
        <w:t xml:space="preserve"> customer demands.</w:t>
      </w:r>
    </w:p>
    <w:p w14:paraId="779F1A1E" w14:textId="77777777" w:rsidR="00B70A28" w:rsidRDefault="00B70A28" w:rsidP="00951DA9">
      <w:pPr>
        <w:rPr>
          <w:rFonts w:eastAsia="Calibri"/>
        </w:rPr>
      </w:pPr>
      <w:r>
        <w:rPr>
          <w:rFonts w:eastAsia="Calibri"/>
        </w:rPr>
        <w:lastRenderedPageBreak/>
        <w:t>O</w:t>
      </w:r>
      <w:r w:rsidRPr="008E529D">
        <w:rPr>
          <w:rFonts w:eastAsia="Calibri"/>
        </w:rPr>
        <w:t>ver 13,000 applications have been submitted and processed</w:t>
      </w:r>
      <w:r>
        <w:rPr>
          <w:rFonts w:eastAsia="Calibri"/>
        </w:rPr>
        <w:t xml:space="preserve"> through the customer portal since it was launched.</w:t>
      </w:r>
    </w:p>
    <w:p w14:paraId="2DB9F8D2" w14:textId="77777777" w:rsidR="00B70A28" w:rsidRPr="00DF51B1" w:rsidRDefault="00B70A28" w:rsidP="00951DA9">
      <w:pPr>
        <w:pStyle w:val="Heading5"/>
        <w:rPr>
          <w:i/>
          <w:highlight w:val="yellow"/>
        </w:rPr>
      </w:pPr>
      <w:r w:rsidRPr="00DF51B1">
        <w:t>System updates</w:t>
      </w:r>
    </w:p>
    <w:p w14:paraId="528B56F2" w14:textId="77777777" w:rsidR="00B70A28" w:rsidRPr="003B745F" w:rsidRDefault="00B70A28" w:rsidP="00951DA9">
      <w:pPr>
        <w:rPr>
          <w:lang w:eastAsia="en-AU"/>
        </w:rPr>
      </w:pPr>
      <w:r w:rsidRPr="003B745F">
        <w:rPr>
          <w:lang w:eastAsia="en-AU"/>
        </w:rPr>
        <w:t xml:space="preserve">On 29 June 2022 minor updates were made to the </w:t>
      </w:r>
      <w:r>
        <w:rPr>
          <w:lang w:eastAsia="en-AU"/>
        </w:rPr>
        <w:t>c</w:t>
      </w:r>
      <w:r w:rsidRPr="003B745F">
        <w:rPr>
          <w:lang w:eastAsia="en-AU"/>
        </w:rPr>
        <w:t xml:space="preserve">ustomer </w:t>
      </w:r>
      <w:r>
        <w:rPr>
          <w:lang w:eastAsia="en-AU"/>
        </w:rPr>
        <w:t>p</w:t>
      </w:r>
      <w:r w:rsidRPr="003B745F">
        <w:rPr>
          <w:lang w:eastAsia="en-AU"/>
        </w:rPr>
        <w:t>ortal</w:t>
      </w:r>
      <w:r>
        <w:rPr>
          <w:lang w:eastAsia="en-AU"/>
        </w:rPr>
        <w:t xml:space="preserve"> enabling the </w:t>
      </w:r>
      <w:r w:rsidRPr="003B745F">
        <w:rPr>
          <w:lang w:eastAsia="en-AU"/>
        </w:rPr>
        <w:t>following changes:</w:t>
      </w:r>
    </w:p>
    <w:p w14:paraId="469366C4" w14:textId="77777777" w:rsidR="00B70A28" w:rsidRPr="003B745F" w:rsidRDefault="00B70A28" w:rsidP="00B70A28">
      <w:pPr>
        <w:pStyle w:val="Bullet1"/>
        <w:numPr>
          <w:ilvl w:val="0"/>
          <w:numId w:val="21"/>
        </w:numPr>
        <w:rPr>
          <w:lang w:eastAsia="en-AU"/>
        </w:rPr>
      </w:pPr>
      <w:r w:rsidRPr="00751D14">
        <w:rPr>
          <w:i/>
          <w:lang w:eastAsia="en-AU"/>
        </w:rPr>
        <w:t>Incorporation of the newly introduced ‘Digital Identity’ as part of the login process</w:t>
      </w:r>
      <w:r w:rsidRPr="003B745F">
        <w:rPr>
          <w:lang w:eastAsia="en-AU"/>
        </w:rPr>
        <w:t xml:space="preserve">. </w:t>
      </w:r>
      <w:r>
        <w:rPr>
          <w:lang w:eastAsia="en-AU"/>
        </w:rPr>
        <w:t xml:space="preserve">Digital Identity </w:t>
      </w:r>
      <w:r w:rsidRPr="003B745F">
        <w:rPr>
          <w:lang w:eastAsia="en-AU"/>
        </w:rPr>
        <w:t xml:space="preserve">is </w:t>
      </w:r>
      <w:r>
        <w:rPr>
          <w:lang w:eastAsia="en-AU"/>
        </w:rPr>
        <w:t xml:space="preserve">a government service which </w:t>
      </w:r>
      <w:r w:rsidRPr="003B745F">
        <w:rPr>
          <w:lang w:eastAsia="en-AU"/>
        </w:rPr>
        <w:t xml:space="preserve">currently includes myGovID as the only </w:t>
      </w:r>
      <w:r>
        <w:rPr>
          <w:lang w:eastAsia="en-AU"/>
        </w:rPr>
        <w:t xml:space="preserve">identity verification </w:t>
      </w:r>
      <w:r w:rsidRPr="003B745F">
        <w:rPr>
          <w:lang w:eastAsia="en-AU"/>
        </w:rPr>
        <w:t>service but paves the way for alternatives</w:t>
      </w:r>
      <w:r>
        <w:rPr>
          <w:lang w:eastAsia="en-AU"/>
        </w:rPr>
        <w:t xml:space="preserve"> in the future</w:t>
      </w:r>
      <w:r w:rsidRPr="003B745F">
        <w:rPr>
          <w:lang w:eastAsia="en-AU"/>
        </w:rPr>
        <w:t xml:space="preserve">. Further information about Digital Identity can be found at </w:t>
      </w:r>
      <w:hyperlink r:id="rId29" w:history="1">
        <w:r w:rsidRPr="003B745F">
          <w:rPr>
            <w:rStyle w:val="Hyperlink"/>
            <w:lang w:eastAsia="en-AU"/>
          </w:rPr>
          <w:t>https://www.digitalidentity.gov.au/</w:t>
        </w:r>
      </w:hyperlink>
      <w:r w:rsidRPr="003B745F">
        <w:rPr>
          <w:lang w:eastAsia="en-AU"/>
        </w:rPr>
        <w:t>.</w:t>
      </w:r>
    </w:p>
    <w:p w14:paraId="1FDA59C7" w14:textId="77777777" w:rsidR="00B70A28" w:rsidRPr="003B745F" w:rsidRDefault="00B70A28" w:rsidP="00B70A28">
      <w:pPr>
        <w:pStyle w:val="Bullet1"/>
        <w:numPr>
          <w:ilvl w:val="0"/>
          <w:numId w:val="21"/>
        </w:numPr>
        <w:rPr>
          <w:lang w:eastAsia="en-AU"/>
        </w:rPr>
      </w:pPr>
      <w:r>
        <w:rPr>
          <w:i/>
          <w:lang w:eastAsia="en-AU"/>
        </w:rPr>
        <w:t>Transition to t</w:t>
      </w:r>
      <w:r w:rsidRPr="00820EBC">
        <w:rPr>
          <w:i/>
          <w:lang w:eastAsia="en-AU"/>
        </w:rPr>
        <w:t xml:space="preserve">he 2020 </w:t>
      </w:r>
      <w:r w:rsidRPr="00820EBC">
        <w:rPr>
          <w:i/>
        </w:rPr>
        <w:t xml:space="preserve">Australian and New Zealand Standard Research Classification </w:t>
      </w:r>
      <w:r>
        <w:rPr>
          <w:i/>
        </w:rPr>
        <w:t>(ANZSRC) codes</w:t>
      </w:r>
      <w:r w:rsidRPr="003B745F">
        <w:rPr>
          <w:lang w:eastAsia="en-AU"/>
        </w:rPr>
        <w:t xml:space="preserve">. </w:t>
      </w:r>
      <w:r>
        <w:rPr>
          <w:lang w:eastAsia="en-AU"/>
        </w:rPr>
        <w:t xml:space="preserve">The portal now uses the </w:t>
      </w:r>
      <w:r w:rsidRPr="004451CD">
        <w:rPr>
          <w:lang w:eastAsia="en-AU"/>
        </w:rPr>
        <w:t>updat</w:t>
      </w:r>
      <w:r>
        <w:rPr>
          <w:lang w:eastAsia="en-AU"/>
        </w:rPr>
        <w:t>e</w:t>
      </w:r>
      <w:r w:rsidRPr="004451CD">
        <w:rPr>
          <w:lang w:eastAsia="en-AU"/>
        </w:rPr>
        <w:t xml:space="preserve"> ANZSRC classification codes </w:t>
      </w:r>
      <w:r>
        <w:rPr>
          <w:lang w:eastAsia="en-AU"/>
        </w:rPr>
        <w:t xml:space="preserve">which have changed </w:t>
      </w:r>
      <w:r w:rsidRPr="004451CD">
        <w:rPr>
          <w:lang w:eastAsia="en-AU"/>
        </w:rPr>
        <w:t>from the 2008 version.</w:t>
      </w:r>
      <w:r>
        <w:rPr>
          <w:lang w:eastAsia="en-AU"/>
        </w:rPr>
        <w:t xml:space="preserve"> </w:t>
      </w:r>
      <w:r w:rsidRPr="003B745F">
        <w:rPr>
          <w:lang w:eastAsia="en-AU"/>
        </w:rPr>
        <w:t xml:space="preserve">This change </w:t>
      </w:r>
      <w:r>
        <w:rPr>
          <w:lang w:eastAsia="en-AU"/>
        </w:rPr>
        <w:t xml:space="preserve">now </w:t>
      </w:r>
      <w:r w:rsidRPr="003B745F">
        <w:rPr>
          <w:lang w:eastAsia="en-AU"/>
        </w:rPr>
        <w:t>align</w:t>
      </w:r>
      <w:r>
        <w:rPr>
          <w:lang w:eastAsia="en-AU"/>
        </w:rPr>
        <w:t>s</w:t>
      </w:r>
      <w:r w:rsidRPr="003B745F">
        <w:rPr>
          <w:lang w:eastAsia="en-AU"/>
        </w:rPr>
        <w:t xml:space="preserve"> the portal with </w:t>
      </w:r>
      <w:r>
        <w:rPr>
          <w:lang w:eastAsia="en-AU"/>
        </w:rPr>
        <w:t xml:space="preserve">updated provisions of </w:t>
      </w:r>
      <w:r w:rsidRPr="003B745F">
        <w:rPr>
          <w:lang w:eastAsia="en-AU"/>
        </w:rPr>
        <w:t xml:space="preserve">the </w:t>
      </w:r>
      <w:hyperlink r:id="rId30" w:history="1">
        <w:r w:rsidRPr="00646CB2">
          <w:rPr>
            <w:rStyle w:val="Hyperlink"/>
            <w:lang w:eastAsia="en-AU"/>
          </w:rPr>
          <w:t>Industry Research and Development Regulations 2022</w:t>
        </w:r>
      </w:hyperlink>
      <w:r>
        <w:rPr>
          <w:lang w:eastAsia="en-AU"/>
        </w:rPr>
        <w:t>. Further informati</w:t>
      </w:r>
      <w:r w:rsidRPr="003B745F">
        <w:rPr>
          <w:lang w:eastAsia="en-AU"/>
        </w:rPr>
        <w:t xml:space="preserve">on on ANZSRC definitions is available on the </w:t>
      </w:r>
      <w:hyperlink r:id="rId31" w:history="1">
        <w:r w:rsidRPr="003B745F">
          <w:rPr>
            <w:rStyle w:val="Hyperlink"/>
            <w:lang w:eastAsia="en-AU"/>
          </w:rPr>
          <w:t>ABS website</w:t>
        </w:r>
      </w:hyperlink>
      <w:r w:rsidRPr="003B745F">
        <w:rPr>
          <w:lang w:eastAsia="en-AU"/>
        </w:rPr>
        <w:t xml:space="preserve">, including resources to help you classify </w:t>
      </w:r>
      <w:r>
        <w:rPr>
          <w:lang w:eastAsia="en-AU"/>
        </w:rPr>
        <w:t>your activities under the correct f</w:t>
      </w:r>
      <w:r w:rsidRPr="003B745F">
        <w:rPr>
          <w:lang w:eastAsia="en-AU"/>
        </w:rPr>
        <w:t xml:space="preserve">ields of </w:t>
      </w:r>
      <w:r>
        <w:rPr>
          <w:lang w:eastAsia="en-AU"/>
        </w:rPr>
        <w:t>research definition.</w:t>
      </w:r>
    </w:p>
    <w:p w14:paraId="16B2E257" w14:textId="77777777" w:rsidR="00B70A28" w:rsidRDefault="00B70A28" w:rsidP="00951DA9">
      <w:pPr>
        <w:rPr>
          <w:lang w:eastAsia="en-AU"/>
        </w:rPr>
      </w:pPr>
      <w:r w:rsidRPr="003B745F">
        <w:rPr>
          <w:lang w:eastAsia="en-AU"/>
        </w:rPr>
        <w:t xml:space="preserve">No major changes are planned for the customer portal for the remainder of 2022. There will be a minor release later in the year to update the list of </w:t>
      </w:r>
      <w:r>
        <w:rPr>
          <w:lang w:eastAsia="en-AU"/>
        </w:rPr>
        <w:t xml:space="preserve">registered </w:t>
      </w:r>
      <w:r w:rsidRPr="003B745F">
        <w:rPr>
          <w:lang w:eastAsia="en-AU"/>
        </w:rPr>
        <w:t>Research Service Providers and Cooperative Research Centres.</w:t>
      </w:r>
      <w:r>
        <w:rPr>
          <w:lang w:eastAsia="en-AU"/>
        </w:rPr>
        <w:t xml:space="preserve"> Should additional</w:t>
      </w:r>
      <w:r w:rsidRPr="003B745F">
        <w:rPr>
          <w:lang w:eastAsia="en-AU"/>
        </w:rPr>
        <w:t xml:space="preserve"> </w:t>
      </w:r>
      <w:r>
        <w:rPr>
          <w:lang w:eastAsia="en-AU"/>
        </w:rPr>
        <w:t xml:space="preserve">portal </w:t>
      </w:r>
      <w:r w:rsidRPr="003B745F">
        <w:rPr>
          <w:lang w:eastAsia="en-AU"/>
        </w:rPr>
        <w:t xml:space="preserve">updates </w:t>
      </w:r>
      <w:r>
        <w:rPr>
          <w:lang w:eastAsia="en-AU"/>
        </w:rPr>
        <w:t>be</w:t>
      </w:r>
      <w:r w:rsidRPr="003B745F">
        <w:rPr>
          <w:lang w:eastAsia="en-AU"/>
        </w:rPr>
        <w:t xml:space="preserve"> required in 2022, </w:t>
      </w:r>
      <w:r>
        <w:rPr>
          <w:lang w:eastAsia="en-AU"/>
        </w:rPr>
        <w:t xml:space="preserve">this will be </w:t>
      </w:r>
      <w:r w:rsidRPr="003B745F">
        <w:rPr>
          <w:lang w:eastAsia="en-AU"/>
        </w:rPr>
        <w:t>notifi</w:t>
      </w:r>
      <w:r>
        <w:rPr>
          <w:lang w:eastAsia="en-AU"/>
        </w:rPr>
        <w:t>ed</w:t>
      </w:r>
      <w:r w:rsidRPr="003B745F">
        <w:rPr>
          <w:lang w:eastAsia="en-AU"/>
        </w:rPr>
        <w:t xml:space="preserve"> on </w:t>
      </w:r>
      <w:r>
        <w:rPr>
          <w:lang w:eastAsia="en-AU"/>
        </w:rPr>
        <w:t xml:space="preserve">the </w:t>
      </w:r>
      <w:r w:rsidRPr="003B745F">
        <w:rPr>
          <w:lang w:eastAsia="en-AU"/>
        </w:rPr>
        <w:t>portal help and support webpage</w:t>
      </w:r>
      <w:r>
        <w:rPr>
          <w:lang w:eastAsia="en-AU"/>
        </w:rPr>
        <w:t>.</w:t>
      </w:r>
    </w:p>
    <w:p w14:paraId="67A1DC2D" w14:textId="77777777" w:rsidR="00B70A28" w:rsidRPr="00DF51B1" w:rsidRDefault="00B70A28" w:rsidP="00951DA9">
      <w:pPr>
        <w:pStyle w:val="Heading5"/>
        <w:rPr>
          <w:i/>
          <w:lang w:eastAsia="en-AU"/>
        </w:rPr>
      </w:pPr>
      <w:r w:rsidRPr="00DF51B1">
        <w:rPr>
          <w:lang w:eastAsia="en-AU"/>
        </w:rPr>
        <w:t>Portal access authorisations</w:t>
      </w:r>
    </w:p>
    <w:p w14:paraId="47888982" w14:textId="77777777" w:rsidR="00B70A28" w:rsidRDefault="00B70A28" w:rsidP="00951DA9">
      <w:pPr>
        <w:rPr>
          <w:lang w:eastAsia="en-AU"/>
        </w:rPr>
      </w:pPr>
      <w:r>
        <w:rPr>
          <w:lang w:eastAsia="en-AU"/>
        </w:rPr>
        <w:t xml:space="preserve">Companies </w:t>
      </w:r>
      <w:r w:rsidRPr="003B745F">
        <w:rPr>
          <w:lang w:eastAsia="en-AU"/>
        </w:rPr>
        <w:t xml:space="preserve">should </w:t>
      </w:r>
      <w:r>
        <w:rPr>
          <w:lang w:eastAsia="en-AU"/>
        </w:rPr>
        <w:t xml:space="preserve">be reminded to </w:t>
      </w:r>
      <w:r w:rsidRPr="003B745F">
        <w:rPr>
          <w:lang w:eastAsia="en-AU"/>
        </w:rPr>
        <w:t xml:space="preserve">review </w:t>
      </w:r>
      <w:r>
        <w:rPr>
          <w:lang w:eastAsia="en-AU"/>
        </w:rPr>
        <w:t xml:space="preserve">and update the </w:t>
      </w:r>
      <w:r w:rsidRPr="003B745F">
        <w:rPr>
          <w:lang w:eastAsia="en-AU"/>
        </w:rPr>
        <w:t xml:space="preserve">authorisations they have set up </w:t>
      </w:r>
      <w:r>
        <w:rPr>
          <w:lang w:eastAsia="en-AU"/>
        </w:rPr>
        <w:t xml:space="preserve">in </w:t>
      </w:r>
      <w:r w:rsidRPr="003B745F">
        <w:rPr>
          <w:lang w:eastAsia="en-AU"/>
        </w:rPr>
        <w:t>both the customer portal and the ATO</w:t>
      </w:r>
      <w:r>
        <w:rPr>
          <w:lang w:eastAsia="en-AU"/>
        </w:rPr>
        <w:t>’s</w:t>
      </w:r>
      <w:r w:rsidRPr="003B745F">
        <w:rPr>
          <w:lang w:eastAsia="en-AU"/>
        </w:rPr>
        <w:t xml:space="preserve"> Relationship Authorisation Manager to ensure they are current. This includes </w:t>
      </w:r>
      <w:r>
        <w:rPr>
          <w:lang w:eastAsia="en-AU"/>
        </w:rPr>
        <w:t xml:space="preserve">authorisations to </w:t>
      </w:r>
      <w:r w:rsidRPr="003B745F">
        <w:rPr>
          <w:lang w:eastAsia="en-AU"/>
        </w:rPr>
        <w:t xml:space="preserve">extend access </w:t>
      </w:r>
      <w:r>
        <w:rPr>
          <w:lang w:eastAsia="en-AU"/>
        </w:rPr>
        <w:t>to</w:t>
      </w:r>
      <w:r w:rsidRPr="003B745F">
        <w:rPr>
          <w:lang w:eastAsia="en-AU"/>
        </w:rPr>
        <w:t xml:space="preserve"> third parties</w:t>
      </w:r>
      <w:r>
        <w:rPr>
          <w:lang w:eastAsia="en-AU"/>
        </w:rPr>
        <w:t xml:space="preserve">, </w:t>
      </w:r>
      <w:r w:rsidRPr="003B745F">
        <w:rPr>
          <w:lang w:eastAsia="en-AU"/>
        </w:rPr>
        <w:t>and removing it whe</w:t>
      </w:r>
      <w:r>
        <w:rPr>
          <w:lang w:eastAsia="en-AU"/>
        </w:rPr>
        <w:t>n</w:t>
      </w:r>
      <w:r w:rsidRPr="003B745F">
        <w:rPr>
          <w:lang w:eastAsia="en-AU"/>
        </w:rPr>
        <w:t xml:space="preserve"> no longer required.</w:t>
      </w:r>
    </w:p>
    <w:p w14:paraId="5C100DED" w14:textId="77777777" w:rsidR="00B70A28" w:rsidRPr="0072669A" w:rsidRDefault="00B70A28" w:rsidP="00951DA9">
      <w:pPr>
        <w:pStyle w:val="Heading3"/>
        <w:rPr>
          <w:rFonts w:ascii="Calibri" w:eastAsia="Times New Roman" w:hAnsi="Calibri" w:cs="Calibri"/>
          <w:sz w:val="22"/>
          <w:szCs w:val="22"/>
          <w:lang w:eastAsia="en-AU"/>
        </w:rPr>
      </w:pPr>
      <w:r>
        <w:rPr>
          <w:rFonts w:ascii="Calibri" w:eastAsia="Times New Roman" w:hAnsi="Calibri" w:cs="Calibri"/>
          <w:sz w:val="22"/>
          <w:szCs w:val="22"/>
          <w:lang w:eastAsia="en-AU"/>
        </w:rPr>
        <w:t xml:space="preserve">Application </w:t>
      </w:r>
      <w:r w:rsidRPr="0072669A">
        <w:rPr>
          <w:rFonts w:ascii="Calibri" w:eastAsia="Times New Roman" w:hAnsi="Calibri" w:cs="Calibri"/>
          <w:sz w:val="22"/>
          <w:szCs w:val="22"/>
          <w:lang w:eastAsia="en-AU"/>
        </w:rPr>
        <w:t>insights</w:t>
      </w:r>
    </w:p>
    <w:p w14:paraId="6EF324CC" w14:textId="77777777" w:rsidR="00B70A28" w:rsidRDefault="00B70A28" w:rsidP="00951DA9">
      <w:pPr>
        <w:rPr>
          <w:lang w:eastAsia="en-AU"/>
        </w:rPr>
      </w:pPr>
      <w:r w:rsidRPr="0072669A">
        <w:rPr>
          <w:lang w:eastAsia="en-AU"/>
        </w:rPr>
        <w:t xml:space="preserve">There are several common mistakes </w:t>
      </w:r>
      <w:r>
        <w:rPr>
          <w:lang w:eastAsia="en-AU"/>
        </w:rPr>
        <w:t xml:space="preserve">made by </w:t>
      </w:r>
      <w:r w:rsidRPr="0072669A">
        <w:rPr>
          <w:lang w:eastAsia="en-AU"/>
        </w:rPr>
        <w:t xml:space="preserve">applicants </w:t>
      </w:r>
      <w:r>
        <w:rPr>
          <w:lang w:eastAsia="en-AU"/>
        </w:rPr>
        <w:t xml:space="preserve">that can </w:t>
      </w:r>
      <w:r w:rsidRPr="0072669A">
        <w:rPr>
          <w:lang w:eastAsia="en-AU"/>
        </w:rPr>
        <w:t xml:space="preserve">cause a delay in </w:t>
      </w:r>
      <w:r>
        <w:rPr>
          <w:lang w:eastAsia="en-AU"/>
        </w:rPr>
        <w:t>their registration</w:t>
      </w:r>
      <w:r w:rsidRPr="0072669A">
        <w:rPr>
          <w:lang w:eastAsia="en-AU"/>
        </w:rPr>
        <w:t>. One of the main issues</w:t>
      </w:r>
      <w:r>
        <w:rPr>
          <w:lang w:eastAsia="en-AU"/>
        </w:rPr>
        <w:t xml:space="preserve"> is companies missing the lodgement deadline because insufficient time is allowed for portal access</w:t>
      </w:r>
      <w:r w:rsidRPr="0072669A">
        <w:rPr>
          <w:lang w:eastAsia="en-AU"/>
        </w:rPr>
        <w:t xml:space="preserve">. </w:t>
      </w:r>
      <w:r>
        <w:rPr>
          <w:lang w:eastAsia="en-AU"/>
        </w:rPr>
        <w:t xml:space="preserve">Setting up a portal account for the first time </w:t>
      </w:r>
      <w:r w:rsidRPr="0072669A">
        <w:rPr>
          <w:lang w:eastAsia="en-AU"/>
        </w:rPr>
        <w:t xml:space="preserve">can take longer than expected and several companies have </w:t>
      </w:r>
      <w:r>
        <w:rPr>
          <w:lang w:eastAsia="en-AU"/>
        </w:rPr>
        <w:t xml:space="preserve">to then apply </w:t>
      </w:r>
      <w:r w:rsidRPr="0072669A">
        <w:rPr>
          <w:lang w:eastAsia="en-AU"/>
        </w:rPr>
        <w:t xml:space="preserve">for an extension of time </w:t>
      </w:r>
      <w:r>
        <w:rPr>
          <w:lang w:eastAsia="en-AU"/>
        </w:rPr>
        <w:t xml:space="preserve">in order to submit an application. It is important to </w:t>
      </w:r>
      <w:r w:rsidRPr="0072669A">
        <w:rPr>
          <w:lang w:eastAsia="en-AU"/>
        </w:rPr>
        <w:t xml:space="preserve">note that extension of time requests </w:t>
      </w:r>
      <w:r>
        <w:rPr>
          <w:lang w:eastAsia="en-AU"/>
        </w:rPr>
        <w:t xml:space="preserve">can only </w:t>
      </w:r>
      <w:r w:rsidRPr="0072669A">
        <w:rPr>
          <w:lang w:eastAsia="en-AU"/>
        </w:rPr>
        <w:t>be made via the Portal.</w:t>
      </w:r>
    </w:p>
    <w:p w14:paraId="00D78EF0" w14:textId="77777777" w:rsidR="00B70A28" w:rsidRPr="0072669A" w:rsidRDefault="00B70A28" w:rsidP="00951DA9">
      <w:pPr>
        <w:rPr>
          <w:lang w:eastAsia="en-AU"/>
        </w:rPr>
      </w:pPr>
      <w:r>
        <w:rPr>
          <w:lang w:eastAsia="en-AU"/>
        </w:rPr>
        <w:t xml:space="preserve">Delays to </w:t>
      </w:r>
      <w:r w:rsidRPr="0072669A">
        <w:rPr>
          <w:lang w:eastAsia="en-AU"/>
        </w:rPr>
        <w:t xml:space="preserve">registration </w:t>
      </w:r>
      <w:r>
        <w:rPr>
          <w:lang w:eastAsia="en-AU"/>
        </w:rPr>
        <w:t>are also caused by:</w:t>
      </w:r>
    </w:p>
    <w:p w14:paraId="68934528" w14:textId="77777777" w:rsidR="00B70A28" w:rsidRPr="0072669A" w:rsidRDefault="00B70A28" w:rsidP="00B70A28">
      <w:pPr>
        <w:pStyle w:val="Bullet1"/>
        <w:numPr>
          <w:ilvl w:val="0"/>
          <w:numId w:val="21"/>
        </w:numPr>
        <w:rPr>
          <w:lang w:eastAsia="en-AU"/>
        </w:rPr>
      </w:pPr>
      <w:r w:rsidRPr="00751D14">
        <w:rPr>
          <w:i/>
          <w:lang w:eastAsia="en-AU"/>
        </w:rPr>
        <w:t xml:space="preserve">Applications submitted </w:t>
      </w:r>
      <w:r>
        <w:rPr>
          <w:i/>
          <w:lang w:eastAsia="en-AU"/>
        </w:rPr>
        <w:t xml:space="preserve">with </w:t>
      </w:r>
      <w:r w:rsidRPr="00751D14">
        <w:rPr>
          <w:i/>
          <w:lang w:eastAsia="en-AU"/>
        </w:rPr>
        <w:t>incorrect entity details</w:t>
      </w:r>
      <w:r w:rsidRPr="0072669A">
        <w:rPr>
          <w:lang w:eastAsia="en-AU"/>
        </w:rPr>
        <w:t xml:space="preserve">. </w:t>
      </w:r>
      <w:r>
        <w:rPr>
          <w:lang w:eastAsia="en-AU"/>
        </w:rPr>
        <w:t>This is particularly important when tax</w:t>
      </w:r>
      <w:r w:rsidRPr="0072669A">
        <w:rPr>
          <w:lang w:eastAsia="en-AU"/>
        </w:rPr>
        <w:t xml:space="preserve"> structures </w:t>
      </w:r>
      <w:r>
        <w:rPr>
          <w:lang w:eastAsia="en-AU"/>
        </w:rPr>
        <w:t>c</w:t>
      </w:r>
      <w:r w:rsidRPr="0072669A">
        <w:rPr>
          <w:lang w:eastAsia="en-AU"/>
        </w:rPr>
        <w:t xml:space="preserve">hange </w:t>
      </w:r>
      <w:r>
        <w:rPr>
          <w:lang w:eastAsia="en-AU"/>
        </w:rPr>
        <w:t xml:space="preserve">that require an update to the </w:t>
      </w:r>
      <w:r w:rsidRPr="0072669A">
        <w:rPr>
          <w:lang w:eastAsia="en-AU"/>
        </w:rPr>
        <w:t xml:space="preserve">entity </w:t>
      </w:r>
      <w:r>
        <w:rPr>
          <w:lang w:eastAsia="en-AU"/>
        </w:rPr>
        <w:t xml:space="preserve">that should be </w:t>
      </w:r>
      <w:r w:rsidRPr="0072669A">
        <w:rPr>
          <w:lang w:eastAsia="en-AU"/>
        </w:rPr>
        <w:t xml:space="preserve">applying on behalf of </w:t>
      </w:r>
      <w:r>
        <w:rPr>
          <w:lang w:eastAsia="en-AU"/>
        </w:rPr>
        <w:t>a</w:t>
      </w:r>
      <w:r w:rsidRPr="0072669A">
        <w:rPr>
          <w:lang w:eastAsia="en-AU"/>
        </w:rPr>
        <w:t xml:space="preserve"> group.</w:t>
      </w:r>
    </w:p>
    <w:p w14:paraId="74D103AB" w14:textId="77777777" w:rsidR="00B70A28" w:rsidRPr="0072669A" w:rsidRDefault="00B70A28" w:rsidP="00B70A28">
      <w:pPr>
        <w:pStyle w:val="Bullet1"/>
        <w:numPr>
          <w:ilvl w:val="0"/>
          <w:numId w:val="21"/>
        </w:numPr>
        <w:rPr>
          <w:lang w:eastAsia="en-AU"/>
        </w:rPr>
      </w:pPr>
      <w:r w:rsidRPr="00751D14">
        <w:rPr>
          <w:i/>
          <w:lang w:eastAsia="en-AU"/>
        </w:rPr>
        <w:t xml:space="preserve">Applications submitted </w:t>
      </w:r>
      <w:r>
        <w:rPr>
          <w:i/>
          <w:lang w:eastAsia="en-AU"/>
        </w:rPr>
        <w:t xml:space="preserve">with </w:t>
      </w:r>
      <w:r w:rsidRPr="00751D14">
        <w:rPr>
          <w:i/>
          <w:lang w:eastAsia="en-AU"/>
        </w:rPr>
        <w:t>the wrong financial year</w:t>
      </w:r>
      <w:r w:rsidRPr="0072669A">
        <w:rPr>
          <w:lang w:eastAsia="en-AU"/>
        </w:rPr>
        <w:t xml:space="preserve">. </w:t>
      </w:r>
      <w:r>
        <w:rPr>
          <w:lang w:eastAsia="en-AU"/>
        </w:rPr>
        <w:t xml:space="preserve">When a </w:t>
      </w:r>
      <w:r w:rsidRPr="0072669A">
        <w:rPr>
          <w:lang w:eastAsia="en-AU"/>
        </w:rPr>
        <w:t xml:space="preserve">company </w:t>
      </w:r>
      <w:r>
        <w:rPr>
          <w:lang w:eastAsia="en-AU"/>
        </w:rPr>
        <w:t xml:space="preserve">incorrectly nominates their income period, such as choosing 30 June balance date instead of </w:t>
      </w:r>
      <w:r w:rsidRPr="0072669A">
        <w:rPr>
          <w:lang w:eastAsia="en-AU"/>
        </w:rPr>
        <w:t>31 Dec</w:t>
      </w:r>
      <w:r>
        <w:rPr>
          <w:lang w:eastAsia="en-AU"/>
        </w:rPr>
        <w:t>ember, t</w:t>
      </w:r>
      <w:r w:rsidRPr="0072669A">
        <w:rPr>
          <w:lang w:eastAsia="en-AU"/>
        </w:rPr>
        <w:t xml:space="preserve">he application </w:t>
      </w:r>
      <w:r>
        <w:rPr>
          <w:lang w:eastAsia="en-AU"/>
        </w:rPr>
        <w:t xml:space="preserve">must </w:t>
      </w:r>
      <w:r w:rsidRPr="0072669A">
        <w:rPr>
          <w:lang w:eastAsia="en-AU"/>
        </w:rPr>
        <w:t xml:space="preserve">be withdrawn and resubmitted </w:t>
      </w:r>
      <w:r>
        <w:rPr>
          <w:lang w:eastAsia="en-AU"/>
        </w:rPr>
        <w:t xml:space="preserve">for </w:t>
      </w:r>
      <w:r w:rsidRPr="0072669A">
        <w:rPr>
          <w:lang w:eastAsia="en-AU"/>
        </w:rPr>
        <w:t>the correct financial year.</w:t>
      </w:r>
    </w:p>
    <w:p w14:paraId="1186B142" w14:textId="77777777" w:rsidR="00B70A28" w:rsidRPr="00751D14" w:rsidRDefault="00B70A28" w:rsidP="00B70A28">
      <w:pPr>
        <w:pStyle w:val="Bullet1"/>
        <w:numPr>
          <w:ilvl w:val="0"/>
          <w:numId w:val="21"/>
        </w:numPr>
        <w:spacing w:before="0" w:after="0" w:line="240" w:lineRule="auto"/>
        <w:textAlignment w:val="baseline"/>
        <w:rPr>
          <w:rFonts w:ascii="Calibri" w:eastAsia="Times New Roman" w:hAnsi="Calibri" w:cs="Calibri"/>
          <w:sz w:val="22"/>
          <w:szCs w:val="22"/>
          <w:lang w:eastAsia="en-AU"/>
        </w:rPr>
      </w:pPr>
      <w:r w:rsidRPr="00751D14">
        <w:rPr>
          <w:i/>
          <w:lang w:eastAsia="en-AU"/>
        </w:rPr>
        <w:t>I</w:t>
      </w:r>
      <w:r w:rsidRPr="006E0291">
        <w:rPr>
          <w:i/>
          <w:lang w:eastAsia="en-AU"/>
        </w:rPr>
        <w:t>ncorrect p</w:t>
      </w:r>
      <w:r w:rsidRPr="00EF5889">
        <w:rPr>
          <w:i/>
          <w:lang w:eastAsia="en-AU"/>
        </w:rPr>
        <w:t>rimary R&amp;D c</w:t>
      </w:r>
      <w:r w:rsidRPr="00751D14">
        <w:rPr>
          <w:i/>
          <w:lang w:eastAsia="en-AU"/>
        </w:rPr>
        <w:t xml:space="preserve">ontact </w:t>
      </w:r>
      <w:r>
        <w:rPr>
          <w:i/>
          <w:lang w:eastAsia="en-AU"/>
        </w:rPr>
        <w:t>details</w:t>
      </w:r>
      <w:r w:rsidRPr="0072669A">
        <w:rPr>
          <w:lang w:eastAsia="en-AU"/>
        </w:rPr>
        <w:t xml:space="preserve">. </w:t>
      </w:r>
      <w:r>
        <w:rPr>
          <w:lang w:eastAsia="en-AU"/>
        </w:rPr>
        <w:t xml:space="preserve">The primary contact </w:t>
      </w:r>
      <w:r w:rsidRPr="0072669A">
        <w:rPr>
          <w:lang w:eastAsia="en-AU"/>
        </w:rPr>
        <w:t xml:space="preserve">must be </w:t>
      </w:r>
      <w:r>
        <w:rPr>
          <w:lang w:eastAsia="en-AU"/>
        </w:rPr>
        <w:t xml:space="preserve">a </w:t>
      </w:r>
      <w:r w:rsidRPr="0072669A">
        <w:rPr>
          <w:lang w:eastAsia="en-AU"/>
        </w:rPr>
        <w:t xml:space="preserve">company </w:t>
      </w:r>
      <w:r>
        <w:rPr>
          <w:lang w:eastAsia="en-AU"/>
        </w:rPr>
        <w:t>representative with t</w:t>
      </w:r>
      <w:r w:rsidRPr="0072669A">
        <w:rPr>
          <w:lang w:eastAsia="en-AU"/>
        </w:rPr>
        <w:t xml:space="preserve">heir </w:t>
      </w:r>
      <w:r>
        <w:rPr>
          <w:lang w:eastAsia="en-AU"/>
        </w:rPr>
        <w:t xml:space="preserve">correct </w:t>
      </w:r>
      <w:r w:rsidRPr="0072669A">
        <w:rPr>
          <w:lang w:eastAsia="en-AU"/>
        </w:rPr>
        <w:t>email address</w:t>
      </w:r>
      <w:r>
        <w:rPr>
          <w:lang w:eastAsia="en-AU"/>
        </w:rPr>
        <w:t xml:space="preserve"> and not the </w:t>
      </w:r>
      <w:r w:rsidRPr="0072669A">
        <w:rPr>
          <w:lang w:eastAsia="en-AU"/>
        </w:rPr>
        <w:t xml:space="preserve">email </w:t>
      </w:r>
      <w:r>
        <w:rPr>
          <w:lang w:eastAsia="en-AU"/>
        </w:rPr>
        <w:t>for a tax agent or R&amp;D consultant.</w:t>
      </w:r>
      <w:r w:rsidRPr="0072669A">
        <w:rPr>
          <w:lang w:eastAsia="en-AU"/>
        </w:rPr>
        <w:t xml:space="preserve"> </w:t>
      </w:r>
      <w:r>
        <w:rPr>
          <w:lang w:eastAsia="en-AU"/>
        </w:rPr>
        <w:t xml:space="preserve">Contact details for advisors are accommodated elsewhere in the registration form. Correct entry of the primary R&amp;D contact field </w:t>
      </w:r>
      <w:r w:rsidRPr="0072669A">
        <w:rPr>
          <w:lang w:eastAsia="en-AU"/>
        </w:rPr>
        <w:t xml:space="preserve">is important </w:t>
      </w:r>
      <w:r>
        <w:rPr>
          <w:lang w:eastAsia="en-AU"/>
        </w:rPr>
        <w:t>for our registration workflows.</w:t>
      </w:r>
    </w:p>
    <w:p w14:paraId="774AE772" w14:textId="77777777" w:rsidR="00B70A28" w:rsidRPr="00751D14" w:rsidRDefault="00B70A28" w:rsidP="00B70A28">
      <w:pPr>
        <w:pStyle w:val="Bullet1"/>
        <w:numPr>
          <w:ilvl w:val="0"/>
          <w:numId w:val="21"/>
        </w:numPr>
        <w:rPr>
          <w:lang w:eastAsia="en-AU"/>
        </w:rPr>
      </w:pPr>
      <w:r w:rsidRPr="00751D14">
        <w:rPr>
          <w:i/>
          <w:lang w:eastAsia="en-AU"/>
        </w:rPr>
        <w:t>Missing RSP information.</w:t>
      </w:r>
      <w:r>
        <w:rPr>
          <w:lang w:eastAsia="en-AU"/>
        </w:rPr>
        <w:t xml:space="preserve"> </w:t>
      </w:r>
      <w:r w:rsidRPr="00751D14">
        <w:rPr>
          <w:lang w:eastAsia="en-AU"/>
        </w:rPr>
        <w:t xml:space="preserve">Applicants that </w:t>
      </w:r>
      <w:r>
        <w:rPr>
          <w:lang w:eastAsia="en-AU"/>
        </w:rPr>
        <w:t xml:space="preserve">use </w:t>
      </w:r>
      <w:r w:rsidRPr="00751D14">
        <w:rPr>
          <w:lang w:eastAsia="en-AU"/>
        </w:rPr>
        <w:t xml:space="preserve">a </w:t>
      </w:r>
      <w:r>
        <w:rPr>
          <w:lang w:eastAsia="en-AU"/>
        </w:rPr>
        <w:t>r</w:t>
      </w:r>
      <w:r w:rsidRPr="00751D14">
        <w:rPr>
          <w:lang w:eastAsia="en-AU"/>
        </w:rPr>
        <w:t xml:space="preserve">egistered </w:t>
      </w:r>
      <w:r>
        <w:rPr>
          <w:lang w:eastAsia="en-AU"/>
        </w:rPr>
        <w:t xml:space="preserve">Research </w:t>
      </w:r>
      <w:r w:rsidRPr="00751D14">
        <w:rPr>
          <w:lang w:eastAsia="en-AU"/>
        </w:rPr>
        <w:t xml:space="preserve">Service Provider (RSP) </w:t>
      </w:r>
      <w:r>
        <w:rPr>
          <w:lang w:eastAsia="en-AU"/>
        </w:rPr>
        <w:t xml:space="preserve">for some or all of their R&amp;D activities should also include </w:t>
      </w:r>
      <w:r w:rsidRPr="00751D14">
        <w:rPr>
          <w:lang w:eastAsia="en-AU"/>
        </w:rPr>
        <w:t xml:space="preserve">the details of the </w:t>
      </w:r>
      <w:r>
        <w:rPr>
          <w:lang w:eastAsia="en-AU"/>
        </w:rPr>
        <w:t>RSP in the relevant field.</w:t>
      </w:r>
    </w:p>
    <w:p w14:paraId="0F9E02A5" w14:textId="77777777" w:rsidR="00B70A28" w:rsidRDefault="00B70A28" w:rsidP="00951DA9">
      <w:pPr>
        <w:pStyle w:val="Heading3"/>
        <w:rPr>
          <w:lang w:eastAsia="en-AU"/>
        </w:rPr>
      </w:pPr>
      <w:r>
        <w:rPr>
          <w:lang w:eastAsia="en-AU"/>
        </w:rPr>
        <w:t>Registration and claims data</w:t>
      </w:r>
    </w:p>
    <w:p w14:paraId="3BD81BBB" w14:textId="77777777" w:rsidR="00B70A28" w:rsidRDefault="00B70A28" w:rsidP="00951DA9">
      <w:pPr>
        <w:rPr>
          <w:lang w:val="en-US" w:eastAsia="en-AU"/>
        </w:rPr>
      </w:pPr>
      <w:r w:rsidRPr="79E4B837">
        <w:rPr>
          <w:lang w:eastAsia="en-AU"/>
        </w:rPr>
        <w:t>R&amp;D</w:t>
      </w:r>
      <w:r>
        <w:rPr>
          <w:lang w:eastAsia="en-AU"/>
        </w:rPr>
        <w:t>T</w:t>
      </w:r>
      <w:r w:rsidRPr="79E4B837">
        <w:rPr>
          <w:lang w:eastAsia="en-AU"/>
        </w:rPr>
        <w:t>I registration</w:t>
      </w:r>
      <w:r>
        <w:rPr>
          <w:lang w:eastAsia="en-AU"/>
        </w:rPr>
        <w:t xml:space="preserve"> data</w:t>
      </w:r>
      <w:r w:rsidRPr="79E4B837">
        <w:rPr>
          <w:lang w:eastAsia="en-AU"/>
        </w:rPr>
        <w:t xml:space="preserve"> </w:t>
      </w:r>
      <w:r>
        <w:rPr>
          <w:lang w:eastAsia="en-AU"/>
        </w:rPr>
        <w:t xml:space="preserve">provided below as the most recent dataset </w:t>
      </w:r>
      <w:r w:rsidRPr="79E4B837">
        <w:rPr>
          <w:lang w:eastAsia="en-AU"/>
        </w:rPr>
        <w:t xml:space="preserve">for the 2020/2021 period. This </w:t>
      </w:r>
      <w:r>
        <w:rPr>
          <w:lang w:eastAsia="en-AU"/>
        </w:rPr>
        <w:t xml:space="preserve">dataset is incomplete </w:t>
      </w:r>
      <w:r w:rsidRPr="79E4B837">
        <w:rPr>
          <w:lang w:eastAsia="en-AU"/>
        </w:rPr>
        <w:t xml:space="preserve">for the period </w:t>
      </w:r>
      <w:r>
        <w:rPr>
          <w:lang w:eastAsia="en-AU"/>
        </w:rPr>
        <w:t>as</w:t>
      </w:r>
      <w:r w:rsidRPr="79E4B837">
        <w:rPr>
          <w:lang w:eastAsia="en-AU"/>
        </w:rPr>
        <w:t xml:space="preserve"> application</w:t>
      </w:r>
      <w:r>
        <w:rPr>
          <w:lang w:eastAsia="en-AU"/>
        </w:rPr>
        <w:t>s can be submitted up to</w:t>
      </w:r>
      <w:r w:rsidRPr="79E4B837">
        <w:rPr>
          <w:lang w:eastAsia="en-AU"/>
        </w:rPr>
        <w:t xml:space="preserve"> 15 months after the end of the Australian standard financial year.</w:t>
      </w:r>
      <w:r>
        <w:rPr>
          <w:lang w:val="en-US" w:eastAsia="en-AU"/>
        </w:rPr>
        <w:t xml:space="preserve"> As such this data is indicative only and will change when the full dataset is available.</w:t>
      </w:r>
    </w:p>
    <w:p w14:paraId="6CAC99B7" w14:textId="77777777" w:rsidR="00B70A28" w:rsidRPr="00751D14" w:rsidRDefault="00B70A28" w:rsidP="00951DA9">
      <w:pPr>
        <w:pStyle w:val="Heading5"/>
        <w:rPr>
          <w:b/>
        </w:rPr>
      </w:pPr>
      <w:r w:rsidRPr="00796BCD">
        <w:rPr>
          <w:lang w:eastAsia="en-AU"/>
        </w:rPr>
        <w:t>Table 1:  Overall registrations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3686"/>
      </w:tblGrid>
      <w:tr w:rsidR="00B70A28" w:rsidRPr="0041136F" w14:paraId="5EE1B922" w14:textId="77777777" w:rsidTr="00951DA9">
        <w:trPr>
          <w:trHeight w:val="300"/>
        </w:trPr>
        <w:tc>
          <w:tcPr>
            <w:tcW w:w="7230" w:type="dxa"/>
            <w:gridSpan w:val="2"/>
            <w:tcBorders>
              <w:top w:val="nil"/>
              <w:left w:val="nil"/>
              <w:bottom w:val="nil"/>
              <w:right w:val="nil"/>
            </w:tcBorders>
            <w:shd w:val="clear" w:color="auto" w:fill="auto"/>
            <w:vAlign w:val="bottom"/>
            <w:hideMark/>
          </w:tcPr>
          <w:p w14:paraId="3491F7F1" w14:textId="77777777" w:rsidR="00B70A28" w:rsidRPr="0041136F" w:rsidRDefault="00B70A28" w:rsidP="00951DA9">
            <w:pPr>
              <w:pStyle w:val="TableHeading"/>
              <w:divId w:val="1796486688"/>
              <w:rPr>
                <w:rFonts w:ascii="Times New Roman" w:hAnsi="Times New Roman" w:cs="Times New Roman"/>
                <w:color w:val="auto"/>
                <w:sz w:val="24"/>
                <w:szCs w:val="24"/>
                <w:lang w:eastAsia="en-AU"/>
              </w:rPr>
            </w:pPr>
            <w:r w:rsidRPr="79E4B837">
              <w:rPr>
                <w:lang w:eastAsia="en-AU"/>
              </w:rPr>
              <w:t xml:space="preserve">R&amp;D Tax Incentive Program </w:t>
            </w:r>
            <w:r>
              <w:rPr>
                <w:lang w:eastAsia="en-AU"/>
              </w:rPr>
              <w:t>REGISTRATIONS</w:t>
            </w:r>
            <w:r w:rsidRPr="79E4B837">
              <w:rPr>
                <w:color w:val="auto"/>
                <w:lang w:eastAsia="en-AU"/>
              </w:rPr>
              <w:t> </w:t>
            </w:r>
          </w:p>
        </w:tc>
      </w:tr>
      <w:tr w:rsidR="00B70A28" w:rsidRPr="0041136F" w14:paraId="653409CD" w14:textId="77777777" w:rsidTr="00951DA9">
        <w:trPr>
          <w:trHeight w:val="300"/>
        </w:trPr>
        <w:tc>
          <w:tcPr>
            <w:tcW w:w="3544" w:type="dxa"/>
            <w:tcBorders>
              <w:top w:val="nil"/>
              <w:left w:val="nil"/>
              <w:bottom w:val="nil"/>
              <w:right w:val="nil"/>
            </w:tcBorders>
            <w:shd w:val="clear" w:color="auto" w:fill="FFFFFF" w:themeFill="background1"/>
            <w:vAlign w:val="bottom"/>
            <w:hideMark/>
          </w:tcPr>
          <w:p w14:paraId="14882C5D" w14:textId="77777777" w:rsidR="00B70A28" w:rsidRPr="0041136F" w:rsidRDefault="00B70A28" w:rsidP="00951DA9">
            <w:pPr>
              <w:rPr>
                <w:rFonts w:ascii="Times New Roman" w:hAnsi="Times New Roman" w:cs="Times New Roman"/>
                <w:sz w:val="24"/>
                <w:szCs w:val="24"/>
                <w:lang w:eastAsia="en-AU"/>
              </w:rPr>
            </w:pPr>
            <w:r w:rsidRPr="79E4B837">
              <w:rPr>
                <w:lang w:eastAsia="en-AU"/>
              </w:rPr>
              <w:t>Number of Registrations </w:t>
            </w:r>
          </w:p>
        </w:tc>
        <w:tc>
          <w:tcPr>
            <w:tcW w:w="3686" w:type="dxa"/>
            <w:tcBorders>
              <w:top w:val="nil"/>
              <w:left w:val="nil"/>
              <w:bottom w:val="nil"/>
              <w:right w:val="nil"/>
            </w:tcBorders>
            <w:shd w:val="clear" w:color="auto" w:fill="FFFFFF" w:themeFill="background1"/>
            <w:vAlign w:val="bottom"/>
            <w:hideMark/>
          </w:tcPr>
          <w:p w14:paraId="471AAB8D" w14:textId="77777777" w:rsidR="00B70A28" w:rsidRPr="0041136F" w:rsidRDefault="00B70A28" w:rsidP="00951DA9">
            <w:pPr>
              <w:rPr>
                <w:rFonts w:ascii="Times New Roman" w:hAnsi="Times New Roman" w:cs="Times New Roman"/>
                <w:sz w:val="24"/>
                <w:szCs w:val="24"/>
                <w:lang w:eastAsia="en-AU"/>
              </w:rPr>
            </w:pPr>
            <w:r w:rsidRPr="79E4B837">
              <w:rPr>
                <w:lang w:eastAsia="en-AU"/>
              </w:rPr>
              <w:t>12,288 </w:t>
            </w:r>
          </w:p>
        </w:tc>
      </w:tr>
      <w:tr w:rsidR="00B70A28" w:rsidRPr="0041136F" w14:paraId="740E41E9" w14:textId="77777777" w:rsidTr="00951DA9">
        <w:trPr>
          <w:trHeight w:val="300"/>
        </w:trPr>
        <w:tc>
          <w:tcPr>
            <w:tcW w:w="3544" w:type="dxa"/>
            <w:tcBorders>
              <w:top w:val="nil"/>
              <w:left w:val="nil"/>
              <w:bottom w:val="single" w:sz="4" w:space="0" w:color="auto"/>
              <w:right w:val="nil"/>
            </w:tcBorders>
            <w:shd w:val="clear" w:color="auto" w:fill="auto"/>
            <w:vAlign w:val="bottom"/>
            <w:hideMark/>
          </w:tcPr>
          <w:p w14:paraId="1868E58D" w14:textId="77777777" w:rsidR="00B70A28" w:rsidRPr="0041136F" w:rsidRDefault="00B70A28" w:rsidP="00951DA9">
            <w:pPr>
              <w:rPr>
                <w:rFonts w:ascii="Times New Roman" w:hAnsi="Times New Roman" w:cs="Times New Roman"/>
                <w:sz w:val="24"/>
                <w:szCs w:val="24"/>
                <w:lang w:eastAsia="en-AU"/>
              </w:rPr>
            </w:pPr>
            <w:r>
              <w:rPr>
                <w:lang w:eastAsia="en-AU"/>
              </w:rPr>
              <w:lastRenderedPageBreak/>
              <w:t>R&amp;D E</w:t>
            </w:r>
            <w:r w:rsidRPr="79E4B837">
              <w:rPr>
                <w:lang w:eastAsia="en-AU"/>
              </w:rPr>
              <w:t>xpenditure (</w:t>
            </w:r>
            <w:r w:rsidRPr="79E4B837">
              <w:rPr>
                <w:b/>
                <w:bCs/>
                <w:lang w:eastAsia="en-AU"/>
              </w:rPr>
              <w:t>billion</w:t>
            </w:r>
            <w:r w:rsidRPr="79E4B837">
              <w:rPr>
                <w:lang w:eastAsia="en-AU"/>
              </w:rPr>
              <w:t>) </w:t>
            </w:r>
          </w:p>
        </w:tc>
        <w:tc>
          <w:tcPr>
            <w:tcW w:w="3686" w:type="dxa"/>
            <w:tcBorders>
              <w:top w:val="nil"/>
              <w:left w:val="nil"/>
              <w:bottom w:val="single" w:sz="4" w:space="0" w:color="auto"/>
              <w:right w:val="nil"/>
            </w:tcBorders>
            <w:shd w:val="clear" w:color="auto" w:fill="auto"/>
            <w:vAlign w:val="bottom"/>
            <w:hideMark/>
          </w:tcPr>
          <w:p w14:paraId="0B3B112A" w14:textId="77777777" w:rsidR="00B70A28" w:rsidRPr="0041136F" w:rsidRDefault="00B70A28" w:rsidP="00951DA9">
            <w:pPr>
              <w:rPr>
                <w:rFonts w:ascii="Times New Roman" w:hAnsi="Times New Roman" w:cs="Times New Roman"/>
                <w:sz w:val="24"/>
                <w:szCs w:val="24"/>
                <w:lang w:eastAsia="en-AU"/>
              </w:rPr>
            </w:pPr>
            <w:r w:rsidRPr="79E4B837">
              <w:rPr>
                <w:lang w:eastAsia="en-AU"/>
              </w:rPr>
              <w:t>$13.16 </w:t>
            </w:r>
          </w:p>
        </w:tc>
      </w:tr>
    </w:tbl>
    <w:p w14:paraId="620376B0" w14:textId="77777777" w:rsidR="00B70A28" w:rsidRPr="00751D14" w:rsidRDefault="00B70A28" w:rsidP="00951DA9">
      <w:pPr>
        <w:pStyle w:val="Heading5"/>
        <w:rPr>
          <w:b/>
          <w:lang w:val="en-US" w:eastAsia="en-AU"/>
        </w:rPr>
      </w:pPr>
      <w:r w:rsidRPr="00796BCD">
        <w:rPr>
          <w:lang w:eastAsia="en-AU"/>
        </w:rPr>
        <w:t>Table 2: Comparison of registrations and expenditure by organisation size</w:t>
      </w:r>
    </w:p>
    <w:tbl>
      <w:tblPr>
        <w:tblW w:w="0" w:type="auto"/>
        <w:tblCellMar>
          <w:top w:w="15" w:type="dxa"/>
          <w:left w:w="15" w:type="dxa"/>
          <w:bottom w:w="15" w:type="dxa"/>
          <w:right w:w="15" w:type="dxa"/>
        </w:tblCellMar>
        <w:tblLook w:val="04A0" w:firstRow="1" w:lastRow="0" w:firstColumn="1" w:lastColumn="0" w:noHBand="0" w:noVBand="1"/>
      </w:tblPr>
      <w:tblGrid>
        <w:gridCol w:w="3119"/>
        <w:gridCol w:w="2055"/>
        <w:gridCol w:w="2056"/>
      </w:tblGrid>
      <w:tr w:rsidR="00B70A28" w:rsidRPr="0041136F" w14:paraId="69367EC3" w14:textId="77777777" w:rsidTr="00951DA9">
        <w:trPr>
          <w:trHeight w:val="300"/>
        </w:trPr>
        <w:tc>
          <w:tcPr>
            <w:tcW w:w="3119" w:type="dxa"/>
            <w:shd w:val="clear" w:color="auto" w:fill="auto"/>
            <w:vAlign w:val="bottom"/>
            <w:hideMark/>
          </w:tcPr>
          <w:p w14:paraId="39ED1F45" w14:textId="77777777" w:rsidR="00B70A28" w:rsidRPr="0041136F" w:rsidRDefault="00B70A28" w:rsidP="00951DA9">
            <w:pPr>
              <w:pStyle w:val="FigureHeading"/>
              <w:rPr>
                <w:rFonts w:ascii="Times New Roman" w:hAnsi="Times New Roman" w:cs="Times New Roman"/>
                <w:sz w:val="24"/>
                <w:szCs w:val="24"/>
                <w:lang w:eastAsia="en-AU"/>
              </w:rPr>
            </w:pPr>
            <w:r>
              <w:rPr>
                <w:lang w:eastAsia="en-AU"/>
              </w:rPr>
              <w:t>registrations/expenditure</w:t>
            </w:r>
          </w:p>
        </w:tc>
        <w:tc>
          <w:tcPr>
            <w:tcW w:w="2055" w:type="dxa"/>
            <w:shd w:val="clear" w:color="auto" w:fill="auto"/>
            <w:vAlign w:val="center"/>
            <w:hideMark/>
          </w:tcPr>
          <w:p w14:paraId="58D57208" w14:textId="77777777" w:rsidR="00B70A28" w:rsidRPr="0041136F" w:rsidRDefault="00B70A28" w:rsidP="00951DA9">
            <w:pPr>
              <w:pStyle w:val="FigureHeading"/>
              <w:jc w:val="center"/>
              <w:rPr>
                <w:rFonts w:ascii="Times New Roman" w:hAnsi="Times New Roman" w:cs="Times New Roman"/>
                <w:sz w:val="24"/>
                <w:szCs w:val="24"/>
                <w:lang w:eastAsia="en-AU"/>
              </w:rPr>
            </w:pPr>
            <w:r w:rsidRPr="79E4B837">
              <w:rPr>
                <w:lang w:eastAsia="en-AU"/>
              </w:rPr>
              <w:t>SMEs</w:t>
            </w:r>
          </w:p>
        </w:tc>
        <w:tc>
          <w:tcPr>
            <w:tcW w:w="2056" w:type="dxa"/>
            <w:shd w:val="clear" w:color="auto" w:fill="auto"/>
            <w:vAlign w:val="center"/>
            <w:hideMark/>
          </w:tcPr>
          <w:p w14:paraId="0F848031" w14:textId="77777777" w:rsidR="00B70A28" w:rsidRPr="0041136F" w:rsidRDefault="00B70A28" w:rsidP="00951DA9">
            <w:pPr>
              <w:pStyle w:val="FigureHeading"/>
              <w:jc w:val="center"/>
              <w:rPr>
                <w:rFonts w:ascii="Times New Roman" w:hAnsi="Times New Roman" w:cs="Times New Roman"/>
                <w:sz w:val="24"/>
                <w:szCs w:val="24"/>
                <w:lang w:eastAsia="en-AU"/>
              </w:rPr>
            </w:pPr>
            <w:r w:rsidRPr="79E4B837">
              <w:rPr>
                <w:lang w:eastAsia="en-AU"/>
              </w:rPr>
              <w:t>Large Companies</w:t>
            </w:r>
          </w:p>
        </w:tc>
      </w:tr>
      <w:tr w:rsidR="00B70A28" w:rsidRPr="0041136F" w14:paraId="5959160A" w14:textId="77777777" w:rsidTr="00951DA9">
        <w:trPr>
          <w:trHeight w:val="300"/>
        </w:trPr>
        <w:tc>
          <w:tcPr>
            <w:tcW w:w="3119" w:type="dxa"/>
            <w:shd w:val="clear" w:color="auto" w:fill="auto"/>
            <w:vAlign w:val="bottom"/>
            <w:hideMark/>
          </w:tcPr>
          <w:p w14:paraId="6AA9EA0F" w14:textId="77777777" w:rsidR="00B70A28" w:rsidRPr="0041136F" w:rsidRDefault="00B70A28" w:rsidP="00951DA9">
            <w:pPr>
              <w:rPr>
                <w:rFonts w:ascii="Times New Roman" w:hAnsi="Times New Roman" w:cs="Times New Roman"/>
                <w:sz w:val="24"/>
                <w:szCs w:val="24"/>
                <w:lang w:eastAsia="en-AU"/>
              </w:rPr>
            </w:pPr>
            <w:r w:rsidRPr="79E4B837">
              <w:rPr>
                <w:lang w:eastAsia="en-AU"/>
              </w:rPr>
              <w:t>Number of Registrations </w:t>
            </w:r>
          </w:p>
        </w:tc>
        <w:tc>
          <w:tcPr>
            <w:tcW w:w="2055" w:type="dxa"/>
            <w:shd w:val="clear" w:color="auto" w:fill="auto"/>
            <w:vAlign w:val="center"/>
            <w:hideMark/>
          </w:tcPr>
          <w:p w14:paraId="13853EE2" w14:textId="77777777" w:rsidR="00B70A28" w:rsidRPr="0041136F" w:rsidRDefault="00B70A28" w:rsidP="00951DA9">
            <w:pPr>
              <w:jc w:val="center"/>
              <w:rPr>
                <w:rFonts w:ascii="Times New Roman" w:hAnsi="Times New Roman" w:cs="Times New Roman"/>
                <w:sz w:val="24"/>
                <w:szCs w:val="24"/>
                <w:lang w:eastAsia="en-AU"/>
              </w:rPr>
            </w:pPr>
            <w:r w:rsidRPr="79E4B837">
              <w:rPr>
                <w:lang w:eastAsia="en-AU"/>
              </w:rPr>
              <w:t>10,788</w:t>
            </w:r>
          </w:p>
        </w:tc>
        <w:tc>
          <w:tcPr>
            <w:tcW w:w="2056" w:type="dxa"/>
            <w:shd w:val="clear" w:color="auto" w:fill="auto"/>
            <w:vAlign w:val="center"/>
            <w:hideMark/>
          </w:tcPr>
          <w:p w14:paraId="79CA1A1F" w14:textId="77777777" w:rsidR="00B70A28" w:rsidRPr="0041136F" w:rsidRDefault="00B70A28" w:rsidP="00951DA9">
            <w:pPr>
              <w:jc w:val="center"/>
              <w:rPr>
                <w:rFonts w:ascii="Times New Roman" w:hAnsi="Times New Roman" w:cs="Times New Roman"/>
                <w:sz w:val="24"/>
                <w:szCs w:val="24"/>
                <w:lang w:eastAsia="en-AU"/>
              </w:rPr>
            </w:pPr>
            <w:r w:rsidRPr="79E4B837">
              <w:rPr>
                <w:lang w:eastAsia="en-AU"/>
              </w:rPr>
              <w:t>1,500</w:t>
            </w:r>
          </w:p>
        </w:tc>
      </w:tr>
      <w:tr w:rsidR="00B70A28" w:rsidRPr="0041136F" w14:paraId="3EF15BD7" w14:textId="77777777" w:rsidTr="00951DA9">
        <w:trPr>
          <w:trHeight w:val="300"/>
        </w:trPr>
        <w:tc>
          <w:tcPr>
            <w:tcW w:w="3119" w:type="dxa"/>
            <w:tcBorders>
              <w:bottom w:val="single" w:sz="4" w:space="0" w:color="auto"/>
            </w:tcBorders>
            <w:shd w:val="clear" w:color="auto" w:fill="auto"/>
            <w:vAlign w:val="bottom"/>
            <w:hideMark/>
          </w:tcPr>
          <w:p w14:paraId="49AF645C" w14:textId="77777777" w:rsidR="00B70A28" w:rsidRPr="0041136F" w:rsidRDefault="00B70A28" w:rsidP="00951DA9">
            <w:pPr>
              <w:rPr>
                <w:rFonts w:ascii="Times New Roman" w:hAnsi="Times New Roman" w:cs="Times New Roman"/>
                <w:sz w:val="24"/>
                <w:szCs w:val="24"/>
                <w:lang w:eastAsia="en-AU"/>
              </w:rPr>
            </w:pPr>
            <w:r>
              <w:rPr>
                <w:lang w:eastAsia="en-AU"/>
              </w:rPr>
              <w:t>R&amp;D E</w:t>
            </w:r>
            <w:r w:rsidRPr="79E4B837">
              <w:rPr>
                <w:lang w:eastAsia="en-AU"/>
              </w:rPr>
              <w:t>xpenditure (</w:t>
            </w:r>
            <w:r w:rsidRPr="79E4B837">
              <w:rPr>
                <w:b/>
                <w:bCs/>
                <w:lang w:eastAsia="en-AU"/>
              </w:rPr>
              <w:t>billion</w:t>
            </w:r>
            <w:r w:rsidRPr="79E4B837">
              <w:rPr>
                <w:lang w:eastAsia="en-AU"/>
              </w:rPr>
              <w:t>) </w:t>
            </w:r>
          </w:p>
        </w:tc>
        <w:tc>
          <w:tcPr>
            <w:tcW w:w="2055" w:type="dxa"/>
            <w:tcBorders>
              <w:bottom w:val="single" w:sz="4" w:space="0" w:color="auto"/>
            </w:tcBorders>
            <w:shd w:val="clear" w:color="auto" w:fill="auto"/>
            <w:vAlign w:val="center"/>
            <w:hideMark/>
          </w:tcPr>
          <w:p w14:paraId="68A9F862" w14:textId="77777777" w:rsidR="00B70A28" w:rsidRPr="0041136F" w:rsidRDefault="00B70A28" w:rsidP="00951DA9">
            <w:pPr>
              <w:jc w:val="center"/>
              <w:rPr>
                <w:rFonts w:ascii="Times New Roman" w:hAnsi="Times New Roman" w:cs="Times New Roman"/>
                <w:sz w:val="24"/>
                <w:szCs w:val="24"/>
                <w:lang w:eastAsia="en-AU"/>
              </w:rPr>
            </w:pPr>
            <w:r w:rsidRPr="79E4B837">
              <w:rPr>
                <w:lang w:eastAsia="en-AU"/>
              </w:rPr>
              <w:t>$6.87</w:t>
            </w:r>
          </w:p>
        </w:tc>
        <w:tc>
          <w:tcPr>
            <w:tcW w:w="2056" w:type="dxa"/>
            <w:tcBorders>
              <w:bottom w:val="single" w:sz="4" w:space="0" w:color="auto"/>
            </w:tcBorders>
            <w:shd w:val="clear" w:color="auto" w:fill="auto"/>
            <w:vAlign w:val="center"/>
            <w:hideMark/>
          </w:tcPr>
          <w:p w14:paraId="5BAAB512" w14:textId="77777777" w:rsidR="00B70A28" w:rsidRPr="0041136F" w:rsidRDefault="00B70A28" w:rsidP="00951DA9">
            <w:pPr>
              <w:jc w:val="center"/>
              <w:rPr>
                <w:rFonts w:ascii="Times New Roman" w:hAnsi="Times New Roman" w:cs="Times New Roman"/>
                <w:sz w:val="24"/>
                <w:szCs w:val="24"/>
                <w:lang w:eastAsia="en-AU"/>
              </w:rPr>
            </w:pPr>
            <w:r w:rsidRPr="79E4B837">
              <w:rPr>
                <w:lang w:eastAsia="en-AU"/>
              </w:rPr>
              <w:t>$6.29</w:t>
            </w:r>
          </w:p>
        </w:tc>
      </w:tr>
    </w:tbl>
    <w:p w14:paraId="4C5D1AF3" w14:textId="77777777" w:rsidR="00B70A28" w:rsidRPr="00751D14" w:rsidRDefault="00B70A28" w:rsidP="00951DA9">
      <w:pPr>
        <w:pStyle w:val="Heading5"/>
        <w:rPr>
          <w:b/>
          <w:lang w:val="en-US" w:eastAsia="en-AU"/>
        </w:rPr>
      </w:pPr>
      <w:r>
        <w:rPr>
          <w:lang w:eastAsia="en-AU"/>
        </w:rPr>
        <w:t>Table 3</w:t>
      </w:r>
      <w:r w:rsidRPr="00796BCD">
        <w:rPr>
          <w:lang w:eastAsia="en-AU"/>
        </w:rPr>
        <w:t xml:space="preserve">: </w:t>
      </w:r>
      <w:r>
        <w:rPr>
          <w:lang w:eastAsia="en-AU"/>
        </w:rPr>
        <w:t>Overall claims for the full 2020/21 financial year (ATO)</w:t>
      </w:r>
    </w:p>
    <w:tbl>
      <w:tblPr>
        <w:tblW w:w="0" w:type="auto"/>
        <w:tblCellMar>
          <w:top w:w="15" w:type="dxa"/>
          <w:left w:w="15" w:type="dxa"/>
          <w:bottom w:w="15" w:type="dxa"/>
          <w:right w:w="15" w:type="dxa"/>
        </w:tblCellMar>
        <w:tblLook w:val="04A0" w:firstRow="1" w:lastRow="0" w:firstColumn="1" w:lastColumn="0" w:noHBand="0" w:noVBand="1"/>
      </w:tblPr>
      <w:tblGrid>
        <w:gridCol w:w="3119"/>
        <w:gridCol w:w="2055"/>
        <w:gridCol w:w="2056"/>
      </w:tblGrid>
      <w:tr w:rsidR="00B70A28" w:rsidRPr="0041136F" w14:paraId="259A44C0" w14:textId="77777777" w:rsidTr="00951DA9">
        <w:trPr>
          <w:trHeight w:val="300"/>
        </w:trPr>
        <w:tc>
          <w:tcPr>
            <w:tcW w:w="3119" w:type="dxa"/>
            <w:shd w:val="clear" w:color="auto" w:fill="auto"/>
            <w:vAlign w:val="bottom"/>
            <w:hideMark/>
          </w:tcPr>
          <w:p w14:paraId="2ADFBFEF" w14:textId="77777777" w:rsidR="00B70A28" w:rsidRPr="0041136F" w:rsidRDefault="00B70A28" w:rsidP="00951DA9">
            <w:pPr>
              <w:pStyle w:val="FigureHeading"/>
              <w:rPr>
                <w:rFonts w:ascii="Times New Roman" w:hAnsi="Times New Roman" w:cs="Times New Roman"/>
                <w:sz w:val="24"/>
                <w:szCs w:val="24"/>
                <w:lang w:eastAsia="en-AU"/>
              </w:rPr>
            </w:pPr>
            <w:r>
              <w:rPr>
                <w:lang w:eastAsia="en-AU"/>
              </w:rPr>
              <w:t>claims/expenditure</w:t>
            </w:r>
          </w:p>
        </w:tc>
        <w:tc>
          <w:tcPr>
            <w:tcW w:w="2055" w:type="dxa"/>
            <w:shd w:val="clear" w:color="auto" w:fill="auto"/>
            <w:vAlign w:val="center"/>
            <w:hideMark/>
          </w:tcPr>
          <w:p w14:paraId="64D2FDA0" w14:textId="77777777" w:rsidR="00B70A28" w:rsidRPr="0041136F" w:rsidRDefault="00B70A28" w:rsidP="00951DA9">
            <w:pPr>
              <w:pStyle w:val="FigureHeading"/>
              <w:jc w:val="center"/>
              <w:rPr>
                <w:rFonts w:ascii="Times New Roman" w:hAnsi="Times New Roman" w:cs="Times New Roman"/>
                <w:sz w:val="24"/>
                <w:szCs w:val="24"/>
                <w:lang w:eastAsia="en-AU"/>
              </w:rPr>
            </w:pPr>
            <w:r>
              <w:rPr>
                <w:lang w:eastAsia="en-AU"/>
              </w:rPr>
              <w:t>refundable</w:t>
            </w:r>
          </w:p>
        </w:tc>
        <w:tc>
          <w:tcPr>
            <w:tcW w:w="2056" w:type="dxa"/>
            <w:shd w:val="clear" w:color="auto" w:fill="auto"/>
            <w:vAlign w:val="center"/>
            <w:hideMark/>
          </w:tcPr>
          <w:p w14:paraId="0D58E01C" w14:textId="77777777" w:rsidR="00B70A28" w:rsidRPr="0041136F" w:rsidRDefault="00B70A28" w:rsidP="00951DA9">
            <w:pPr>
              <w:pStyle w:val="FigureHeading"/>
              <w:jc w:val="center"/>
              <w:rPr>
                <w:rFonts w:ascii="Times New Roman" w:hAnsi="Times New Roman" w:cs="Times New Roman"/>
                <w:sz w:val="24"/>
                <w:szCs w:val="24"/>
                <w:lang w:eastAsia="en-AU"/>
              </w:rPr>
            </w:pPr>
            <w:r>
              <w:rPr>
                <w:lang w:eastAsia="en-AU"/>
              </w:rPr>
              <w:t>non-refundable</w:t>
            </w:r>
          </w:p>
        </w:tc>
      </w:tr>
      <w:tr w:rsidR="00B70A28" w:rsidRPr="0041136F" w14:paraId="2D82DCCB" w14:textId="77777777" w:rsidTr="00951DA9">
        <w:trPr>
          <w:trHeight w:val="300"/>
        </w:trPr>
        <w:tc>
          <w:tcPr>
            <w:tcW w:w="3119" w:type="dxa"/>
            <w:shd w:val="clear" w:color="auto" w:fill="auto"/>
            <w:vAlign w:val="bottom"/>
            <w:hideMark/>
          </w:tcPr>
          <w:p w14:paraId="2A4C4488" w14:textId="77777777" w:rsidR="00B70A28" w:rsidRPr="0041136F" w:rsidRDefault="00B70A28" w:rsidP="00951DA9">
            <w:pPr>
              <w:rPr>
                <w:rFonts w:ascii="Times New Roman" w:hAnsi="Times New Roman" w:cs="Times New Roman"/>
                <w:sz w:val="24"/>
                <w:szCs w:val="24"/>
                <w:lang w:eastAsia="en-AU"/>
              </w:rPr>
            </w:pPr>
            <w:r>
              <w:rPr>
                <w:lang w:eastAsia="en-AU"/>
              </w:rPr>
              <w:t>Number of Claims</w:t>
            </w:r>
          </w:p>
        </w:tc>
        <w:tc>
          <w:tcPr>
            <w:tcW w:w="2055" w:type="dxa"/>
            <w:shd w:val="clear" w:color="auto" w:fill="auto"/>
            <w:vAlign w:val="center"/>
            <w:hideMark/>
          </w:tcPr>
          <w:p w14:paraId="4AEDD385" w14:textId="77777777" w:rsidR="00B70A28" w:rsidRPr="0041136F" w:rsidRDefault="00B70A28" w:rsidP="00951DA9">
            <w:pPr>
              <w:jc w:val="center"/>
              <w:rPr>
                <w:rFonts w:ascii="Times New Roman" w:hAnsi="Times New Roman" w:cs="Times New Roman"/>
                <w:sz w:val="24"/>
                <w:szCs w:val="24"/>
                <w:lang w:eastAsia="en-AU"/>
              </w:rPr>
            </w:pPr>
            <w:r>
              <w:rPr>
                <w:lang w:eastAsia="en-AU"/>
              </w:rPr>
              <w:t>11,639</w:t>
            </w:r>
          </w:p>
        </w:tc>
        <w:tc>
          <w:tcPr>
            <w:tcW w:w="2056" w:type="dxa"/>
            <w:shd w:val="clear" w:color="auto" w:fill="auto"/>
            <w:vAlign w:val="center"/>
            <w:hideMark/>
          </w:tcPr>
          <w:p w14:paraId="20D88569" w14:textId="77777777" w:rsidR="00B70A28" w:rsidRPr="0041136F" w:rsidRDefault="00B70A28" w:rsidP="00951DA9">
            <w:pPr>
              <w:jc w:val="center"/>
              <w:rPr>
                <w:rFonts w:ascii="Times New Roman" w:hAnsi="Times New Roman" w:cs="Times New Roman"/>
                <w:sz w:val="24"/>
                <w:szCs w:val="24"/>
                <w:lang w:eastAsia="en-AU"/>
              </w:rPr>
            </w:pPr>
            <w:r>
              <w:rPr>
                <w:lang w:eastAsia="en-AU"/>
              </w:rPr>
              <w:t>1,488</w:t>
            </w:r>
          </w:p>
        </w:tc>
      </w:tr>
      <w:tr w:rsidR="00B70A28" w:rsidRPr="0041136F" w14:paraId="6B2FDC3F" w14:textId="77777777" w:rsidTr="00951DA9">
        <w:trPr>
          <w:trHeight w:val="300"/>
        </w:trPr>
        <w:tc>
          <w:tcPr>
            <w:tcW w:w="3119" w:type="dxa"/>
            <w:tcBorders>
              <w:bottom w:val="single" w:sz="4" w:space="0" w:color="auto"/>
            </w:tcBorders>
            <w:shd w:val="clear" w:color="auto" w:fill="auto"/>
            <w:vAlign w:val="bottom"/>
            <w:hideMark/>
          </w:tcPr>
          <w:p w14:paraId="105D34CF" w14:textId="77777777" w:rsidR="00B70A28" w:rsidRPr="0041136F" w:rsidRDefault="00B70A28" w:rsidP="00951DA9">
            <w:pPr>
              <w:rPr>
                <w:rFonts w:ascii="Times New Roman" w:hAnsi="Times New Roman" w:cs="Times New Roman"/>
                <w:sz w:val="24"/>
                <w:szCs w:val="24"/>
                <w:lang w:eastAsia="en-AU"/>
              </w:rPr>
            </w:pPr>
            <w:r>
              <w:rPr>
                <w:lang w:eastAsia="en-AU"/>
              </w:rPr>
              <w:t xml:space="preserve">Offset paid or applied </w:t>
            </w:r>
            <w:r w:rsidRPr="79E4B837">
              <w:rPr>
                <w:lang w:eastAsia="en-AU"/>
              </w:rPr>
              <w:t>(</w:t>
            </w:r>
            <w:r w:rsidRPr="79E4B837">
              <w:rPr>
                <w:b/>
                <w:bCs/>
                <w:lang w:eastAsia="en-AU"/>
              </w:rPr>
              <w:t>billion</w:t>
            </w:r>
            <w:r w:rsidRPr="79E4B837">
              <w:rPr>
                <w:lang w:eastAsia="en-AU"/>
              </w:rPr>
              <w:t>) </w:t>
            </w:r>
          </w:p>
        </w:tc>
        <w:tc>
          <w:tcPr>
            <w:tcW w:w="2055" w:type="dxa"/>
            <w:tcBorders>
              <w:bottom w:val="single" w:sz="4" w:space="0" w:color="auto"/>
            </w:tcBorders>
            <w:shd w:val="clear" w:color="auto" w:fill="auto"/>
            <w:vAlign w:val="center"/>
            <w:hideMark/>
          </w:tcPr>
          <w:p w14:paraId="62BFB39A" w14:textId="77777777" w:rsidR="00B70A28" w:rsidRPr="0041136F" w:rsidRDefault="00B70A28" w:rsidP="00951DA9">
            <w:pPr>
              <w:jc w:val="center"/>
              <w:rPr>
                <w:rFonts w:ascii="Times New Roman" w:hAnsi="Times New Roman" w:cs="Times New Roman"/>
                <w:sz w:val="24"/>
                <w:szCs w:val="24"/>
                <w:lang w:eastAsia="en-AU"/>
              </w:rPr>
            </w:pPr>
            <w:r>
              <w:rPr>
                <w:lang w:eastAsia="en-AU"/>
              </w:rPr>
              <w:t>$2.7</w:t>
            </w:r>
          </w:p>
        </w:tc>
        <w:tc>
          <w:tcPr>
            <w:tcW w:w="2056" w:type="dxa"/>
            <w:tcBorders>
              <w:bottom w:val="single" w:sz="4" w:space="0" w:color="auto"/>
            </w:tcBorders>
            <w:shd w:val="clear" w:color="auto" w:fill="auto"/>
            <w:vAlign w:val="center"/>
            <w:hideMark/>
          </w:tcPr>
          <w:p w14:paraId="6F5A02F1" w14:textId="77777777" w:rsidR="00B70A28" w:rsidRPr="0041136F" w:rsidRDefault="00B70A28" w:rsidP="00951DA9">
            <w:pPr>
              <w:jc w:val="center"/>
              <w:rPr>
                <w:rFonts w:ascii="Times New Roman" w:hAnsi="Times New Roman" w:cs="Times New Roman"/>
                <w:sz w:val="24"/>
                <w:szCs w:val="24"/>
                <w:lang w:eastAsia="en-AU"/>
              </w:rPr>
            </w:pPr>
            <w:r>
              <w:rPr>
                <w:lang w:eastAsia="en-AU"/>
              </w:rPr>
              <w:t>$2.2</w:t>
            </w:r>
          </w:p>
        </w:tc>
      </w:tr>
    </w:tbl>
    <w:p w14:paraId="2621511A" w14:textId="77777777" w:rsidR="00B70A28" w:rsidRDefault="00B70A28" w:rsidP="00951DA9">
      <w:pPr>
        <w:rPr>
          <w:lang w:val="en-US" w:eastAsia="en-AU"/>
        </w:rPr>
      </w:pPr>
    </w:p>
    <w:p w14:paraId="673121CB" w14:textId="77777777" w:rsidR="00B70A28" w:rsidRDefault="00B70A28" w:rsidP="00951DA9">
      <w:pPr>
        <w:rPr>
          <w:lang w:val="en-US" w:eastAsia="en-AU"/>
        </w:rPr>
      </w:pPr>
      <w:r>
        <w:rPr>
          <w:lang w:val="en-US" w:eastAsia="en-AU"/>
        </w:rPr>
        <w:t xml:space="preserve">For tables 4 to 11, ‘E,G,W&amp;WS’ denotes </w:t>
      </w:r>
      <w:r w:rsidRPr="009B1EC8">
        <w:rPr>
          <w:lang w:val="en-US" w:eastAsia="en-AU"/>
        </w:rPr>
        <w:t>Electricity, Gas, Water &amp; Waste Services</w:t>
      </w:r>
      <w:r>
        <w:rPr>
          <w:lang w:val="en-US" w:eastAsia="en-AU"/>
        </w:rPr>
        <w:t>.</w:t>
      </w:r>
    </w:p>
    <w:p w14:paraId="62EA504C" w14:textId="77777777" w:rsidR="00B70A28" w:rsidRDefault="00B70A28" w:rsidP="00951DA9">
      <w:pPr>
        <w:rPr>
          <w:rFonts w:asciiTheme="majorHAnsi" w:eastAsiaTheme="majorEastAsia" w:hAnsiTheme="majorHAnsi" w:cstheme="majorBidi"/>
          <w:color w:val="ED7D31" w:themeColor="accent2"/>
          <w:szCs w:val="24"/>
          <w:lang w:eastAsia="en-AU"/>
        </w:rPr>
      </w:pPr>
      <w:r>
        <w:rPr>
          <w:lang w:eastAsia="en-AU"/>
        </w:rPr>
        <w:t xml:space="preserve"> </w:t>
      </w:r>
      <w:r>
        <w:rPr>
          <w:lang w:eastAsia="en-AU"/>
        </w:rPr>
        <w:br w:type="page"/>
      </w:r>
    </w:p>
    <w:p w14:paraId="52174E7F" w14:textId="77777777" w:rsidR="00B70A28" w:rsidRDefault="00B70A28" w:rsidP="00951DA9">
      <w:pPr>
        <w:pStyle w:val="Heading5"/>
        <w:rPr>
          <w:lang w:eastAsia="en-AU"/>
        </w:rPr>
      </w:pPr>
      <w:r>
        <w:rPr>
          <w:lang w:eastAsia="en-AU"/>
        </w:rPr>
        <w:lastRenderedPageBreak/>
        <w:t>Table 4</w:t>
      </w:r>
      <w:r w:rsidRPr="00796BCD">
        <w:rPr>
          <w:lang w:eastAsia="en-AU"/>
        </w:rPr>
        <w:t>: Comparison by sector – Australia-wide</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B70A28" w:rsidRPr="0041136F" w14:paraId="061B79C4" w14:textId="77777777" w:rsidTr="00951DA9">
        <w:trPr>
          <w:trHeight w:val="300"/>
        </w:trPr>
        <w:tc>
          <w:tcPr>
            <w:tcW w:w="2268" w:type="dxa"/>
            <w:shd w:val="clear" w:color="auto" w:fill="auto"/>
            <w:vAlign w:val="bottom"/>
            <w:hideMark/>
          </w:tcPr>
          <w:p w14:paraId="632B44A3" w14:textId="77777777" w:rsidR="00B70A28" w:rsidRPr="0041136F" w:rsidRDefault="00B70A28" w:rsidP="00951DA9">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0DF50DA4"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0D18F9B0"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122F95C1"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4690C529" w14:textId="77777777" w:rsidR="00B70A28" w:rsidRPr="0041136F" w:rsidRDefault="00B70A28" w:rsidP="00951DA9">
            <w:pPr>
              <w:pStyle w:val="TableHeading"/>
              <w:jc w:val="center"/>
              <w:rPr>
                <w:lang w:eastAsia="en-AU"/>
              </w:rPr>
            </w:pPr>
            <w:r w:rsidRPr="79E4B837">
              <w:rPr>
                <w:lang w:eastAsia="en-AU"/>
              </w:rPr>
              <w:t>Mining</w:t>
            </w:r>
          </w:p>
        </w:tc>
        <w:tc>
          <w:tcPr>
            <w:tcW w:w="1645" w:type="dxa"/>
            <w:shd w:val="clear" w:color="auto" w:fill="auto"/>
            <w:vAlign w:val="center"/>
            <w:hideMark/>
          </w:tcPr>
          <w:p w14:paraId="3AE88AA4"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E,G,W &amp; WS*</w:t>
            </w:r>
          </w:p>
        </w:tc>
      </w:tr>
      <w:tr w:rsidR="00B70A28" w:rsidRPr="0041136F" w14:paraId="53CF9330" w14:textId="77777777" w:rsidTr="00951DA9">
        <w:trPr>
          <w:trHeight w:val="300"/>
        </w:trPr>
        <w:tc>
          <w:tcPr>
            <w:tcW w:w="2268" w:type="dxa"/>
            <w:shd w:val="clear" w:color="auto" w:fill="auto"/>
            <w:vAlign w:val="bottom"/>
            <w:hideMark/>
          </w:tcPr>
          <w:p w14:paraId="671B12EB" w14:textId="77777777" w:rsidR="00B70A28" w:rsidRPr="0041136F" w:rsidRDefault="00B70A28" w:rsidP="00951DA9">
            <w:pP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Number of Registrations </w:t>
            </w:r>
          </w:p>
        </w:tc>
        <w:tc>
          <w:tcPr>
            <w:tcW w:w="1560" w:type="dxa"/>
            <w:shd w:val="clear" w:color="auto" w:fill="auto"/>
            <w:vAlign w:val="center"/>
            <w:hideMark/>
          </w:tcPr>
          <w:p w14:paraId="14B19C7D" w14:textId="77777777" w:rsidR="00B70A28" w:rsidRPr="0041136F" w:rsidRDefault="00B70A28" w:rsidP="00951DA9">
            <w:pPr>
              <w:jc w:val="cente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7,601</w:t>
            </w:r>
          </w:p>
        </w:tc>
        <w:tc>
          <w:tcPr>
            <w:tcW w:w="1842" w:type="dxa"/>
            <w:shd w:val="clear" w:color="auto" w:fill="auto"/>
            <w:vAlign w:val="center"/>
            <w:hideMark/>
          </w:tcPr>
          <w:p w14:paraId="7CCD1616" w14:textId="77777777" w:rsidR="00B70A28" w:rsidRPr="0041136F" w:rsidRDefault="00B70A28" w:rsidP="00951DA9">
            <w:pPr>
              <w:jc w:val="cente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3,492</w:t>
            </w:r>
          </w:p>
        </w:tc>
        <w:tc>
          <w:tcPr>
            <w:tcW w:w="1531" w:type="dxa"/>
            <w:shd w:val="clear" w:color="auto" w:fill="auto"/>
            <w:vAlign w:val="center"/>
          </w:tcPr>
          <w:p w14:paraId="62D55069" w14:textId="77777777" w:rsidR="00B70A28" w:rsidRPr="0041136F" w:rsidRDefault="00B70A28" w:rsidP="00951DA9">
            <w:pPr>
              <w:jc w:val="cente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507</w:t>
            </w:r>
          </w:p>
        </w:tc>
        <w:tc>
          <w:tcPr>
            <w:tcW w:w="1644" w:type="dxa"/>
            <w:shd w:val="clear" w:color="auto" w:fill="auto"/>
            <w:vAlign w:val="center"/>
          </w:tcPr>
          <w:p w14:paraId="2C7AC741" w14:textId="77777777" w:rsidR="00B70A28" w:rsidRDefault="00B70A28" w:rsidP="00951DA9">
            <w:pPr>
              <w:jc w:val="center"/>
              <w:rPr>
                <w:rFonts w:ascii="Calibri" w:eastAsia="Times New Roman" w:hAnsi="Calibri" w:cs="Calibri"/>
                <w:lang w:eastAsia="en-AU"/>
              </w:rPr>
            </w:pPr>
            <w:r w:rsidRPr="79E4B837">
              <w:rPr>
                <w:rFonts w:ascii="Calibri" w:eastAsia="Times New Roman" w:hAnsi="Calibri" w:cs="Calibri"/>
                <w:lang w:eastAsia="en-AU"/>
              </w:rPr>
              <w:t>410</w:t>
            </w:r>
          </w:p>
        </w:tc>
        <w:tc>
          <w:tcPr>
            <w:tcW w:w="1645" w:type="dxa"/>
            <w:shd w:val="clear" w:color="auto" w:fill="auto"/>
            <w:vAlign w:val="center"/>
            <w:hideMark/>
          </w:tcPr>
          <w:p w14:paraId="7D3ACCCB" w14:textId="77777777" w:rsidR="00B70A28" w:rsidRPr="0041136F" w:rsidRDefault="00B70A28" w:rsidP="00951DA9">
            <w:pPr>
              <w:jc w:val="cente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278</w:t>
            </w:r>
          </w:p>
        </w:tc>
      </w:tr>
      <w:tr w:rsidR="00B70A28" w:rsidRPr="0041136F" w14:paraId="1FAE63F6" w14:textId="77777777" w:rsidTr="00951DA9">
        <w:trPr>
          <w:trHeight w:val="300"/>
        </w:trPr>
        <w:tc>
          <w:tcPr>
            <w:tcW w:w="2268" w:type="dxa"/>
            <w:tcBorders>
              <w:bottom w:val="single" w:sz="4" w:space="0" w:color="auto"/>
            </w:tcBorders>
            <w:shd w:val="clear" w:color="auto" w:fill="auto"/>
            <w:vAlign w:val="bottom"/>
            <w:hideMark/>
          </w:tcPr>
          <w:p w14:paraId="5D4E73A0" w14:textId="77777777" w:rsidR="00B70A28" w:rsidRPr="0041136F" w:rsidRDefault="00B70A28" w:rsidP="00951DA9">
            <w:pPr>
              <w:rPr>
                <w:rFonts w:ascii="Times New Roman" w:eastAsia="Times New Roman" w:hAnsi="Times New Roman" w:cs="Times New Roman"/>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 </w:t>
            </w:r>
          </w:p>
        </w:tc>
        <w:tc>
          <w:tcPr>
            <w:tcW w:w="1560" w:type="dxa"/>
            <w:tcBorders>
              <w:bottom w:val="single" w:sz="4" w:space="0" w:color="auto"/>
            </w:tcBorders>
            <w:shd w:val="clear" w:color="auto" w:fill="auto"/>
            <w:vAlign w:val="center"/>
            <w:hideMark/>
          </w:tcPr>
          <w:p w14:paraId="25B69D24" w14:textId="77777777" w:rsidR="00B70A28" w:rsidRPr="0041136F" w:rsidRDefault="00B70A28" w:rsidP="00951DA9">
            <w:pPr>
              <w:jc w:val="cente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$7,142</w:t>
            </w:r>
          </w:p>
        </w:tc>
        <w:tc>
          <w:tcPr>
            <w:tcW w:w="1842" w:type="dxa"/>
            <w:tcBorders>
              <w:bottom w:val="single" w:sz="4" w:space="0" w:color="auto"/>
            </w:tcBorders>
            <w:shd w:val="clear" w:color="auto" w:fill="auto"/>
            <w:vAlign w:val="center"/>
            <w:hideMark/>
          </w:tcPr>
          <w:p w14:paraId="69B723A6" w14:textId="77777777" w:rsidR="00B70A28" w:rsidRPr="0041136F" w:rsidRDefault="00B70A28" w:rsidP="00951DA9">
            <w:pPr>
              <w:jc w:val="cente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$3,933</w:t>
            </w:r>
          </w:p>
        </w:tc>
        <w:tc>
          <w:tcPr>
            <w:tcW w:w="1531" w:type="dxa"/>
            <w:tcBorders>
              <w:bottom w:val="single" w:sz="4" w:space="0" w:color="auto"/>
            </w:tcBorders>
            <w:shd w:val="clear" w:color="auto" w:fill="auto"/>
            <w:vAlign w:val="center"/>
          </w:tcPr>
          <w:p w14:paraId="31DF92A3" w14:textId="77777777" w:rsidR="00B70A28" w:rsidRPr="0041136F" w:rsidRDefault="00B70A28" w:rsidP="00951DA9">
            <w:pPr>
              <w:jc w:val="cente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$534</w:t>
            </w:r>
          </w:p>
        </w:tc>
        <w:tc>
          <w:tcPr>
            <w:tcW w:w="1644" w:type="dxa"/>
            <w:tcBorders>
              <w:bottom w:val="single" w:sz="4" w:space="0" w:color="auto"/>
            </w:tcBorders>
            <w:shd w:val="clear" w:color="auto" w:fill="auto"/>
            <w:vAlign w:val="center"/>
          </w:tcPr>
          <w:p w14:paraId="6909504D" w14:textId="77777777" w:rsidR="00B70A28" w:rsidRPr="0041136F" w:rsidRDefault="00B70A28" w:rsidP="00951DA9">
            <w:pPr>
              <w:jc w:val="center"/>
              <w:rPr>
                <w:rFonts w:ascii="Calibri" w:eastAsia="Times New Roman" w:hAnsi="Calibri" w:cs="Calibri"/>
                <w:lang w:eastAsia="en-AU"/>
              </w:rPr>
            </w:pPr>
            <w:r w:rsidRPr="79E4B837">
              <w:rPr>
                <w:rFonts w:ascii="Calibri" w:eastAsia="Times New Roman" w:hAnsi="Calibri" w:cs="Calibri"/>
                <w:lang w:eastAsia="en-AU"/>
              </w:rPr>
              <w:t>$1,216</w:t>
            </w:r>
          </w:p>
        </w:tc>
        <w:tc>
          <w:tcPr>
            <w:tcW w:w="1645" w:type="dxa"/>
            <w:tcBorders>
              <w:bottom w:val="single" w:sz="4" w:space="0" w:color="auto"/>
            </w:tcBorders>
            <w:shd w:val="clear" w:color="auto" w:fill="auto"/>
            <w:vAlign w:val="center"/>
            <w:hideMark/>
          </w:tcPr>
          <w:p w14:paraId="255A990E" w14:textId="77777777" w:rsidR="00B70A28" w:rsidRPr="0041136F" w:rsidRDefault="00B70A28" w:rsidP="00951DA9">
            <w:pPr>
              <w:jc w:val="cente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$338</w:t>
            </w:r>
          </w:p>
        </w:tc>
      </w:tr>
    </w:tbl>
    <w:p w14:paraId="003D9EDA" w14:textId="77777777" w:rsidR="00B70A28" w:rsidRPr="00F3534F" w:rsidRDefault="00B70A28" w:rsidP="00951DA9">
      <w:pPr>
        <w:pStyle w:val="Heading5"/>
        <w:rPr>
          <w:i/>
          <w:lang w:eastAsia="en-AU"/>
        </w:rPr>
      </w:pPr>
      <w:r>
        <w:rPr>
          <w:lang w:eastAsia="en-AU"/>
        </w:rPr>
        <w:t xml:space="preserve">Table 5: </w:t>
      </w:r>
      <w:r w:rsidRPr="00F3534F">
        <w:rPr>
          <w:lang w:eastAsia="en-AU"/>
        </w:rPr>
        <w:t xml:space="preserve">Comparison by sector – NSW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B70A28" w:rsidRPr="0041136F" w14:paraId="38E2B44C" w14:textId="77777777" w:rsidTr="00951DA9">
        <w:trPr>
          <w:trHeight w:val="300"/>
        </w:trPr>
        <w:tc>
          <w:tcPr>
            <w:tcW w:w="2268" w:type="dxa"/>
            <w:shd w:val="clear" w:color="auto" w:fill="auto"/>
            <w:vAlign w:val="bottom"/>
            <w:hideMark/>
          </w:tcPr>
          <w:p w14:paraId="5703B370" w14:textId="77777777" w:rsidR="00B70A28" w:rsidRPr="0041136F" w:rsidRDefault="00B70A28" w:rsidP="00951DA9">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4407A9E7"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750DDF74"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30424B7E"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7A56FF68" w14:textId="77777777" w:rsidR="00B70A28" w:rsidRPr="0041136F" w:rsidRDefault="00B70A28" w:rsidP="00951DA9">
            <w:pPr>
              <w:pStyle w:val="TableHeading"/>
              <w:jc w:val="center"/>
              <w:rPr>
                <w:lang w:eastAsia="en-AU"/>
              </w:rPr>
            </w:pPr>
            <w:r w:rsidRPr="79E4B837">
              <w:rPr>
                <w:lang w:eastAsia="en-AU"/>
              </w:rPr>
              <w:t>Mining</w:t>
            </w:r>
          </w:p>
        </w:tc>
        <w:tc>
          <w:tcPr>
            <w:tcW w:w="1645" w:type="dxa"/>
            <w:shd w:val="clear" w:color="auto" w:fill="auto"/>
            <w:vAlign w:val="center"/>
            <w:hideMark/>
          </w:tcPr>
          <w:p w14:paraId="7691226D"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E,G,W &amp; WS*</w:t>
            </w:r>
          </w:p>
        </w:tc>
      </w:tr>
      <w:tr w:rsidR="00B70A28" w:rsidRPr="0041136F" w14:paraId="544EB25F" w14:textId="77777777" w:rsidTr="00951DA9">
        <w:trPr>
          <w:trHeight w:val="300"/>
        </w:trPr>
        <w:tc>
          <w:tcPr>
            <w:tcW w:w="2268" w:type="dxa"/>
            <w:shd w:val="clear" w:color="auto" w:fill="auto"/>
            <w:vAlign w:val="bottom"/>
            <w:hideMark/>
          </w:tcPr>
          <w:p w14:paraId="6C2B9575" w14:textId="77777777" w:rsidR="00B70A28" w:rsidRPr="0041136F" w:rsidRDefault="00B70A28" w:rsidP="00951DA9">
            <w:pP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Number of Registrations </w:t>
            </w:r>
          </w:p>
        </w:tc>
        <w:tc>
          <w:tcPr>
            <w:tcW w:w="1560" w:type="dxa"/>
            <w:shd w:val="clear" w:color="auto" w:fill="auto"/>
            <w:hideMark/>
          </w:tcPr>
          <w:p w14:paraId="5F119F24" w14:textId="77777777" w:rsidR="00B70A28" w:rsidRPr="0041136F" w:rsidRDefault="00B70A28" w:rsidP="00951DA9">
            <w:pPr>
              <w:jc w:val="center"/>
              <w:rPr>
                <w:rFonts w:ascii="Times New Roman" w:eastAsia="Times New Roman" w:hAnsi="Times New Roman" w:cs="Times New Roman"/>
                <w:sz w:val="24"/>
                <w:szCs w:val="24"/>
                <w:lang w:eastAsia="en-AU"/>
              </w:rPr>
            </w:pPr>
            <w:r w:rsidRPr="00D316BF">
              <w:t>3,012</w:t>
            </w:r>
          </w:p>
        </w:tc>
        <w:tc>
          <w:tcPr>
            <w:tcW w:w="1842" w:type="dxa"/>
            <w:shd w:val="clear" w:color="auto" w:fill="auto"/>
            <w:hideMark/>
          </w:tcPr>
          <w:p w14:paraId="421308D0" w14:textId="77777777" w:rsidR="00B70A28" w:rsidRPr="0041136F" w:rsidRDefault="00B70A28" w:rsidP="00951DA9">
            <w:pPr>
              <w:jc w:val="center"/>
              <w:rPr>
                <w:rFonts w:ascii="Times New Roman" w:eastAsia="Times New Roman" w:hAnsi="Times New Roman" w:cs="Times New Roman"/>
                <w:sz w:val="24"/>
                <w:szCs w:val="24"/>
                <w:lang w:eastAsia="en-AU"/>
              </w:rPr>
            </w:pPr>
            <w:r w:rsidRPr="00D316BF">
              <w:t>1,068</w:t>
            </w:r>
          </w:p>
        </w:tc>
        <w:tc>
          <w:tcPr>
            <w:tcW w:w="1531" w:type="dxa"/>
            <w:shd w:val="clear" w:color="auto" w:fill="auto"/>
          </w:tcPr>
          <w:p w14:paraId="6F45DA24" w14:textId="77777777" w:rsidR="00B70A28" w:rsidRPr="0041136F" w:rsidRDefault="00B70A28" w:rsidP="00951DA9">
            <w:pPr>
              <w:jc w:val="center"/>
              <w:rPr>
                <w:rFonts w:ascii="Times New Roman" w:eastAsia="Times New Roman" w:hAnsi="Times New Roman" w:cs="Times New Roman"/>
                <w:sz w:val="24"/>
                <w:szCs w:val="24"/>
                <w:lang w:eastAsia="en-AU"/>
              </w:rPr>
            </w:pPr>
            <w:r w:rsidRPr="00D316BF">
              <w:t>111</w:t>
            </w:r>
          </w:p>
        </w:tc>
        <w:tc>
          <w:tcPr>
            <w:tcW w:w="1644" w:type="dxa"/>
            <w:shd w:val="clear" w:color="auto" w:fill="auto"/>
          </w:tcPr>
          <w:p w14:paraId="65CE9B53" w14:textId="77777777" w:rsidR="00B70A28" w:rsidRDefault="00B70A28" w:rsidP="00951DA9">
            <w:pPr>
              <w:jc w:val="center"/>
              <w:rPr>
                <w:rFonts w:ascii="Calibri" w:eastAsia="Times New Roman" w:hAnsi="Calibri" w:cs="Calibri"/>
                <w:lang w:eastAsia="en-AU"/>
              </w:rPr>
            </w:pPr>
            <w:r w:rsidRPr="00D316BF">
              <w:t>91</w:t>
            </w:r>
          </w:p>
        </w:tc>
        <w:tc>
          <w:tcPr>
            <w:tcW w:w="1645" w:type="dxa"/>
            <w:shd w:val="clear" w:color="auto" w:fill="auto"/>
            <w:hideMark/>
          </w:tcPr>
          <w:p w14:paraId="4229AFEB" w14:textId="77777777" w:rsidR="00B70A28" w:rsidRPr="0041136F" w:rsidRDefault="00B70A28" w:rsidP="00951DA9">
            <w:pPr>
              <w:jc w:val="center"/>
              <w:rPr>
                <w:rFonts w:ascii="Times New Roman" w:eastAsia="Times New Roman" w:hAnsi="Times New Roman" w:cs="Times New Roman"/>
                <w:sz w:val="24"/>
                <w:szCs w:val="24"/>
                <w:lang w:eastAsia="en-AU"/>
              </w:rPr>
            </w:pPr>
            <w:r w:rsidRPr="00D316BF">
              <w:t>51</w:t>
            </w:r>
          </w:p>
        </w:tc>
      </w:tr>
      <w:tr w:rsidR="00B70A28" w:rsidRPr="0041136F" w14:paraId="34A2FA74" w14:textId="77777777" w:rsidTr="00951DA9">
        <w:trPr>
          <w:trHeight w:val="300"/>
        </w:trPr>
        <w:tc>
          <w:tcPr>
            <w:tcW w:w="2268" w:type="dxa"/>
            <w:tcBorders>
              <w:bottom w:val="single" w:sz="4" w:space="0" w:color="auto"/>
            </w:tcBorders>
            <w:shd w:val="clear" w:color="auto" w:fill="auto"/>
            <w:vAlign w:val="bottom"/>
            <w:hideMark/>
          </w:tcPr>
          <w:p w14:paraId="6A1DC4D8" w14:textId="77777777" w:rsidR="00B70A28" w:rsidRPr="0041136F" w:rsidRDefault="00B70A28" w:rsidP="00951DA9">
            <w:pPr>
              <w:rPr>
                <w:rFonts w:ascii="Times New Roman" w:eastAsia="Times New Roman" w:hAnsi="Times New Roman" w:cs="Times New Roman"/>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 </w:t>
            </w:r>
          </w:p>
        </w:tc>
        <w:tc>
          <w:tcPr>
            <w:tcW w:w="1560" w:type="dxa"/>
            <w:tcBorders>
              <w:bottom w:val="single" w:sz="4" w:space="0" w:color="auto"/>
            </w:tcBorders>
            <w:shd w:val="clear" w:color="auto" w:fill="auto"/>
            <w:hideMark/>
          </w:tcPr>
          <w:p w14:paraId="1315869C" w14:textId="77777777" w:rsidR="00B70A28" w:rsidRPr="0041136F" w:rsidRDefault="00B70A28" w:rsidP="00951DA9">
            <w:pPr>
              <w:jc w:val="center"/>
              <w:rPr>
                <w:rFonts w:ascii="Times New Roman" w:eastAsia="Times New Roman" w:hAnsi="Times New Roman" w:cs="Times New Roman"/>
                <w:sz w:val="24"/>
                <w:szCs w:val="24"/>
                <w:lang w:eastAsia="en-AU"/>
              </w:rPr>
            </w:pPr>
            <w:r w:rsidRPr="008C1625">
              <w:t xml:space="preserve">$3,315 </w:t>
            </w:r>
          </w:p>
        </w:tc>
        <w:tc>
          <w:tcPr>
            <w:tcW w:w="1842" w:type="dxa"/>
            <w:tcBorders>
              <w:bottom w:val="single" w:sz="4" w:space="0" w:color="auto"/>
            </w:tcBorders>
            <w:shd w:val="clear" w:color="auto" w:fill="auto"/>
            <w:hideMark/>
          </w:tcPr>
          <w:p w14:paraId="3BD9D6FA" w14:textId="77777777" w:rsidR="00B70A28" w:rsidRPr="0041136F" w:rsidRDefault="00B70A28" w:rsidP="00951DA9">
            <w:pPr>
              <w:jc w:val="center"/>
              <w:rPr>
                <w:rFonts w:ascii="Times New Roman" w:eastAsia="Times New Roman" w:hAnsi="Times New Roman" w:cs="Times New Roman"/>
                <w:sz w:val="24"/>
                <w:szCs w:val="24"/>
                <w:lang w:eastAsia="en-AU"/>
              </w:rPr>
            </w:pPr>
            <w:r w:rsidRPr="008C1625">
              <w:t>$1,550</w:t>
            </w:r>
          </w:p>
        </w:tc>
        <w:tc>
          <w:tcPr>
            <w:tcW w:w="1531" w:type="dxa"/>
            <w:tcBorders>
              <w:bottom w:val="single" w:sz="4" w:space="0" w:color="auto"/>
            </w:tcBorders>
            <w:shd w:val="clear" w:color="auto" w:fill="auto"/>
          </w:tcPr>
          <w:p w14:paraId="2F191986" w14:textId="77777777" w:rsidR="00B70A28" w:rsidRPr="0041136F" w:rsidRDefault="00B70A28" w:rsidP="00951DA9">
            <w:pPr>
              <w:jc w:val="center"/>
              <w:rPr>
                <w:rFonts w:ascii="Times New Roman" w:eastAsia="Times New Roman" w:hAnsi="Times New Roman" w:cs="Times New Roman"/>
                <w:sz w:val="24"/>
                <w:szCs w:val="24"/>
                <w:lang w:eastAsia="en-AU"/>
              </w:rPr>
            </w:pPr>
            <w:r w:rsidRPr="008C1625">
              <w:t xml:space="preserve">$93 </w:t>
            </w:r>
          </w:p>
        </w:tc>
        <w:tc>
          <w:tcPr>
            <w:tcW w:w="1644" w:type="dxa"/>
            <w:tcBorders>
              <w:bottom w:val="single" w:sz="4" w:space="0" w:color="auto"/>
            </w:tcBorders>
            <w:shd w:val="clear" w:color="auto" w:fill="auto"/>
          </w:tcPr>
          <w:p w14:paraId="70F50850" w14:textId="77777777" w:rsidR="00B70A28" w:rsidRPr="0041136F" w:rsidRDefault="00B70A28" w:rsidP="00951DA9">
            <w:pPr>
              <w:jc w:val="center"/>
              <w:rPr>
                <w:rFonts w:ascii="Calibri" w:eastAsia="Times New Roman" w:hAnsi="Calibri" w:cs="Calibri"/>
                <w:lang w:eastAsia="en-AU"/>
              </w:rPr>
            </w:pPr>
            <w:r w:rsidRPr="008C1625">
              <w:t xml:space="preserve">$179 </w:t>
            </w:r>
          </w:p>
        </w:tc>
        <w:tc>
          <w:tcPr>
            <w:tcW w:w="1645" w:type="dxa"/>
            <w:tcBorders>
              <w:bottom w:val="single" w:sz="4" w:space="0" w:color="auto"/>
            </w:tcBorders>
            <w:shd w:val="clear" w:color="auto" w:fill="auto"/>
            <w:hideMark/>
          </w:tcPr>
          <w:p w14:paraId="034CCEB7" w14:textId="77777777" w:rsidR="00B70A28" w:rsidRPr="0041136F" w:rsidRDefault="00B70A28" w:rsidP="00951DA9">
            <w:pPr>
              <w:jc w:val="center"/>
              <w:rPr>
                <w:rFonts w:ascii="Times New Roman" w:eastAsia="Times New Roman" w:hAnsi="Times New Roman" w:cs="Times New Roman"/>
                <w:sz w:val="24"/>
                <w:szCs w:val="24"/>
                <w:lang w:eastAsia="en-AU"/>
              </w:rPr>
            </w:pPr>
            <w:r w:rsidRPr="008C1625">
              <w:t>$116</w:t>
            </w:r>
          </w:p>
        </w:tc>
      </w:tr>
    </w:tbl>
    <w:p w14:paraId="6B6F01EB" w14:textId="77777777" w:rsidR="00B70A28" w:rsidRPr="00E64C42" w:rsidRDefault="00B70A28" w:rsidP="00951DA9">
      <w:pPr>
        <w:pStyle w:val="Heading5"/>
        <w:rPr>
          <w:i/>
          <w:lang w:eastAsia="en-AU"/>
        </w:rPr>
      </w:pPr>
      <w:r>
        <w:rPr>
          <w:lang w:eastAsia="en-AU"/>
        </w:rPr>
        <w:t>Table 6: Compariso</w:t>
      </w:r>
      <w:r w:rsidRPr="00E64C42">
        <w:rPr>
          <w:lang w:eastAsia="en-AU"/>
        </w:rPr>
        <w:t xml:space="preserve">n by sector – VIC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B70A28" w:rsidRPr="0041136F" w14:paraId="04E376CC" w14:textId="77777777" w:rsidTr="00951DA9">
        <w:trPr>
          <w:trHeight w:val="300"/>
        </w:trPr>
        <w:tc>
          <w:tcPr>
            <w:tcW w:w="2268" w:type="dxa"/>
            <w:shd w:val="clear" w:color="auto" w:fill="auto"/>
            <w:vAlign w:val="bottom"/>
            <w:hideMark/>
          </w:tcPr>
          <w:p w14:paraId="1CA973AF" w14:textId="77777777" w:rsidR="00B70A28" w:rsidRPr="0041136F" w:rsidRDefault="00B70A28" w:rsidP="00951DA9">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2BC7B5DA"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2798254B"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12DB7176"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079C6CB9" w14:textId="77777777" w:rsidR="00B70A28" w:rsidRPr="0041136F" w:rsidRDefault="00B70A28" w:rsidP="00951DA9">
            <w:pPr>
              <w:pStyle w:val="TableHeading"/>
              <w:jc w:val="center"/>
              <w:rPr>
                <w:lang w:eastAsia="en-AU"/>
              </w:rPr>
            </w:pPr>
            <w:r w:rsidRPr="79E4B837">
              <w:rPr>
                <w:lang w:eastAsia="en-AU"/>
              </w:rPr>
              <w:t>Mining</w:t>
            </w:r>
          </w:p>
        </w:tc>
        <w:tc>
          <w:tcPr>
            <w:tcW w:w="1645" w:type="dxa"/>
            <w:shd w:val="clear" w:color="auto" w:fill="auto"/>
            <w:vAlign w:val="center"/>
            <w:hideMark/>
          </w:tcPr>
          <w:p w14:paraId="1703B92B"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E,G,W &amp; WS*</w:t>
            </w:r>
          </w:p>
        </w:tc>
      </w:tr>
      <w:tr w:rsidR="00B70A28" w:rsidRPr="0041136F" w14:paraId="1FE4D1CA" w14:textId="77777777" w:rsidTr="00951DA9">
        <w:trPr>
          <w:trHeight w:val="300"/>
        </w:trPr>
        <w:tc>
          <w:tcPr>
            <w:tcW w:w="2268" w:type="dxa"/>
            <w:shd w:val="clear" w:color="auto" w:fill="auto"/>
            <w:vAlign w:val="bottom"/>
            <w:hideMark/>
          </w:tcPr>
          <w:p w14:paraId="25513139" w14:textId="77777777" w:rsidR="00B70A28" w:rsidRPr="0041136F" w:rsidRDefault="00B70A28" w:rsidP="00951DA9">
            <w:pP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Number of Registrations </w:t>
            </w:r>
          </w:p>
        </w:tc>
        <w:tc>
          <w:tcPr>
            <w:tcW w:w="1560" w:type="dxa"/>
            <w:shd w:val="clear" w:color="auto" w:fill="auto"/>
            <w:hideMark/>
          </w:tcPr>
          <w:p w14:paraId="36DA2BA1" w14:textId="77777777" w:rsidR="00B70A28" w:rsidRPr="0041136F" w:rsidRDefault="00B70A28" w:rsidP="00951DA9">
            <w:pPr>
              <w:jc w:val="center"/>
              <w:rPr>
                <w:rFonts w:ascii="Times New Roman" w:eastAsia="Times New Roman" w:hAnsi="Times New Roman" w:cs="Times New Roman"/>
                <w:sz w:val="24"/>
                <w:szCs w:val="24"/>
                <w:lang w:eastAsia="en-AU"/>
              </w:rPr>
            </w:pPr>
            <w:r w:rsidRPr="00F57C2A">
              <w:t>2,258</w:t>
            </w:r>
          </w:p>
        </w:tc>
        <w:tc>
          <w:tcPr>
            <w:tcW w:w="1842" w:type="dxa"/>
            <w:shd w:val="clear" w:color="auto" w:fill="auto"/>
            <w:hideMark/>
          </w:tcPr>
          <w:p w14:paraId="6AC883BF" w14:textId="77777777" w:rsidR="00B70A28" w:rsidRPr="0041136F" w:rsidRDefault="00B70A28" w:rsidP="00951DA9">
            <w:pPr>
              <w:jc w:val="center"/>
              <w:rPr>
                <w:rFonts w:ascii="Times New Roman" w:eastAsia="Times New Roman" w:hAnsi="Times New Roman" w:cs="Times New Roman"/>
                <w:sz w:val="24"/>
                <w:szCs w:val="24"/>
                <w:lang w:eastAsia="en-AU"/>
              </w:rPr>
            </w:pPr>
            <w:r w:rsidRPr="00F57C2A">
              <w:t>1,052</w:t>
            </w:r>
          </w:p>
        </w:tc>
        <w:tc>
          <w:tcPr>
            <w:tcW w:w="1531" w:type="dxa"/>
            <w:shd w:val="clear" w:color="auto" w:fill="auto"/>
          </w:tcPr>
          <w:p w14:paraId="2973226F" w14:textId="77777777" w:rsidR="00B70A28" w:rsidRPr="0041136F" w:rsidRDefault="00B70A28" w:rsidP="00951DA9">
            <w:pPr>
              <w:jc w:val="center"/>
              <w:rPr>
                <w:rFonts w:ascii="Times New Roman" w:eastAsia="Times New Roman" w:hAnsi="Times New Roman" w:cs="Times New Roman"/>
                <w:sz w:val="24"/>
                <w:szCs w:val="24"/>
                <w:lang w:eastAsia="en-AU"/>
              </w:rPr>
            </w:pPr>
            <w:r w:rsidRPr="00F57C2A">
              <w:t>106</w:t>
            </w:r>
          </w:p>
        </w:tc>
        <w:tc>
          <w:tcPr>
            <w:tcW w:w="1644" w:type="dxa"/>
            <w:shd w:val="clear" w:color="auto" w:fill="auto"/>
          </w:tcPr>
          <w:p w14:paraId="40FCD377" w14:textId="77777777" w:rsidR="00B70A28" w:rsidRDefault="00B70A28" w:rsidP="00951DA9">
            <w:pPr>
              <w:jc w:val="center"/>
              <w:rPr>
                <w:rFonts w:ascii="Calibri" w:eastAsia="Times New Roman" w:hAnsi="Calibri" w:cs="Calibri"/>
                <w:lang w:eastAsia="en-AU"/>
              </w:rPr>
            </w:pPr>
            <w:r w:rsidRPr="00F57C2A">
              <w:t>56</w:t>
            </w:r>
          </w:p>
        </w:tc>
        <w:tc>
          <w:tcPr>
            <w:tcW w:w="1645" w:type="dxa"/>
            <w:shd w:val="clear" w:color="auto" w:fill="auto"/>
            <w:hideMark/>
          </w:tcPr>
          <w:p w14:paraId="3E495F96" w14:textId="77777777" w:rsidR="00B70A28" w:rsidRPr="0041136F" w:rsidRDefault="00B70A28" w:rsidP="00951DA9">
            <w:pPr>
              <w:jc w:val="center"/>
              <w:rPr>
                <w:rFonts w:ascii="Times New Roman" w:eastAsia="Times New Roman" w:hAnsi="Times New Roman" w:cs="Times New Roman"/>
                <w:sz w:val="24"/>
                <w:szCs w:val="24"/>
                <w:lang w:eastAsia="en-AU"/>
              </w:rPr>
            </w:pPr>
            <w:r w:rsidRPr="00F57C2A">
              <w:t>30</w:t>
            </w:r>
          </w:p>
        </w:tc>
      </w:tr>
      <w:tr w:rsidR="00B70A28" w:rsidRPr="0041136F" w14:paraId="2B211625" w14:textId="77777777" w:rsidTr="00951DA9">
        <w:trPr>
          <w:trHeight w:val="300"/>
        </w:trPr>
        <w:tc>
          <w:tcPr>
            <w:tcW w:w="2268" w:type="dxa"/>
            <w:tcBorders>
              <w:bottom w:val="single" w:sz="4" w:space="0" w:color="auto"/>
            </w:tcBorders>
            <w:shd w:val="clear" w:color="auto" w:fill="auto"/>
            <w:vAlign w:val="bottom"/>
            <w:hideMark/>
          </w:tcPr>
          <w:p w14:paraId="2850F31F" w14:textId="77777777" w:rsidR="00B70A28" w:rsidRPr="0041136F" w:rsidRDefault="00B70A28" w:rsidP="00951DA9">
            <w:pPr>
              <w:rPr>
                <w:rFonts w:ascii="Times New Roman" w:eastAsia="Times New Roman" w:hAnsi="Times New Roman" w:cs="Times New Roman"/>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 </w:t>
            </w:r>
          </w:p>
        </w:tc>
        <w:tc>
          <w:tcPr>
            <w:tcW w:w="1560" w:type="dxa"/>
            <w:tcBorders>
              <w:bottom w:val="single" w:sz="4" w:space="0" w:color="auto"/>
            </w:tcBorders>
            <w:shd w:val="clear" w:color="auto" w:fill="auto"/>
            <w:hideMark/>
          </w:tcPr>
          <w:p w14:paraId="448BC3B4" w14:textId="77777777" w:rsidR="00B70A28" w:rsidRPr="0041136F" w:rsidRDefault="00B70A28" w:rsidP="00951DA9">
            <w:pPr>
              <w:jc w:val="center"/>
              <w:rPr>
                <w:rFonts w:ascii="Times New Roman" w:eastAsia="Times New Roman" w:hAnsi="Times New Roman" w:cs="Times New Roman"/>
                <w:sz w:val="24"/>
                <w:szCs w:val="24"/>
                <w:lang w:eastAsia="en-AU"/>
              </w:rPr>
            </w:pPr>
            <w:r w:rsidRPr="000D789A">
              <w:t>$2,281</w:t>
            </w:r>
          </w:p>
        </w:tc>
        <w:tc>
          <w:tcPr>
            <w:tcW w:w="1842" w:type="dxa"/>
            <w:tcBorders>
              <w:bottom w:val="single" w:sz="4" w:space="0" w:color="auto"/>
            </w:tcBorders>
            <w:shd w:val="clear" w:color="auto" w:fill="auto"/>
            <w:hideMark/>
          </w:tcPr>
          <w:p w14:paraId="40DFA941" w14:textId="77777777" w:rsidR="00B70A28" w:rsidRPr="0041136F" w:rsidRDefault="00B70A28" w:rsidP="00951DA9">
            <w:pPr>
              <w:jc w:val="center"/>
              <w:rPr>
                <w:rFonts w:ascii="Times New Roman" w:eastAsia="Times New Roman" w:hAnsi="Times New Roman" w:cs="Times New Roman"/>
                <w:sz w:val="24"/>
                <w:szCs w:val="24"/>
                <w:lang w:eastAsia="en-AU"/>
              </w:rPr>
            </w:pPr>
            <w:r w:rsidRPr="000D789A">
              <w:t>$1,248</w:t>
            </w:r>
          </w:p>
        </w:tc>
        <w:tc>
          <w:tcPr>
            <w:tcW w:w="1531" w:type="dxa"/>
            <w:tcBorders>
              <w:bottom w:val="single" w:sz="4" w:space="0" w:color="auto"/>
            </w:tcBorders>
            <w:shd w:val="clear" w:color="auto" w:fill="auto"/>
          </w:tcPr>
          <w:p w14:paraId="5F6D0CC9" w14:textId="77777777" w:rsidR="00B70A28" w:rsidRPr="0041136F" w:rsidRDefault="00B70A28" w:rsidP="00951DA9">
            <w:pPr>
              <w:jc w:val="center"/>
              <w:rPr>
                <w:rFonts w:ascii="Times New Roman" w:eastAsia="Times New Roman" w:hAnsi="Times New Roman" w:cs="Times New Roman"/>
                <w:sz w:val="24"/>
                <w:szCs w:val="24"/>
                <w:lang w:eastAsia="en-AU"/>
              </w:rPr>
            </w:pPr>
            <w:r w:rsidRPr="000D789A">
              <w:t xml:space="preserve">$88 </w:t>
            </w:r>
          </w:p>
        </w:tc>
        <w:tc>
          <w:tcPr>
            <w:tcW w:w="1644" w:type="dxa"/>
            <w:tcBorders>
              <w:bottom w:val="single" w:sz="4" w:space="0" w:color="auto"/>
            </w:tcBorders>
            <w:shd w:val="clear" w:color="auto" w:fill="auto"/>
          </w:tcPr>
          <w:p w14:paraId="7590639E" w14:textId="77777777" w:rsidR="00B70A28" w:rsidRPr="0041136F" w:rsidRDefault="00B70A28" w:rsidP="00951DA9">
            <w:pPr>
              <w:jc w:val="center"/>
              <w:rPr>
                <w:rFonts w:ascii="Calibri" w:eastAsia="Times New Roman" w:hAnsi="Calibri" w:cs="Calibri"/>
                <w:lang w:eastAsia="en-AU"/>
              </w:rPr>
            </w:pPr>
            <w:r w:rsidRPr="000D789A">
              <w:t>$91</w:t>
            </w:r>
          </w:p>
        </w:tc>
        <w:tc>
          <w:tcPr>
            <w:tcW w:w="1645" w:type="dxa"/>
            <w:tcBorders>
              <w:bottom w:val="single" w:sz="4" w:space="0" w:color="auto"/>
            </w:tcBorders>
            <w:shd w:val="clear" w:color="auto" w:fill="auto"/>
            <w:hideMark/>
          </w:tcPr>
          <w:p w14:paraId="3F4A941E" w14:textId="77777777" w:rsidR="00B70A28" w:rsidRPr="0041136F" w:rsidRDefault="00B70A28" w:rsidP="00951DA9">
            <w:pPr>
              <w:jc w:val="center"/>
              <w:rPr>
                <w:rFonts w:ascii="Times New Roman" w:eastAsia="Times New Roman" w:hAnsi="Times New Roman" w:cs="Times New Roman"/>
                <w:sz w:val="24"/>
                <w:szCs w:val="24"/>
                <w:lang w:eastAsia="en-AU"/>
              </w:rPr>
            </w:pPr>
            <w:r w:rsidRPr="000D789A">
              <w:t>$206</w:t>
            </w:r>
          </w:p>
        </w:tc>
      </w:tr>
    </w:tbl>
    <w:p w14:paraId="2F5B5BB7" w14:textId="77777777" w:rsidR="00B70A28" w:rsidRPr="00E64C42" w:rsidRDefault="00B70A28" w:rsidP="00951DA9">
      <w:pPr>
        <w:pStyle w:val="Heading5"/>
        <w:rPr>
          <w:i/>
          <w:lang w:eastAsia="en-AU"/>
        </w:rPr>
      </w:pPr>
      <w:r>
        <w:rPr>
          <w:lang w:eastAsia="en-AU"/>
        </w:rPr>
        <w:t xml:space="preserve">Table 7: </w:t>
      </w:r>
      <w:r w:rsidRPr="00E64C42">
        <w:rPr>
          <w:lang w:eastAsia="en-AU"/>
        </w:rPr>
        <w:t xml:space="preserve">Comparison by sector – QLD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B70A28" w:rsidRPr="0041136F" w14:paraId="022FA149" w14:textId="77777777" w:rsidTr="00951DA9">
        <w:trPr>
          <w:trHeight w:val="300"/>
        </w:trPr>
        <w:tc>
          <w:tcPr>
            <w:tcW w:w="2268" w:type="dxa"/>
            <w:shd w:val="clear" w:color="auto" w:fill="auto"/>
            <w:vAlign w:val="bottom"/>
            <w:hideMark/>
          </w:tcPr>
          <w:p w14:paraId="5EDA3FE3" w14:textId="77777777" w:rsidR="00B70A28" w:rsidRPr="0041136F" w:rsidRDefault="00B70A28" w:rsidP="00951DA9">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75D1E172"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0FC2C788"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3E6D5C49"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047A38FC" w14:textId="77777777" w:rsidR="00B70A28" w:rsidRPr="0041136F" w:rsidRDefault="00B70A28" w:rsidP="00951DA9">
            <w:pPr>
              <w:pStyle w:val="TableHeading"/>
              <w:jc w:val="center"/>
              <w:rPr>
                <w:lang w:eastAsia="en-AU"/>
              </w:rPr>
            </w:pPr>
            <w:r w:rsidRPr="79E4B837">
              <w:rPr>
                <w:lang w:eastAsia="en-AU"/>
              </w:rPr>
              <w:t>Mining</w:t>
            </w:r>
          </w:p>
        </w:tc>
        <w:tc>
          <w:tcPr>
            <w:tcW w:w="1645" w:type="dxa"/>
            <w:shd w:val="clear" w:color="auto" w:fill="auto"/>
            <w:vAlign w:val="center"/>
            <w:hideMark/>
          </w:tcPr>
          <w:p w14:paraId="5FE8D491"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E,G,W &amp; WS*</w:t>
            </w:r>
          </w:p>
        </w:tc>
      </w:tr>
      <w:tr w:rsidR="00B70A28" w:rsidRPr="0041136F" w14:paraId="57284BFB" w14:textId="77777777" w:rsidTr="00951DA9">
        <w:trPr>
          <w:trHeight w:val="300"/>
        </w:trPr>
        <w:tc>
          <w:tcPr>
            <w:tcW w:w="2268" w:type="dxa"/>
            <w:shd w:val="clear" w:color="auto" w:fill="auto"/>
            <w:vAlign w:val="bottom"/>
            <w:hideMark/>
          </w:tcPr>
          <w:p w14:paraId="784B227E" w14:textId="77777777" w:rsidR="00B70A28" w:rsidRPr="0041136F" w:rsidRDefault="00B70A28" w:rsidP="00951DA9">
            <w:pP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Number of Registrations </w:t>
            </w:r>
          </w:p>
        </w:tc>
        <w:tc>
          <w:tcPr>
            <w:tcW w:w="1560" w:type="dxa"/>
            <w:shd w:val="clear" w:color="auto" w:fill="auto"/>
            <w:hideMark/>
          </w:tcPr>
          <w:p w14:paraId="757725B9" w14:textId="77777777" w:rsidR="00B70A28" w:rsidRPr="0041136F" w:rsidRDefault="00B70A28" w:rsidP="00951DA9">
            <w:pPr>
              <w:jc w:val="center"/>
              <w:rPr>
                <w:rFonts w:ascii="Times New Roman" w:eastAsia="Times New Roman" w:hAnsi="Times New Roman" w:cs="Times New Roman"/>
                <w:sz w:val="24"/>
                <w:szCs w:val="24"/>
                <w:lang w:eastAsia="en-AU"/>
              </w:rPr>
            </w:pPr>
            <w:r w:rsidRPr="00527B35">
              <w:t>1,191</w:t>
            </w:r>
          </w:p>
        </w:tc>
        <w:tc>
          <w:tcPr>
            <w:tcW w:w="1842" w:type="dxa"/>
            <w:shd w:val="clear" w:color="auto" w:fill="auto"/>
            <w:hideMark/>
          </w:tcPr>
          <w:p w14:paraId="76EF14FA" w14:textId="77777777" w:rsidR="00B70A28" w:rsidRPr="0041136F" w:rsidRDefault="00B70A28" w:rsidP="00951DA9">
            <w:pPr>
              <w:jc w:val="center"/>
              <w:rPr>
                <w:rFonts w:ascii="Times New Roman" w:eastAsia="Times New Roman" w:hAnsi="Times New Roman" w:cs="Times New Roman"/>
                <w:sz w:val="24"/>
                <w:szCs w:val="24"/>
                <w:lang w:eastAsia="en-AU"/>
              </w:rPr>
            </w:pPr>
            <w:r w:rsidRPr="00527B35">
              <w:t>731</w:t>
            </w:r>
          </w:p>
        </w:tc>
        <w:tc>
          <w:tcPr>
            <w:tcW w:w="1531" w:type="dxa"/>
            <w:shd w:val="clear" w:color="auto" w:fill="auto"/>
          </w:tcPr>
          <w:p w14:paraId="4D04B4E1" w14:textId="77777777" w:rsidR="00B70A28" w:rsidRPr="0041136F" w:rsidRDefault="00B70A28" w:rsidP="00951DA9">
            <w:pPr>
              <w:jc w:val="center"/>
              <w:rPr>
                <w:rFonts w:ascii="Times New Roman" w:eastAsia="Times New Roman" w:hAnsi="Times New Roman" w:cs="Times New Roman"/>
                <w:sz w:val="24"/>
                <w:szCs w:val="24"/>
                <w:lang w:eastAsia="en-AU"/>
              </w:rPr>
            </w:pPr>
            <w:r w:rsidRPr="00527B35">
              <w:t>123</w:t>
            </w:r>
          </w:p>
        </w:tc>
        <w:tc>
          <w:tcPr>
            <w:tcW w:w="1644" w:type="dxa"/>
            <w:shd w:val="clear" w:color="auto" w:fill="auto"/>
          </w:tcPr>
          <w:p w14:paraId="489BF188" w14:textId="77777777" w:rsidR="00B70A28" w:rsidRDefault="00B70A28" w:rsidP="00951DA9">
            <w:pPr>
              <w:jc w:val="center"/>
              <w:rPr>
                <w:rFonts w:ascii="Calibri" w:eastAsia="Times New Roman" w:hAnsi="Calibri" w:cs="Calibri"/>
                <w:lang w:eastAsia="en-AU"/>
              </w:rPr>
            </w:pPr>
            <w:r w:rsidRPr="00527B35">
              <w:t>89</w:t>
            </w:r>
          </w:p>
        </w:tc>
        <w:tc>
          <w:tcPr>
            <w:tcW w:w="1645" w:type="dxa"/>
            <w:shd w:val="clear" w:color="auto" w:fill="auto"/>
            <w:hideMark/>
          </w:tcPr>
          <w:p w14:paraId="218DC76C" w14:textId="77777777" w:rsidR="00B70A28" w:rsidRPr="0041136F" w:rsidRDefault="00B70A28" w:rsidP="00951DA9">
            <w:pPr>
              <w:jc w:val="center"/>
              <w:rPr>
                <w:rFonts w:ascii="Times New Roman" w:eastAsia="Times New Roman" w:hAnsi="Times New Roman" w:cs="Times New Roman"/>
                <w:sz w:val="24"/>
                <w:szCs w:val="24"/>
                <w:lang w:eastAsia="en-AU"/>
              </w:rPr>
            </w:pPr>
            <w:r w:rsidRPr="00527B35">
              <w:t>46</w:t>
            </w:r>
          </w:p>
        </w:tc>
      </w:tr>
      <w:tr w:rsidR="00B70A28" w:rsidRPr="0041136F" w14:paraId="5C13FC45" w14:textId="77777777" w:rsidTr="00951DA9">
        <w:trPr>
          <w:trHeight w:val="300"/>
        </w:trPr>
        <w:tc>
          <w:tcPr>
            <w:tcW w:w="2268" w:type="dxa"/>
            <w:tcBorders>
              <w:bottom w:val="single" w:sz="4" w:space="0" w:color="auto"/>
            </w:tcBorders>
            <w:shd w:val="clear" w:color="auto" w:fill="auto"/>
            <w:vAlign w:val="bottom"/>
            <w:hideMark/>
          </w:tcPr>
          <w:p w14:paraId="3FF7BC8B" w14:textId="77777777" w:rsidR="00B70A28" w:rsidRPr="0041136F" w:rsidRDefault="00B70A28" w:rsidP="00951DA9">
            <w:pPr>
              <w:rPr>
                <w:rFonts w:ascii="Times New Roman" w:eastAsia="Times New Roman" w:hAnsi="Times New Roman" w:cs="Times New Roman"/>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 </w:t>
            </w:r>
          </w:p>
        </w:tc>
        <w:tc>
          <w:tcPr>
            <w:tcW w:w="1560" w:type="dxa"/>
            <w:tcBorders>
              <w:bottom w:val="single" w:sz="4" w:space="0" w:color="auto"/>
            </w:tcBorders>
            <w:shd w:val="clear" w:color="auto" w:fill="auto"/>
            <w:hideMark/>
          </w:tcPr>
          <w:p w14:paraId="1E08EA9A" w14:textId="77777777" w:rsidR="00B70A28" w:rsidRPr="0041136F" w:rsidRDefault="00B70A28" w:rsidP="00951DA9">
            <w:pPr>
              <w:jc w:val="center"/>
              <w:rPr>
                <w:rFonts w:ascii="Times New Roman" w:eastAsia="Times New Roman" w:hAnsi="Times New Roman" w:cs="Times New Roman"/>
                <w:sz w:val="24"/>
                <w:szCs w:val="24"/>
                <w:lang w:eastAsia="en-AU"/>
              </w:rPr>
            </w:pPr>
            <w:r w:rsidRPr="00BE3EC6">
              <w:t>$732</w:t>
            </w:r>
          </w:p>
        </w:tc>
        <w:tc>
          <w:tcPr>
            <w:tcW w:w="1842" w:type="dxa"/>
            <w:tcBorders>
              <w:bottom w:val="single" w:sz="4" w:space="0" w:color="auto"/>
            </w:tcBorders>
            <w:shd w:val="clear" w:color="auto" w:fill="auto"/>
            <w:hideMark/>
          </w:tcPr>
          <w:p w14:paraId="571CE212" w14:textId="77777777" w:rsidR="00B70A28" w:rsidRPr="0041136F" w:rsidRDefault="00B70A28" w:rsidP="00951DA9">
            <w:pPr>
              <w:jc w:val="center"/>
              <w:rPr>
                <w:rFonts w:ascii="Times New Roman" w:eastAsia="Times New Roman" w:hAnsi="Times New Roman" w:cs="Times New Roman"/>
                <w:sz w:val="24"/>
                <w:szCs w:val="24"/>
                <w:lang w:eastAsia="en-AU"/>
              </w:rPr>
            </w:pPr>
            <w:r w:rsidRPr="00BE3EC6">
              <w:t>$619</w:t>
            </w:r>
          </w:p>
        </w:tc>
        <w:tc>
          <w:tcPr>
            <w:tcW w:w="1531" w:type="dxa"/>
            <w:tcBorders>
              <w:bottom w:val="single" w:sz="4" w:space="0" w:color="auto"/>
            </w:tcBorders>
            <w:shd w:val="clear" w:color="auto" w:fill="auto"/>
          </w:tcPr>
          <w:p w14:paraId="0A19BB5D" w14:textId="77777777" w:rsidR="00B70A28" w:rsidRPr="0041136F" w:rsidRDefault="00B70A28" w:rsidP="00951DA9">
            <w:pPr>
              <w:jc w:val="center"/>
              <w:rPr>
                <w:rFonts w:ascii="Times New Roman" w:eastAsia="Times New Roman" w:hAnsi="Times New Roman" w:cs="Times New Roman"/>
                <w:sz w:val="24"/>
                <w:szCs w:val="24"/>
                <w:lang w:eastAsia="en-AU"/>
              </w:rPr>
            </w:pPr>
            <w:r w:rsidRPr="00BE3EC6">
              <w:t xml:space="preserve">$97 </w:t>
            </w:r>
          </w:p>
        </w:tc>
        <w:tc>
          <w:tcPr>
            <w:tcW w:w="1644" w:type="dxa"/>
            <w:tcBorders>
              <w:bottom w:val="single" w:sz="4" w:space="0" w:color="auto"/>
            </w:tcBorders>
            <w:shd w:val="clear" w:color="auto" w:fill="auto"/>
          </w:tcPr>
          <w:p w14:paraId="183584B4" w14:textId="77777777" w:rsidR="00B70A28" w:rsidRPr="0041136F" w:rsidRDefault="00B70A28" w:rsidP="00951DA9">
            <w:pPr>
              <w:jc w:val="center"/>
              <w:rPr>
                <w:rFonts w:ascii="Calibri" w:eastAsia="Times New Roman" w:hAnsi="Calibri" w:cs="Calibri"/>
                <w:lang w:eastAsia="en-AU"/>
              </w:rPr>
            </w:pPr>
            <w:r w:rsidRPr="00BE3EC6">
              <w:t>$158</w:t>
            </w:r>
          </w:p>
        </w:tc>
        <w:tc>
          <w:tcPr>
            <w:tcW w:w="1645" w:type="dxa"/>
            <w:tcBorders>
              <w:bottom w:val="single" w:sz="4" w:space="0" w:color="auto"/>
            </w:tcBorders>
            <w:shd w:val="clear" w:color="auto" w:fill="auto"/>
            <w:hideMark/>
          </w:tcPr>
          <w:p w14:paraId="58309D6B" w14:textId="77777777" w:rsidR="00B70A28" w:rsidRPr="0041136F" w:rsidRDefault="00B70A28" w:rsidP="00951DA9">
            <w:pPr>
              <w:jc w:val="center"/>
              <w:rPr>
                <w:rFonts w:ascii="Times New Roman" w:eastAsia="Times New Roman" w:hAnsi="Times New Roman" w:cs="Times New Roman"/>
                <w:sz w:val="24"/>
                <w:szCs w:val="24"/>
                <w:lang w:eastAsia="en-AU"/>
              </w:rPr>
            </w:pPr>
            <w:r w:rsidRPr="00BE3EC6">
              <w:t xml:space="preserve">$29 </w:t>
            </w:r>
          </w:p>
        </w:tc>
      </w:tr>
    </w:tbl>
    <w:p w14:paraId="05C1BA36" w14:textId="77777777" w:rsidR="00B70A28" w:rsidRPr="00E64C42" w:rsidRDefault="00B70A28" w:rsidP="00951DA9">
      <w:pPr>
        <w:pStyle w:val="Heading5"/>
        <w:rPr>
          <w:i/>
          <w:lang w:eastAsia="en-AU"/>
        </w:rPr>
      </w:pPr>
      <w:r>
        <w:rPr>
          <w:lang w:eastAsia="en-AU"/>
        </w:rPr>
        <w:t xml:space="preserve">Table 8: </w:t>
      </w:r>
      <w:r w:rsidRPr="00E64C42">
        <w:rPr>
          <w:lang w:eastAsia="en-AU"/>
        </w:rPr>
        <w:t xml:space="preserve">Comparison by sector – WA </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B70A28" w:rsidRPr="0041136F" w14:paraId="308CCA93" w14:textId="77777777" w:rsidTr="00951DA9">
        <w:trPr>
          <w:trHeight w:val="300"/>
        </w:trPr>
        <w:tc>
          <w:tcPr>
            <w:tcW w:w="2268" w:type="dxa"/>
            <w:shd w:val="clear" w:color="auto" w:fill="auto"/>
            <w:vAlign w:val="bottom"/>
            <w:hideMark/>
          </w:tcPr>
          <w:p w14:paraId="7411669B" w14:textId="77777777" w:rsidR="00B70A28" w:rsidRPr="0041136F" w:rsidRDefault="00B70A28" w:rsidP="00951DA9">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5A9A42F7"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6B07E4E8"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28E576B1"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0607390C" w14:textId="77777777" w:rsidR="00B70A28" w:rsidRPr="0041136F" w:rsidRDefault="00B70A28" w:rsidP="00951DA9">
            <w:pPr>
              <w:pStyle w:val="TableHeading"/>
              <w:jc w:val="center"/>
              <w:rPr>
                <w:lang w:eastAsia="en-AU"/>
              </w:rPr>
            </w:pPr>
            <w:r w:rsidRPr="79E4B837">
              <w:rPr>
                <w:lang w:eastAsia="en-AU"/>
              </w:rPr>
              <w:t>Mining</w:t>
            </w:r>
          </w:p>
        </w:tc>
        <w:tc>
          <w:tcPr>
            <w:tcW w:w="1645" w:type="dxa"/>
            <w:shd w:val="clear" w:color="auto" w:fill="auto"/>
            <w:vAlign w:val="center"/>
            <w:hideMark/>
          </w:tcPr>
          <w:p w14:paraId="5E24458B"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E,G,W &amp; WS*</w:t>
            </w:r>
          </w:p>
        </w:tc>
      </w:tr>
      <w:tr w:rsidR="00B70A28" w:rsidRPr="0041136F" w14:paraId="30B6BC01" w14:textId="77777777" w:rsidTr="00951DA9">
        <w:trPr>
          <w:trHeight w:val="300"/>
        </w:trPr>
        <w:tc>
          <w:tcPr>
            <w:tcW w:w="2268" w:type="dxa"/>
            <w:shd w:val="clear" w:color="auto" w:fill="auto"/>
            <w:vAlign w:val="bottom"/>
            <w:hideMark/>
          </w:tcPr>
          <w:p w14:paraId="24444484" w14:textId="77777777" w:rsidR="00B70A28" w:rsidRPr="0041136F" w:rsidRDefault="00B70A28" w:rsidP="00951DA9">
            <w:pP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Number of Registrations </w:t>
            </w:r>
          </w:p>
        </w:tc>
        <w:tc>
          <w:tcPr>
            <w:tcW w:w="1560" w:type="dxa"/>
            <w:shd w:val="clear" w:color="auto" w:fill="auto"/>
            <w:hideMark/>
          </w:tcPr>
          <w:p w14:paraId="6A0550FF" w14:textId="77777777" w:rsidR="00B70A28" w:rsidRPr="0041136F" w:rsidRDefault="00B70A28" w:rsidP="00951DA9">
            <w:pPr>
              <w:jc w:val="center"/>
              <w:rPr>
                <w:rFonts w:ascii="Times New Roman" w:eastAsia="Times New Roman" w:hAnsi="Times New Roman" w:cs="Times New Roman"/>
                <w:sz w:val="24"/>
                <w:szCs w:val="24"/>
                <w:lang w:eastAsia="en-AU"/>
              </w:rPr>
            </w:pPr>
            <w:r w:rsidRPr="004A43AC">
              <w:t>624</w:t>
            </w:r>
          </w:p>
        </w:tc>
        <w:tc>
          <w:tcPr>
            <w:tcW w:w="1842" w:type="dxa"/>
            <w:shd w:val="clear" w:color="auto" w:fill="auto"/>
            <w:hideMark/>
          </w:tcPr>
          <w:p w14:paraId="690126B1" w14:textId="77777777" w:rsidR="00B70A28" w:rsidRPr="0041136F" w:rsidRDefault="00B70A28" w:rsidP="00951DA9">
            <w:pPr>
              <w:jc w:val="center"/>
              <w:rPr>
                <w:rFonts w:ascii="Times New Roman" w:eastAsia="Times New Roman" w:hAnsi="Times New Roman" w:cs="Times New Roman"/>
                <w:sz w:val="24"/>
                <w:szCs w:val="24"/>
                <w:lang w:eastAsia="en-AU"/>
              </w:rPr>
            </w:pPr>
            <w:r w:rsidRPr="004A43AC">
              <w:t>361</w:t>
            </w:r>
          </w:p>
        </w:tc>
        <w:tc>
          <w:tcPr>
            <w:tcW w:w="1531" w:type="dxa"/>
            <w:shd w:val="clear" w:color="auto" w:fill="auto"/>
          </w:tcPr>
          <w:p w14:paraId="6C364F41" w14:textId="77777777" w:rsidR="00B70A28" w:rsidRPr="0041136F" w:rsidRDefault="00B70A28" w:rsidP="00951DA9">
            <w:pPr>
              <w:jc w:val="center"/>
              <w:rPr>
                <w:rFonts w:ascii="Times New Roman" w:eastAsia="Times New Roman" w:hAnsi="Times New Roman" w:cs="Times New Roman"/>
                <w:sz w:val="24"/>
                <w:szCs w:val="24"/>
                <w:lang w:eastAsia="en-AU"/>
              </w:rPr>
            </w:pPr>
            <w:r w:rsidRPr="004A43AC">
              <w:t>212</w:t>
            </w:r>
          </w:p>
        </w:tc>
        <w:tc>
          <w:tcPr>
            <w:tcW w:w="1644" w:type="dxa"/>
            <w:shd w:val="clear" w:color="auto" w:fill="auto"/>
          </w:tcPr>
          <w:p w14:paraId="7A8B7396" w14:textId="77777777" w:rsidR="00B70A28" w:rsidRDefault="00B70A28" w:rsidP="00951DA9">
            <w:pPr>
              <w:jc w:val="center"/>
              <w:rPr>
                <w:rFonts w:ascii="Calibri" w:eastAsia="Times New Roman" w:hAnsi="Calibri" w:cs="Calibri"/>
                <w:lang w:eastAsia="en-AU"/>
              </w:rPr>
            </w:pPr>
            <w:r w:rsidRPr="004A43AC">
              <w:t>76</w:t>
            </w:r>
          </w:p>
        </w:tc>
        <w:tc>
          <w:tcPr>
            <w:tcW w:w="1645" w:type="dxa"/>
            <w:shd w:val="clear" w:color="auto" w:fill="auto"/>
            <w:hideMark/>
          </w:tcPr>
          <w:p w14:paraId="52DE2ED0" w14:textId="77777777" w:rsidR="00B70A28" w:rsidRPr="0041136F" w:rsidRDefault="00B70A28" w:rsidP="00951DA9">
            <w:pPr>
              <w:jc w:val="center"/>
              <w:rPr>
                <w:rFonts w:ascii="Times New Roman" w:eastAsia="Times New Roman" w:hAnsi="Times New Roman" w:cs="Times New Roman"/>
                <w:sz w:val="24"/>
                <w:szCs w:val="24"/>
                <w:lang w:eastAsia="en-AU"/>
              </w:rPr>
            </w:pPr>
            <w:r w:rsidRPr="004A43AC">
              <w:t>61</w:t>
            </w:r>
          </w:p>
        </w:tc>
      </w:tr>
      <w:tr w:rsidR="00B70A28" w:rsidRPr="0041136F" w14:paraId="4E60949C" w14:textId="77777777" w:rsidTr="00951DA9">
        <w:trPr>
          <w:trHeight w:val="300"/>
        </w:trPr>
        <w:tc>
          <w:tcPr>
            <w:tcW w:w="2268" w:type="dxa"/>
            <w:tcBorders>
              <w:bottom w:val="single" w:sz="4" w:space="0" w:color="auto"/>
            </w:tcBorders>
            <w:shd w:val="clear" w:color="auto" w:fill="auto"/>
            <w:vAlign w:val="bottom"/>
            <w:hideMark/>
          </w:tcPr>
          <w:p w14:paraId="6D572F0E" w14:textId="77777777" w:rsidR="00B70A28" w:rsidRPr="0041136F" w:rsidRDefault="00B70A28" w:rsidP="00951DA9">
            <w:pPr>
              <w:rPr>
                <w:rFonts w:ascii="Times New Roman" w:eastAsia="Times New Roman" w:hAnsi="Times New Roman" w:cs="Times New Roman"/>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 </w:t>
            </w:r>
          </w:p>
        </w:tc>
        <w:tc>
          <w:tcPr>
            <w:tcW w:w="1560" w:type="dxa"/>
            <w:tcBorders>
              <w:bottom w:val="single" w:sz="4" w:space="0" w:color="auto"/>
            </w:tcBorders>
            <w:shd w:val="clear" w:color="auto" w:fill="auto"/>
            <w:hideMark/>
          </w:tcPr>
          <w:p w14:paraId="44B50ADF" w14:textId="77777777" w:rsidR="00B70A28" w:rsidRPr="0041136F" w:rsidRDefault="00B70A28" w:rsidP="00951DA9">
            <w:pPr>
              <w:jc w:val="center"/>
              <w:rPr>
                <w:rFonts w:ascii="Times New Roman" w:eastAsia="Times New Roman" w:hAnsi="Times New Roman" w:cs="Times New Roman"/>
                <w:sz w:val="24"/>
                <w:szCs w:val="24"/>
                <w:lang w:eastAsia="en-AU"/>
              </w:rPr>
            </w:pPr>
            <w:r w:rsidRPr="00EE4DD2">
              <w:t>$451</w:t>
            </w:r>
          </w:p>
        </w:tc>
        <w:tc>
          <w:tcPr>
            <w:tcW w:w="1842" w:type="dxa"/>
            <w:tcBorders>
              <w:bottom w:val="single" w:sz="4" w:space="0" w:color="auto"/>
            </w:tcBorders>
            <w:shd w:val="clear" w:color="auto" w:fill="auto"/>
            <w:hideMark/>
          </w:tcPr>
          <w:p w14:paraId="706EDE4E" w14:textId="77777777" w:rsidR="00B70A28" w:rsidRPr="0041136F" w:rsidRDefault="00B70A28" w:rsidP="00951DA9">
            <w:pPr>
              <w:jc w:val="center"/>
              <w:rPr>
                <w:rFonts w:ascii="Times New Roman" w:eastAsia="Times New Roman" w:hAnsi="Times New Roman" w:cs="Times New Roman"/>
                <w:sz w:val="24"/>
                <w:szCs w:val="24"/>
                <w:lang w:eastAsia="en-AU"/>
              </w:rPr>
            </w:pPr>
            <w:r w:rsidRPr="00EE4DD2">
              <w:t>$268</w:t>
            </w:r>
          </w:p>
        </w:tc>
        <w:tc>
          <w:tcPr>
            <w:tcW w:w="1531" w:type="dxa"/>
            <w:tcBorders>
              <w:bottom w:val="single" w:sz="4" w:space="0" w:color="auto"/>
            </w:tcBorders>
            <w:shd w:val="clear" w:color="auto" w:fill="auto"/>
          </w:tcPr>
          <w:p w14:paraId="6853599C" w14:textId="77777777" w:rsidR="00B70A28" w:rsidRPr="0041136F" w:rsidRDefault="00B70A28" w:rsidP="00951DA9">
            <w:pPr>
              <w:jc w:val="center"/>
              <w:rPr>
                <w:rFonts w:ascii="Times New Roman" w:eastAsia="Times New Roman" w:hAnsi="Times New Roman" w:cs="Times New Roman"/>
                <w:sz w:val="24"/>
                <w:szCs w:val="24"/>
                <w:lang w:eastAsia="en-AU"/>
              </w:rPr>
            </w:pPr>
            <w:r w:rsidRPr="00EE4DD2">
              <w:t xml:space="preserve">$676 </w:t>
            </w:r>
          </w:p>
        </w:tc>
        <w:tc>
          <w:tcPr>
            <w:tcW w:w="1644" w:type="dxa"/>
            <w:tcBorders>
              <w:bottom w:val="single" w:sz="4" w:space="0" w:color="auto"/>
            </w:tcBorders>
            <w:shd w:val="clear" w:color="auto" w:fill="auto"/>
          </w:tcPr>
          <w:p w14:paraId="60A19880" w14:textId="77777777" w:rsidR="00B70A28" w:rsidRPr="0041136F" w:rsidRDefault="00B70A28" w:rsidP="00951DA9">
            <w:pPr>
              <w:jc w:val="center"/>
              <w:rPr>
                <w:rFonts w:ascii="Calibri" w:eastAsia="Times New Roman" w:hAnsi="Calibri" w:cs="Calibri"/>
                <w:lang w:eastAsia="en-AU"/>
              </w:rPr>
            </w:pPr>
            <w:r w:rsidRPr="00EE4DD2">
              <w:t>$68</w:t>
            </w:r>
          </w:p>
        </w:tc>
        <w:tc>
          <w:tcPr>
            <w:tcW w:w="1645" w:type="dxa"/>
            <w:tcBorders>
              <w:bottom w:val="single" w:sz="4" w:space="0" w:color="auto"/>
            </w:tcBorders>
            <w:shd w:val="clear" w:color="auto" w:fill="auto"/>
            <w:hideMark/>
          </w:tcPr>
          <w:p w14:paraId="326456BE" w14:textId="77777777" w:rsidR="00B70A28" w:rsidRPr="0041136F" w:rsidRDefault="00B70A28" w:rsidP="00951DA9">
            <w:pPr>
              <w:jc w:val="center"/>
              <w:rPr>
                <w:rFonts w:ascii="Times New Roman" w:eastAsia="Times New Roman" w:hAnsi="Times New Roman" w:cs="Times New Roman"/>
                <w:sz w:val="24"/>
                <w:szCs w:val="24"/>
                <w:lang w:eastAsia="en-AU"/>
              </w:rPr>
            </w:pPr>
            <w:r w:rsidRPr="00EE4DD2">
              <w:t>$27</w:t>
            </w:r>
          </w:p>
        </w:tc>
      </w:tr>
    </w:tbl>
    <w:p w14:paraId="6A31F97D" w14:textId="77777777" w:rsidR="00B70A28" w:rsidRDefault="00B70A28" w:rsidP="00951DA9">
      <w:pPr>
        <w:pStyle w:val="Heading5"/>
        <w:spacing w:before="0"/>
        <w:rPr>
          <w:i/>
          <w:lang w:eastAsia="en-AU"/>
        </w:rPr>
      </w:pPr>
    </w:p>
    <w:p w14:paraId="1A3D21EE" w14:textId="77777777" w:rsidR="00B70A28" w:rsidRDefault="00B70A28">
      <w:pPr>
        <w:rPr>
          <w:rFonts w:asciiTheme="majorHAnsi" w:eastAsiaTheme="majorEastAsia" w:hAnsiTheme="majorHAnsi" w:cstheme="majorBidi"/>
          <w:iCs/>
          <w:color w:val="ED7D31" w:themeColor="accent2"/>
          <w:szCs w:val="24"/>
          <w:lang w:eastAsia="en-AU"/>
        </w:rPr>
      </w:pPr>
      <w:r>
        <w:rPr>
          <w:i/>
          <w:lang w:eastAsia="en-AU"/>
        </w:rPr>
        <w:br w:type="page"/>
      </w:r>
    </w:p>
    <w:p w14:paraId="364B620E" w14:textId="77777777" w:rsidR="00B70A28" w:rsidRDefault="00B70A28" w:rsidP="00951DA9">
      <w:pPr>
        <w:pStyle w:val="Heading5"/>
        <w:rPr>
          <w:i/>
          <w:lang w:eastAsia="en-AU"/>
        </w:rPr>
      </w:pPr>
      <w:r>
        <w:rPr>
          <w:lang w:eastAsia="en-AU"/>
        </w:rPr>
        <w:lastRenderedPageBreak/>
        <w:t xml:space="preserve">Table 9: </w:t>
      </w:r>
      <w:r w:rsidRPr="00E64C42">
        <w:rPr>
          <w:lang w:eastAsia="en-AU"/>
        </w:rPr>
        <w:t>Comparison by sector – SA &amp; NT**</w:t>
      </w:r>
    </w:p>
    <w:tbl>
      <w:tblPr>
        <w:tblW w:w="10490"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1644"/>
        <w:gridCol w:w="1645"/>
      </w:tblGrid>
      <w:tr w:rsidR="00B70A28" w:rsidRPr="0041136F" w14:paraId="51FFDECA" w14:textId="77777777" w:rsidTr="00951DA9">
        <w:trPr>
          <w:trHeight w:val="300"/>
        </w:trPr>
        <w:tc>
          <w:tcPr>
            <w:tcW w:w="2268" w:type="dxa"/>
            <w:shd w:val="clear" w:color="auto" w:fill="auto"/>
            <w:vAlign w:val="bottom"/>
            <w:hideMark/>
          </w:tcPr>
          <w:p w14:paraId="04FD8E94" w14:textId="0EF982D4" w:rsidR="00B70A28" w:rsidRPr="0041136F" w:rsidRDefault="00B70A28" w:rsidP="00951DA9">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0E536EED"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31D3458D"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112008B1"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Agriculture</w:t>
            </w:r>
          </w:p>
        </w:tc>
        <w:tc>
          <w:tcPr>
            <w:tcW w:w="1644" w:type="dxa"/>
            <w:shd w:val="clear" w:color="auto" w:fill="auto"/>
            <w:vAlign w:val="center"/>
          </w:tcPr>
          <w:p w14:paraId="14FA394F" w14:textId="77777777" w:rsidR="00B70A28" w:rsidRPr="0041136F" w:rsidRDefault="00B70A28" w:rsidP="00951DA9">
            <w:pPr>
              <w:pStyle w:val="TableHeading"/>
              <w:jc w:val="center"/>
              <w:rPr>
                <w:lang w:eastAsia="en-AU"/>
              </w:rPr>
            </w:pPr>
            <w:r w:rsidRPr="79E4B837">
              <w:rPr>
                <w:lang w:eastAsia="en-AU"/>
              </w:rPr>
              <w:t>Mining</w:t>
            </w:r>
          </w:p>
        </w:tc>
        <w:tc>
          <w:tcPr>
            <w:tcW w:w="1645" w:type="dxa"/>
            <w:shd w:val="clear" w:color="auto" w:fill="auto"/>
            <w:vAlign w:val="center"/>
            <w:hideMark/>
          </w:tcPr>
          <w:p w14:paraId="5E75385B"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E,G,W &amp; WS*</w:t>
            </w:r>
          </w:p>
        </w:tc>
      </w:tr>
      <w:tr w:rsidR="00B70A28" w:rsidRPr="0041136F" w14:paraId="03B4C820" w14:textId="77777777" w:rsidTr="00951DA9">
        <w:trPr>
          <w:trHeight w:val="300"/>
        </w:trPr>
        <w:tc>
          <w:tcPr>
            <w:tcW w:w="2268" w:type="dxa"/>
            <w:shd w:val="clear" w:color="auto" w:fill="auto"/>
            <w:vAlign w:val="bottom"/>
            <w:hideMark/>
          </w:tcPr>
          <w:p w14:paraId="6012BC27" w14:textId="77777777" w:rsidR="00B70A28" w:rsidRPr="0041136F" w:rsidRDefault="00B70A28" w:rsidP="00951DA9">
            <w:pP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Number of Registrations </w:t>
            </w:r>
          </w:p>
        </w:tc>
        <w:tc>
          <w:tcPr>
            <w:tcW w:w="1560" w:type="dxa"/>
            <w:shd w:val="clear" w:color="auto" w:fill="auto"/>
            <w:hideMark/>
          </w:tcPr>
          <w:p w14:paraId="49C91D07" w14:textId="77777777" w:rsidR="00B70A28" w:rsidRPr="0041136F" w:rsidRDefault="00B70A28" w:rsidP="00951DA9">
            <w:pPr>
              <w:jc w:val="center"/>
              <w:rPr>
                <w:rFonts w:ascii="Times New Roman" w:eastAsia="Times New Roman" w:hAnsi="Times New Roman" w:cs="Times New Roman"/>
                <w:sz w:val="24"/>
                <w:szCs w:val="24"/>
                <w:lang w:eastAsia="en-AU"/>
              </w:rPr>
            </w:pPr>
            <w:r w:rsidRPr="00C90928">
              <w:t>324</w:t>
            </w:r>
          </w:p>
        </w:tc>
        <w:tc>
          <w:tcPr>
            <w:tcW w:w="1842" w:type="dxa"/>
            <w:shd w:val="clear" w:color="auto" w:fill="auto"/>
            <w:hideMark/>
          </w:tcPr>
          <w:p w14:paraId="436B6EDC" w14:textId="77777777" w:rsidR="00B70A28" w:rsidRPr="0041136F" w:rsidRDefault="00B70A28" w:rsidP="00951DA9">
            <w:pPr>
              <w:jc w:val="center"/>
              <w:rPr>
                <w:rFonts w:ascii="Times New Roman" w:eastAsia="Times New Roman" w:hAnsi="Times New Roman" w:cs="Times New Roman"/>
                <w:sz w:val="24"/>
                <w:szCs w:val="24"/>
                <w:lang w:eastAsia="en-AU"/>
              </w:rPr>
            </w:pPr>
            <w:r w:rsidRPr="00C90928">
              <w:t>224</w:t>
            </w:r>
          </w:p>
        </w:tc>
        <w:tc>
          <w:tcPr>
            <w:tcW w:w="1531" w:type="dxa"/>
            <w:shd w:val="clear" w:color="auto" w:fill="auto"/>
          </w:tcPr>
          <w:p w14:paraId="0B88B52F" w14:textId="77777777" w:rsidR="00B70A28" w:rsidRPr="0041136F" w:rsidRDefault="00B70A28" w:rsidP="00951DA9">
            <w:pPr>
              <w:jc w:val="center"/>
              <w:rPr>
                <w:rFonts w:ascii="Times New Roman" w:eastAsia="Times New Roman" w:hAnsi="Times New Roman" w:cs="Times New Roman"/>
                <w:sz w:val="24"/>
                <w:szCs w:val="24"/>
                <w:lang w:eastAsia="en-AU"/>
              </w:rPr>
            </w:pPr>
            <w:r w:rsidRPr="00C90928">
              <w:t>50</w:t>
            </w:r>
          </w:p>
        </w:tc>
        <w:tc>
          <w:tcPr>
            <w:tcW w:w="1644" w:type="dxa"/>
            <w:shd w:val="clear" w:color="auto" w:fill="auto"/>
          </w:tcPr>
          <w:p w14:paraId="169B7596" w14:textId="77777777" w:rsidR="00B70A28" w:rsidRDefault="00B70A28" w:rsidP="00951DA9">
            <w:pPr>
              <w:jc w:val="center"/>
              <w:rPr>
                <w:rFonts w:ascii="Calibri" w:eastAsia="Times New Roman" w:hAnsi="Calibri" w:cs="Calibri"/>
                <w:lang w:eastAsia="en-AU"/>
              </w:rPr>
            </w:pPr>
            <w:r w:rsidRPr="00C90928">
              <w:t>21</w:t>
            </w:r>
          </w:p>
        </w:tc>
        <w:tc>
          <w:tcPr>
            <w:tcW w:w="1645" w:type="dxa"/>
            <w:shd w:val="clear" w:color="auto" w:fill="auto"/>
            <w:hideMark/>
          </w:tcPr>
          <w:p w14:paraId="64FAC718" w14:textId="77777777" w:rsidR="00B70A28" w:rsidRPr="0041136F" w:rsidRDefault="00B70A28" w:rsidP="00951DA9">
            <w:pPr>
              <w:jc w:val="center"/>
              <w:rPr>
                <w:rFonts w:ascii="Times New Roman" w:eastAsia="Times New Roman" w:hAnsi="Times New Roman" w:cs="Times New Roman"/>
                <w:sz w:val="24"/>
                <w:szCs w:val="24"/>
                <w:lang w:eastAsia="en-AU"/>
              </w:rPr>
            </w:pPr>
            <w:r w:rsidRPr="00C90928">
              <w:t>18</w:t>
            </w:r>
          </w:p>
        </w:tc>
      </w:tr>
      <w:tr w:rsidR="00B70A28" w:rsidRPr="0041136F" w14:paraId="7465194A" w14:textId="77777777" w:rsidTr="00951DA9">
        <w:trPr>
          <w:trHeight w:val="300"/>
        </w:trPr>
        <w:tc>
          <w:tcPr>
            <w:tcW w:w="2268" w:type="dxa"/>
            <w:tcBorders>
              <w:bottom w:val="single" w:sz="4" w:space="0" w:color="auto"/>
            </w:tcBorders>
            <w:shd w:val="clear" w:color="auto" w:fill="auto"/>
            <w:vAlign w:val="bottom"/>
            <w:hideMark/>
          </w:tcPr>
          <w:p w14:paraId="496E3663" w14:textId="77777777" w:rsidR="00B70A28" w:rsidRPr="0041136F" w:rsidRDefault="00B70A28" w:rsidP="00951DA9">
            <w:pPr>
              <w:rPr>
                <w:rFonts w:ascii="Times New Roman" w:eastAsia="Times New Roman" w:hAnsi="Times New Roman" w:cs="Times New Roman"/>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 </w:t>
            </w:r>
          </w:p>
        </w:tc>
        <w:tc>
          <w:tcPr>
            <w:tcW w:w="1560" w:type="dxa"/>
            <w:tcBorders>
              <w:bottom w:val="single" w:sz="4" w:space="0" w:color="auto"/>
            </w:tcBorders>
            <w:shd w:val="clear" w:color="auto" w:fill="auto"/>
            <w:hideMark/>
          </w:tcPr>
          <w:p w14:paraId="242947BD" w14:textId="77777777" w:rsidR="00B70A28" w:rsidRPr="0041136F" w:rsidRDefault="00B70A28" w:rsidP="00951DA9">
            <w:pPr>
              <w:jc w:val="center"/>
              <w:rPr>
                <w:rFonts w:ascii="Times New Roman" w:eastAsia="Times New Roman" w:hAnsi="Times New Roman" w:cs="Times New Roman"/>
                <w:sz w:val="24"/>
                <w:szCs w:val="24"/>
                <w:lang w:eastAsia="en-AU"/>
              </w:rPr>
            </w:pPr>
            <w:r w:rsidRPr="00297410">
              <w:t>$235</w:t>
            </w:r>
          </w:p>
        </w:tc>
        <w:tc>
          <w:tcPr>
            <w:tcW w:w="1842" w:type="dxa"/>
            <w:tcBorders>
              <w:bottom w:val="single" w:sz="4" w:space="0" w:color="auto"/>
            </w:tcBorders>
            <w:shd w:val="clear" w:color="auto" w:fill="auto"/>
            <w:hideMark/>
          </w:tcPr>
          <w:p w14:paraId="5EB1D3FB" w14:textId="77777777" w:rsidR="00B70A28" w:rsidRPr="0041136F" w:rsidRDefault="00B70A28" w:rsidP="00951DA9">
            <w:pPr>
              <w:jc w:val="center"/>
              <w:rPr>
                <w:rFonts w:ascii="Times New Roman" w:eastAsia="Times New Roman" w:hAnsi="Times New Roman" w:cs="Times New Roman"/>
                <w:sz w:val="24"/>
                <w:szCs w:val="24"/>
                <w:lang w:eastAsia="en-AU"/>
              </w:rPr>
            </w:pPr>
            <w:r w:rsidRPr="00297410">
              <w:t>$182</w:t>
            </w:r>
          </w:p>
        </w:tc>
        <w:tc>
          <w:tcPr>
            <w:tcW w:w="1531" w:type="dxa"/>
            <w:tcBorders>
              <w:bottom w:val="single" w:sz="4" w:space="0" w:color="auto"/>
            </w:tcBorders>
            <w:shd w:val="clear" w:color="auto" w:fill="auto"/>
          </w:tcPr>
          <w:p w14:paraId="671E3878" w14:textId="77777777" w:rsidR="00B70A28" w:rsidRPr="0041136F" w:rsidRDefault="00B70A28" w:rsidP="00951DA9">
            <w:pPr>
              <w:jc w:val="center"/>
              <w:rPr>
                <w:rFonts w:ascii="Times New Roman" w:eastAsia="Times New Roman" w:hAnsi="Times New Roman" w:cs="Times New Roman"/>
                <w:sz w:val="24"/>
                <w:szCs w:val="24"/>
                <w:lang w:eastAsia="en-AU"/>
              </w:rPr>
            </w:pPr>
            <w:r w:rsidRPr="00297410">
              <w:t xml:space="preserve">$58 </w:t>
            </w:r>
          </w:p>
        </w:tc>
        <w:tc>
          <w:tcPr>
            <w:tcW w:w="1644" w:type="dxa"/>
            <w:tcBorders>
              <w:bottom w:val="single" w:sz="4" w:space="0" w:color="auto"/>
            </w:tcBorders>
            <w:shd w:val="clear" w:color="auto" w:fill="auto"/>
          </w:tcPr>
          <w:p w14:paraId="0D695034" w14:textId="77777777" w:rsidR="00B70A28" w:rsidRPr="0041136F" w:rsidRDefault="00B70A28" w:rsidP="00951DA9">
            <w:pPr>
              <w:jc w:val="center"/>
              <w:rPr>
                <w:rFonts w:ascii="Calibri" w:eastAsia="Times New Roman" w:hAnsi="Calibri" w:cs="Calibri"/>
                <w:lang w:eastAsia="en-AU"/>
              </w:rPr>
            </w:pPr>
            <w:r w:rsidRPr="00297410">
              <w:t>$56</w:t>
            </w:r>
          </w:p>
        </w:tc>
        <w:tc>
          <w:tcPr>
            <w:tcW w:w="1645" w:type="dxa"/>
            <w:tcBorders>
              <w:bottom w:val="single" w:sz="4" w:space="0" w:color="auto"/>
            </w:tcBorders>
            <w:shd w:val="clear" w:color="auto" w:fill="auto"/>
            <w:hideMark/>
          </w:tcPr>
          <w:p w14:paraId="1C3690FE" w14:textId="77777777" w:rsidR="00B70A28" w:rsidRPr="0041136F" w:rsidRDefault="00B70A28" w:rsidP="00951DA9">
            <w:pPr>
              <w:jc w:val="center"/>
              <w:rPr>
                <w:rFonts w:ascii="Times New Roman" w:eastAsia="Times New Roman" w:hAnsi="Times New Roman" w:cs="Times New Roman"/>
                <w:sz w:val="24"/>
                <w:szCs w:val="24"/>
                <w:lang w:eastAsia="en-AU"/>
              </w:rPr>
            </w:pPr>
            <w:r w:rsidRPr="00297410">
              <w:t>$6</w:t>
            </w:r>
          </w:p>
        </w:tc>
      </w:tr>
    </w:tbl>
    <w:p w14:paraId="658834DA" w14:textId="77777777" w:rsidR="00B70A28" w:rsidRPr="00E64C42" w:rsidRDefault="00B70A28" w:rsidP="00951DA9">
      <w:pPr>
        <w:pStyle w:val="Heading5"/>
        <w:rPr>
          <w:i/>
          <w:lang w:eastAsia="en-AU"/>
        </w:rPr>
      </w:pPr>
      <w:r>
        <w:rPr>
          <w:lang w:eastAsia="en-AU"/>
        </w:rPr>
        <w:t xml:space="preserve">Table 10: </w:t>
      </w:r>
      <w:r w:rsidRPr="00E64C42">
        <w:rPr>
          <w:lang w:eastAsia="en-AU"/>
        </w:rPr>
        <w:t>Comparison by sector – ACT  </w:t>
      </w: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4678"/>
      </w:tblGrid>
      <w:tr w:rsidR="00B70A28" w:rsidRPr="0041136F" w14:paraId="007D816E" w14:textId="77777777" w:rsidTr="00951DA9">
        <w:trPr>
          <w:trHeight w:val="300"/>
        </w:trPr>
        <w:tc>
          <w:tcPr>
            <w:tcW w:w="2268" w:type="dxa"/>
            <w:shd w:val="clear" w:color="auto" w:fill="auto"/>
            <w:vAlign w:val="bottom"/>
            <w:hideMark/>
          </w:tcPr>
          <w:p w14:paraId="35606A89" w14:textId="77777777" w:rsidR="00B70A28" w:rsidRPr="0041136F" w:rsidRDefault="00B70A28" w:rsidP="00951DA9">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4EE3CD5B"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1449EFC2"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Manufacturing</w:t>
            </w:r>
          </w:p>
        </w:tc>
        <w:tc>
          <w:tcPr>
            <w:tcW w:w="4678" w:type="dxa"/>
            <w:shd w:val="clear" w:color="auto" w:fill="auto"/>
            <w:vAlign w:val="center"/>
          </w:tcPr>
          <w:p w14:paraId="737F94D4"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Agriculture</w:t>
            </w:r>
            <w:r>
              <w:rPr>
                <w:lang w:eastAsia="en-AU"/>
              </w:rPr>
              <w:t>, MINING** and e,g,w &amp; ws*</w:t>
            </w:r>
          </w:p>
        </w:tc>
      </w:tr>
      <w:tr w:rsidR="00B70A28" w:rsidRPr="0041136F" w14:paraId="03941039" w14:textId="77777777" w:rsidTr="00951DA9">
        <w:trPr>
          <w:trHeight w:val="300"/>
        </w:trPr>
        <w:tc>
          <w:tcPr>
            <w:tcW w:w="2268" w:type="dxa"/>
            <w:shd w:val="clear" w:color="auto" w:fill="auto"/>
            <w:vAlign w:val="bottom"/>
            <w:hideMark/>
          </w:tcPr>
          <w:p w14:paraId="69DB088A" w14:textId="77777777" w:rsidR="00B70A28" w:rsidRPr="0041136F" w:rsidRDefault="00B70A28" w:rsidP="00951DA9">
            <w:pP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Number of Registrations </w:t>
            </w:r>
          </w:p>
        </w:tc>
        <w:tc>
          <w:tcPr>
            <w:tcW w:w="1560" w:type="dxa"/>
            <w:shd w:val="clear" w:color="auto" w:fill="auto"/>
            <w:hideMark/>
          </w:tcPr>
          <w:p w14:paraId="12E37D17" w14:textId="77777777" w:rsidR="00B70A28" w:rsidRPr="0041136F" w:rsidRDefault="00B70A28" w:rsidP="00951DA9">
            <w:pPr>
              <w:jc w:val="center"/>
              <w:rPr>
                <w:rFonts w:ascii="Times New Roman" w:eastAsia="Times New Roman" w:hAnsi="Times New Roman" w:cs="Times New Roman"/>
                <w:sz w:val="24"/>
                <w:szCs w:val="24"/>
                <w:lang w:eastAsia="en-AU"/>
              </w:rPr>
            </w:pPr>
            <w:r w:rsidRPr="008826A8">
              <w:t>143</w:t>
            </w:r>
          </w:p>
        </w:tc>
        <w:tc>
          <w:tcPr>
            <w:tcW w:w="1842" w:type="dxa"/>
            <w:shd w:val="clear" w:color="auto" w:fill="auto"/>
            <w:hideMark/>
          </w:tcPr>
          <w:p w14:paraId="3C4289F6" w14:textId="77777777" w:rsidR="00B70A28" w:rsidRPr="0041136F" w:rsidRDefault="00B70A28" w:rsidP="00951DA9">
            <w:pPr>
              <w:jc w:val="center"/>
              <w:rPr>
                <w:rFonts w:ascii="Times New Roman" w:eastAsia="Times New Roman" w:hAnsi="Times New Roman" w:cs="Times New Roman"/>
                <w:sz w:val="24"/>
                <w:szCs w:val="24"/>
                <w:lang w:eastAsia="en-AU"/>
              </w:rPr>
            </w:pPr>
            <w:r w:rsidRPr="008826A8">
              <w:t>20</w:t>
            </w:r>
          </w:p>
        </w:tc>
        <w:tc>
          <w:tcPr>
            <w:tcW w:w="4678" w:type="dxa"/>
            <w:shd w:val="clear" w:color="auto" w:fill="auto"/>
          </w:tcPr>
          <w:p w14:paraId="5FB37B75" w14:textId="77777777" w:rsidR="00B70A28" w:rsidRPr="0041136F" w:rsidRDefault="00B70A28" w:rsidP="00951DA9">
            <w:pPr>
              <w:jc w:val="center"/>
              <w:rPr>
                <w:rFonts w:ascii="Times New Roman" w:eastAsia="Times New Roman" w:hAnsi="Times New Roman" w:cs="Times New Roman"/>
                <w:sz w:val="24"/>
                <w:szCs w:val="24"/>
                <w:lang w:eastAsia="en-AU"/>
              </w:rPr>
            </w:pPr>
            <w:r w:rsidRPr="008826A8">
              <w:t>10</w:t>
            </w:r>
          </w:p>
        </w:tc>
      </w:tr>
      <w:tr w:rsidR="00B70A28" w:rsidRPr="0041136F" w14:paraId="4DFEB7E0" w14:textId="77777777" w:rsidTr="00951DA9">
        <w:trPr>
          <w:trHeight w:val="300"/>
        </w:trPr>
        <w:tc>
          <w:tcPr>
            <w:tcW w:w="2268" w:type="dxa"/>
            <w:tcBorders>
              <w:bottom w:val="single" w:sz="4" w:space="0" w:color="auto"/>
            </w:tcBorders>
            <w:shd w:val="clear" w:color="auto" w:fill="auto"/>
            <w:vAlign w:val="bottom"/>
            <w:hideMark/>
          </w:tcPr>
          <w:p w14:paraId="623F1094" w14:textId="77777777" w:rsidR="00B70A28" w:rsidRPr="0041136F" w:rsidRDefault="00B70A28" w:rsidP="00951DA9">
            <w:pPr>
              <w:rPr>
                <w:rFonts w:ascii="Times New Roman" w:eastAsia="Times New Roman" w:hAnsi="Times New Roman" w:cs="Times New Roman"/>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 </w:t>
            </w:r>
          </w:p>
        </w:tc>
        <w:tc>
          <w:tcPr>
            <w:tcW w:w="1560" w:type="dxa"/>
            <w:tcBorders>
              <w:bottom w:val="single" w:sz="4" w:space="0" w:color="auto"/>
            </w:tcBorders>
            <w:shd w:val="clear" w:color="auto" w:fill="auto"/>
            <w:hideMark/>
          </w:tcPr>
          <w:p w14:paraId="286BEE9C" w14:textId="77777777" w:rsidR="00B70A28" w:rsidRPr="0041136F" w:rsidRDefault="00B70A28" w:rsidP="00951DA9">
            <w:pPr>
              <w:jc w:val="center"/>
              <w:rPr>
                <w:rFonts w:ascii="Times New Roman" w:eastAsia="Times New Roman" w:hAnsi="Times New Roman" w:cs="Times New Roman"/>
                <w:sz w:val="24"/>
                <w:szCs w:val="24"/>
                <w:lang w:eastAsia="en-AU"/>
              </w:rPr>
            </w:pPr>
            <w:r>
              <w:t>$103</w:t>
            </w:r>
          </w:p>
        </w:tc>
        <w:tc>
          <w:tcPr>
            <w:tcW w:w="1842" w:type="dxa"/>
            <w:tcBorders>
              <w:bottom w:val="single" w:sz="4" w:space="0" w:color="auto"/>
            </w:tcBorders>
            <w:shd w:val="clear" w:color="auto" w:fill="auto"/>
            <w:hideMark/>
          </w:tcPr>
          <w:p w14:paraId="4FAD9F47" w14:textId="77777777" w:rsidR="00B70A28" w:rsidRPr="0041136F" w:rsidRDefault="00B70A28" w:rsidP="00951DA9">
            <w:pPr>
              <w:jc w:val="center"/>
              <w:rPr>
                <w:rFonts w:ascii="Times New Roman" w:eastAsia="Times New Roman" w:hAnsi="Times New Roman" w:cs="Times New Roman"/>
                <w:sz w:val="24"/>
                <w:szCs w:val="24"/>
                <w:lang w:eastAsia="en-AU"/>
              </w:rPr>
            </w:pPr>
            <w:r>
              <w:t>$38</w:t>
            </w:r>
          </w:p>
        </w:tc>
        <w:tc>
          <w:tcPr>
            <w:tcW w:w="4678" w:type="dxa"/>
            <w:tcBorders>
              <w:bottom w:val="single" w:sz="4" w:space="0" w:color="auto"/>
            </w:tcBorders>
            <w:shd w:val="clear" w:color="auto" w:fill="auto"/>
          </w:tcPr>
          <w:p w14:paraId="52C44101" w14:textId="77777777" w:rsidR="00B70A28" w:rsidRPr="0041136F" w:rsidRDefault="00B70A28" w:rsidP="00951DA9">
            <w:pPr>
              <w:jc w:val="center"/>
              <w:rPr>
                <w:rFonts w:ascii="Times New Roman" w:eastAsia="Times New Roman" w:hAnsi="Times New Roman" w:cs="Times New Roman"/>
                <w:sz w:val="24"/>
                <w:szCs w:val="24"/>
                <w:lang w:eastAsia="en-AU"/>
              </w:rPr>
            </w:pPr>
            <w:r>
              <w:t>$6</w:t>
            </w:r>
          </w:p>
        </w:tc>
      </w:tr>
    </w:tbl>
    <w:p w14:paraId="3FE0F786" w14:textId="77777777" w:rsidR="00B70A28" w:rsidRPr="00E64C42" w:rsidRDefault="00B70A28" w:rsidP="00951DA9">
      <w:pPr>
        <w:pStyle w:val="Heading5"/>
        <w:rPr>
          <w:i/>
          <w:lang w:eastAsia="en-AU"/>
        </w:rPr>
      </w:pPr>
      <w:r>
        <w:rPr>
          <w:lang w:eastAsia="en-AU"/>
        </w:rPr>
        <w:t xml:space="preserve">Table 11: </w:t>
      </w:r>
      <w:r w:rsidRPr="00E64C42">
        <w:rPr>
          <w:lang w:eastAsia="en-AU"/>
        </w:rPr>
        <w:t xml:space="preserve">Comparison by sector – TAS </w:t>
      </w: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2268"/>
        <w:gridCol w:w="1560"/>
        <w:gridCol w:w="1842"/>
        <w:gridCol w:w="1531"/>
        <w:gridCol w:w="3147"/>
      </w:tblGrid>
      <w:tr w:rsidR="00B70A28" w:rsidRPr="0041136F" w14:paraId="2222974C" w14:textId="77777777" w:rsidTr="00951DA9">
        <w:trPr>
          <w:trHeight w:val="300"/>
        </w:trPr>
        <w:tc>
          <w:tcPr>
            <w:tcW w:w="2268" w:type="dxa"/>
            <w:shd w:val="clear" w:color="auto" w:fill="auto"/>
            <w:vAlign w:val="bottom"/>
            <w:hideMark/>
          </w:tcPr>
          <w:p w14:paraId="34849FC7" w14:textId="77777777" w:rsidR="00B70A28" w:rsidRPr="0041136F" w:rsidRDefault="00B70A28" w:rsidP="00951DA9">
            <w:pPr>
              <w:pStyle w:val="TableHeading"/>
              <w:rPr>
                <w:rFonts w:ascii="Times New Roman" w:hAnsi="Times New Roman" w:cs="Times New Roman"/>
                <w:color w:val="auto"/>
                <w:lang w:eastAsia="en-AU"/>
              </w:rPr>
            </w:pPr>
            <w:r w:rsidRPr="79E4B837">
              <w:rPr>
                <w:lang w:eastAsia="en-AU"/>
              </w:rPr>
              <w:t>  </w:t>
            </w:r>
            <w:r w:rsidRPr="79E4B837">
              <w:rPr>
                <w:color w:val="auto"/>
                <w:lang w:eastAsia="en-AU"/>
              </w:rPr>
              <w:t> </w:t>
            </w:r>
          </w:p>
        </w:tc>
        <w:tc>
          <w:tcPr>
            <w:tcW w:w="1560" w:type="dxa"/>
            <w:shd w:val="clear" w:color="auto" w:fill="auto"/>
            <w:vAlign w:val="center"/>
            <w:hideMark/>
          </w:tcPr>
          <w:p w14:paraId="5EF275CD"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Services</w:t>
            </w:r>
          </w:p>
        </w:tc>
        <w:tc>
          <w:tcPr>
            <w:tcW w:w="1842" w:type="dxa"/>
            <w:shd w:val="clear" w:color="auto" w:fill="auto"/>
            <w:vAlign w:val="center"/>
            <w:hideMark/>
          </w:tcPr>
          <w:p w14:paraId="169E1184"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Manufacturing</w:t>
            </w:r>
          </w:p>
        </w:tc>
        <w:tc>
          <w:tcPr>
            <w:tcW w:w="1531" w:type="dxa"/>
            <w:shd w:val="clear" w:color="auto" w:fill="auto"/>
            <w:vAlign w:val="center"/>
          </w:tcPr>
          <w:p w14:paraId="4912B8D7" w14:textId="77777777" w:rsidR="00B70A28" w:rsidRPr="0041136F" w:rsidRDefault="00B70A28" w:rsidP="00951DA9">
            <w:pPr>
              <w:pStyle w:val="TableHeading"/>
              <w:jc w:val="center"/>
              <w:rPr>
                <w:rFonts w:ascii="Times New Roman" w:hAnsi="Times New Roman" w:cs="Times New Roman"/>
                <w:color w:val="auto"/>
                <w:lang w:eastAsia="en-AU"/>
              </w:rPr>
            </w:pPr>
            <w:r w:rsidRPr="79E4B837">
              <w:rPr>
                <w:lang w:eastAsia="en-AU"/>
              </w:rPr>
              <w:t>Agriculture</w:t>
            </w:r>
          </w:p>
        </w:tc>
        <w:tc>
          <w:tcPr>
            <w:tcW w:w="3147" w:type="dxa"/>
            <w:shd w:val="clear" w:color="auto" w:fill="auto"/>
            <w:vAlign w:val="center"/>
          </w:tcPr>
          <w:p w14:paraId="6E49D94F" w14:textId="77777777" w:rsidR="00B70A28" w:rsidRPr="0041136F" w:rsidRDefault="00B70A28" w:rsidP="00951DA9">
            <w:pPr>
              <w:pStyle w:val="TableHeading"/>
              <w:jc w:val="center"/>
              <w:rPr>
                <w:lang w:eastAsia="en-AU"/>
              </w:rPr>
            </w:pPr>
            <w:r w:rsidRPr="79E4B837">
              <w:rPr>
                <w:lang w:eastAsia="en-AU"/>
              </w:rPr>
              <w:t>Mining</w:t>
            </w:r>
            <w:r>
              <w:rPr>
                <w:lang w:eastAsia="en-AU"/>
              </w:rPr>
              <w:t>** and e,g,w &amp; ws*</w:t>
            </w:r>
          </w:p>
        </w:tc>
      </w:tr>
      <w:tr w:rsidR="00B70A28" w:rsidRPr="0041136F" w14:paraId="589A1767" w14:textId="77777777" w:rsidTr="00951DA9">
        <w:trPr>
          <w:trHeight w:val="300"/>
        </w:trPr>
        <w:tc>
          <w:tcPr>
            <w:tcW w:w="2268" w:type="dxa"/>
            <w:shd w:val="clear" w:color="auto" w:fill="auto"/>
            <w:vAlign w:val="bottom"/>
            <w:hideMark/>
          </w:tcPr>
          <w:p w14:paraId="24131228" w14:textId="77777777" w:rsidR="00B70A28" w:rsidRPr="0041136F" w:rsidRDefault="00B70A28" w:rsidP="00951DA9">
            <w:pPr>
              <w:rPr>
                <w:rFonts w:ascii="Times New Roman" w:eastAsia="Times New Roman" w:hAnsi="Times New Roman" w:cs="Times New Roman"/>
                <w:sz w:val="24"/>
                <w:szCs w:val="24"/>
                <w:lang w:eastAsia="en-AU"/>
              </w:rPr>
            </w:pPr>
            <w:r w:rsidRPr="79E4B837">
              <w:rPr>
                <w:rFonts w:ascii="Calibri" w:eastAsia="Times New Roman" w:hAnsi="Calibri" w:cs="Calibri"/>
                <w:lang w:eastAsia="en-AU"/>
              </w:rPr>
              <w:t>Number of Registrations </w:t>
            </w:r>
          </w:p>
        </w:tc>
        <w:tc>
          <w:tcPr>
            <w:tcW w:w="1560" w:type="dxa"/>
            <w:shd w:val="clear" w:color="auto" w:fill="auto"/>
            <w:hideMark/>
          </w:tcPr>
          <w:p w14:paraId="0AAC5051" w14:textId="77777777" w:rsidR="00B70A28" w:rsidRPr="0041136F" w:rsidRDefault="00B70A28" w:rsidP="00951DA9">
            <w:pPr>
              <w:jc w:val="center"/>
              <w:rPr>
                <w:rFonts w:ascii="Times New Roman" w:eastAsia="Times New Roman" w:hAnsi="Times New Roman" w:cs="Times New Roman"/>
                <w:sz w:val="24"/>
                <w:szCs w:val="24"/>
                <w:lang w:eastAsia="en-AU"/>
              </w:rPr>
            </w:pPr>
            <w:r w:rsidRPr="002D3C89">
              <w:t>49</w:t>
            </w:r>
          </w:p>
        </w:tc>
        <w:tc>
          <w:tcPr>
            <w:tcW w:w="1842" w:type="dxa"/>
            <w:shd w:val="clear" w:color="auto" w:fill="auto"/>
            <w:hideMark/>
          </w:tcPr>
          <w:p w14:paraId="0F91E75B" w14:textId="77777777" w:rsidR="00B70A28" w:rsidRPr="0041136F" w:rsidRDefault="00B70A28" w:rsidP="00951DA9">
            <w:pPr>
              <w:jc w:val="center"/>
              <w:rPr>
                <w:rFonts w:ascii="Times New Roman" w:eastAsia="Times New Roman" w:hAnsi="Times New Roman" w:cs="Times New Roman"/>
                <w:sz w:val="24"/>
                <w:szCs w:val="24"/>
                <w:lang w:eastAsia="en-AU"/>
              </w:rPr>
            </w:pPr>
            <w:r w:rsidRPr="002D3C89">
              <w:t>36</w:t>
            </w:r>
          </w:p>
        </w:tc>
        <w:tc>
          <w:tcPr>
            <w:tcW w:w="1531" w:type="dxa"/>
            <w:shd w:val="clear" w:color="auto" w:fill="auto"/>
          </w:tcPr>
          <w:p w14:paraId="6B653CD0" w14:textId="77777777" w:rsidR="00B70A28" w:rsidRPr="0041136F" w:rsidRDefault="00B70A28" w:rsidP="00951DA9">
            <w:pPr>
              <w:jc w:val="center"/>
              <w:rPr>
                <w:rFonts w:ascii="Times New Roman" w:eastAsia="Times New Roman" w:hAnsi="Times New Roman" w:cs="Times New Roman"/>
                <w:sz w:val="24"/>
                <w:szCs w:val="24"/>
                <w:lang w:eastAsia="en-AU"/>
              </w:rPr>
            </w:pPr>
            <w:r w:rsidRPr="002D3C89">
              <w:t>36</w:t>
            </w:r>
          </w:p>
        </w:tc>
        <w:tc>
          <w:tcPr>
            <w:tcW w:w="3147" w:type="dxa"/>
            <w:shd w:val="clear" w:color="auto" w:fill="auto"/>
          </w:tcPr>
          <w:p w14:paraId="25DADE97" w14:textId="77777777" w:rsidR="00B70A28" w:rsidRDefault="00B70A28" w:rsidP="00951DA9">
            <w:pPr>
              <w:jc w:val="center"/>
              <w:rPr>
                <w:rFonts w:ascii="Calibri" w:eastAsia="Times New Roman" w:hAnsi="Calibri" w:cs="Calibri"/>
                <w:lang w:eastAsia="en-AU"/>
              </w:rPr>
            </w:pPr>
            <w:r w:rsidRPr="002D3C89">
              <w:t>8</w:t>
            </w:r>
          </w:p>
        </w:tc>
      </w:tr>
      <w:tr w:rsidR="00B70A28" w:rsidRPr="0041136F" w14:paraId="43DDC67A" w14:textId="77777777" w:rsidTr="00951DA9">
        <w:trPr>
          <w:trHeight w:val="300"/>
        </w:trPr>
        <w:tc>
          <w:tcPr>
            <w:tcW w:w="2268" w:type="dxa"/>
            <w:tcBorders>
              <w:bottom w:val="single" w:sz="4" w:space="0" w:color="auto"/>
            </w:tcBorders>
            <w:shd w:val="clear" w:color="auto" w:fill="auto"/>
            <w:vAlign w:val="bottom"/>
            <w:hideMark/>
          </w:tcPr>
          <w:p w14:paraId="2A80AE60" w14:textId="77777777" w:rsidR="00B70A28" w:rsidRPr="0041136F" w:rsidRDefault="00B70A28" w:rsidP="00951DA9">
            <w:pPr>
              <w:rPr>
                <w:rFonts w:ascii="Times New Roman" w:eastAsia="Times New Roman" w:hAnsi="Times New Roman" w:cs="Times New Roman"/>
                <w:sz w:val="24"/>
                <w:szCs w:val="24"/>
                <w:lang w:eastAsia="en-AU"/>
              </w:rPr>
            </w:pPr>
            <w:r>
              <w:rPr>
                <w:rFonts w:ascii="Calibri" w:eastAsia="Times New Roman" w:hAnsi="Calibri" w:cs="Calibri"/>
                <w:lang w:eastAsia="en-AU"/>
              </w:rPr>
              <w:t>R&amp;D E</w:t>
            </w:r>
            <w:r w:rsidRPr="79E4B837">
              <w:rPr>
                <w:rFonts w:ascii="Calibri" w:eastAsia="Times New Roman" w:hAnsi="Calibri" w:cs="Calibri"/>
                <w:lang w:eastAsia="en-AU"/>
              </w:rPr>
              <w:t>xpenditure (</w:t>
            </w:r>
            <w:r w:rsidRPr="00751D14">
              <w:rPr>
                <w:rFonts w:ascii="Calibri" w:eastAsia="Times New Roman" w:hAnsi="Calibri" w:cs="Calibri"/>
                <w:b/>
                <w:lang w:eastAsia="en-AU"/>
              </w:rPr>
              <w:t>million</w:t>
            </w:r>
            <w:r w:rsidRPr="79E4B837">
              <w:rPr>
                <w:rFonts w:ascii="Calibri" w:eastAsia="Times New Roman" w:hAnsi="Calibri" w:cs="Calibri"/>
                <w:lang w:eastAsia="en-AU"/>
              </w:rPr>
              <w:t>) </w:t>
            </w:r>
          </w:p>
        </w:tc>
        <w:tc>
          <w:tcPr>
            <w:tcW w:w="1560" w:type="dxa"/>
            <w:tcBorders>
              <w:bottom w:val="single" w:sz="4" w:space="0" w:color="auto"/>
            </w:tcBorders>
            <w:shd w:val="clear" w:color="auto" w:fill="auto"/>
            <w:hideMark/>
          </w:tcPr>
          <w:p w14:paraId="25AE5831" w14:textId="77777777" w:rsidR="00B70A28" w:rsidRPr="0041136F" w:rsidRDefault="00B70A28" w:rsidP="00951DA9">
            <w:pPr>
              <w:jc w:val="center"/>
              <w:rPr>
                <w:rFonts w:ascii="Times New Roman" w:eastAsia="Times New Roman" w:hAnsi="Times New Roman" w:cs="Times New Roman"/>
                <w:sz w:val="24"/>
                <w:szCs w:val="24"/>
                <w:lang w:eastAsia="en-AU"/>
              </w:rPr>
            </w:pPr>
            <w:r w:rsidRPr="00612112">
              <w:t>$27</w:t>
            </w:r>
          </w:p>
        </w:tc>
        <w:tc>
          <w:tcPr>
            <w:tcW w:w="1842" w:type="dxa"/>
            <w:tcBorders>
              <w:bottom w:val="single" w:sz="4" w:space="0" w:color="auto"/>
            </w:tcBorders>
            <w:shd w:val="clear" w:color="auto" w:fill="auto"/>
            <w:hideMark/>
          </w:tcPr>
          <w:p w14:paraId="2C7A15EF" w14:textId="77777777" w:rsidR="00B70A28" w:rsidRPr="0041136F" w:rsidRDefault="00B70A28" w:rsidP="00951DA9">
            <w:pPr>
              <w:jc w:val="center"/>
              <w:rPr>
                <w:rFonts w:ascii="Times New Roman" w:eastAsia="Times New Roman" w:hAnsi="Times New Roman" w:cs="Times New Roman"/>
                <w:sz w:val="24"/>
                <w:szCs w:val="24"/>
                <w:lang w:eastAsia="en-AU"/>
              </w:rPr>
            </w:pPr>
            <w:r w:rsidRPr="00612112">
              <w:t>$130</w:t>
            </w:r>
          </w:p>
        </w:tc>
        <w:tc>
          <w:tcPr>
            <w:tcW w:w="1531" w:type="dxa"/>
            <w:tcBorders>
              <w:bottom w:val="single" w:sz="4" w:space="0" w:color="auto"/>
            </w:tcBorders>
            <w:shd w:val="clear" w:color="auto" w:fill="auto"/>
          </w:tcPr>
          <w:p w14:paraId="62A84C43" w14:textId="77777777" w:rsidR="00B70A28" w:rsidRPr="0041136F" w:rsidRDefault="00B70A28" w:rsidP="00951DA9">
            <w:pPr>
              <w:jc w:val="center"/>
              <w:rPr>
                <w:rFonts w:ascii="Times New Roman" w:eastAsia="Times New Roman" w:hAnsi="Times New Roman" w:cs="Times New Roman"/>
                <w:sz w:val="24"/>
                <w:szCs w:val="24"/>
                <w:lang w:eastAsia="en-AU"/>
              </w:rPr>
            </w:pPr>
            <w:r w:rsidRPr="00612112">
              <w:t>$26</w:t>
            </w:r>
          </w:p>
        </w:tc>
        <w:tc>
          <w:tcPr>
            <w:tcW w:w="3147" w:type="dxa"/>
            <w:tcBorders>
              <w:bottom w:val="single" w:sz="4" w:space="0" w:color="auto"/>
            </w:tcBorders>
            <w:shd w:val="clear" w:color="auto" w:fill="auto"/>
          </w:tcPr>
          <w:p w14:paraId="6D828965" w14:textId="77777777" w:rsidR="00B70A28" w:rsidRPr="0041136F" w:rsidRDefault="00B70A28" w:rsidP="00951DA9">
            <w:pPr>
              <w:jc w:val="center"/>
              <w:rPr>
                <w:rFonts w:ascii="Calibri" w:eastAsia="Times New Roman" w:hAnsi="Calibri" w:cs="Calibri"/>
                <w:lang w:eastAsia="en-AU"/>
              </w:rPr>
            </w:pPr>
            <w:r w:rsidRPr="00612112">
              <w:t xml:space="preserve">$5 </w:t>
            </w:r>
          </w:p>
        </w:tc>
      </w:tr>
    </w:tbl>
    <w:p w14:paraId="2E14079E" w14:textId="77777777" w:rsidR="00B70A28" w:rsidRPr="00D678BE" w:rsidRDefault="00B70A28" w:rsidP="00951DA9">
      <w:pPr>
        <w:rPr>
          <w:rFonts w:ascii="Times New Roman" w:hAnsi="Times New Roman" w:cs="Times New Roman"/>
          <w:sz w:val="24"/>
          <w:szCs w:val="24"/>
          <w:lang w:val="en-US" w:eastAsia="en-AU"/>
        </w:rPr>
      </w:pPr>
      <w:r w:rsidRPr="009B1EC8">
        <w:rPr>
          <w:lang w:val="en-US" w:eastAsia="en-AU"/>
        </w:rPr>
        <w:t>* Electricity, Gas, Water &amp; Waste Services</w:t>
      </w:r>
      <w:r>
        <w:rPr>
          <w:lang w:val="en-US" w:eastAsia="en-AU"/>
        </w:rPr>
        <w:br/>
      </w:r>
      <w:r w:rsidRPr="79E4B837">
        <w:rPr>
          <w:rFonts w:ascii="Calibri" w:hAnsi="Calibri" w:cs="Calibri"/>
          <w:lang w:eastAsia="en-AU"/>
        </w:rPr>
        <w:t>** Combined for confidentiality reasons.</w:t>
      </w:r>
      <w:r w:rsidRPr="79E4B837">
        <w:rPr>
          <w:rFonts w:ascii="Calibri" w:hAnsi="Calibri" w:cs="Calibri"/>
          <w:lang w:val="en-US" w:eastAsia="en-AU"/>
        </w:rPr>
        <w:t> </w:t>
      </w:r>
    </w:p>
    <w:p w14:paraId="5175154F" w14:textId="77777777" w:rsidR="00B70A28" w:rsidRPr="002926AF" w:rsidRDefault="00B70A28" w:rsidP="00951DA9">
      <w:pPr>
        <w:rPr>
          <w:rStyle w:val="Emphasis"/>
        </w:rPr>
      </w:pPr>
      <w:r w:rsidRPr="000E7845">
        <w:rPr>
          <w:b/>
          <w:lang w:val="en-US" w:eastAsia="en-AU"/>
        </w:rPr>
        <w:t>Note:</w:t>
      </w:r>
      <w:r>
        <w:rPr>
          <w:lang w:val="en-US" w:eastAsia="en-AU"/>
        </w:rPr>
        <w:t xml:space="preserve"> W</w:t>
      </w:r>
      <w:r w:rsidRPr="79E4B837">
        <w:rPr>
          <w:lang w:eastAsia="en-AU"/>
        </w:rPr>
        <w:t>here the count of registrations for a metric is less than 5, or expenditure is below AU$1 million, th</w:t>
      </w:r>
      <w:r>
        <w:rPr>
          <w:lang w:eastAsia="en-AU"/>
        </w:rPr>
        <w:t>is</w:t>
      </w:r>
      <w:r w:rsidRPr="79E4B837">
        <w:rPr>
          <w:lang w:eastAsia="en-AU"/>
        </w:rPr>
        <w:t xml:space="preserve"> information is not presented.</w:t>
      </w:r>
    </w:p>
    <w:p w14:paraId="13BF5A88" w14:textId="77777777" w:rsidR="00B70A28" w:rsidRDefault="00B70A28" w:rsidP="00951DA9">
      <w:pPr>
        <w:pStyle w:val="Heading5"/>
        <w:rPr>
          <w:i/>
          <w:lang w:eastAsia="en-AU"/>
        </w:rPr>
      </w:pPr>
      <w:r w:rsidRPr="00796BCD">
        <w:rPr>
          <w:lang w:eastAsia="en-AU"/>
        </w:rPr>
        <w:lastRenderedPageBreak/>
        <w:t>Comparison</w:t>
      </w:r>
      <w:r>
        <w:rPr>
          <w:lang w:eastAsia="en-AU"/>
        </w:rPr>
        <w:t xml:space="preserve"> of registrations</w:t>
      </w:r>
      <w:r w:rsidRPr="00796BCD">
        <w:rPr>
          <w:lang w:eastAsia="en-AU"/>
        </w:rPr>
        <w:t xml:space="preserve"> by Stat</w:t>
      </w:r>
      <w:r w:rsidRPr="002A6048">
        <w:rPr>
          <w:lang w:eastAsia="en-AU"/>
        </w:rPr>
        <w:t>e</w:t>
      </w:r>
      <w:r w:rsidRPr="00796BCD">
        <w:rPr>
          <w:lang w:eastAsia="en-AU"/>
        </w:rPr>
        <w:t xml:space="preserve">s and Territories </w:t>
      </w:r>
    </w:p>
    <w:p w14:paraId="1C68EE1C" w14:textId="3B68F788" w:rsidR="00B70A28" w:rsidRDefault="00B70A28" w:rsidP="002E7B7E">
      <w:pPr>
        <w:rPr>
          <w:rFonts w:ascii="Calibri" w:eastAsia="Times New Roman" w:hAnsi="Calibri" w:cs="Calibri"/>
          <w:sz w:val="22"/>
          <w:lang w:val="en-US" w:eastAsia="en-AU"/>
        </w:rPr>
      </w:pPr>
      <w:r>
        <w:rPr>
          <w:noProof/>
          <w:lang w:eastAsia="en-AU"/>
        </w:rPr>
        <w:drawing>
          <wp:inline distT="0" distB="0" distL="0" distR="0" wp14:anchorId="1A4E49A5" wp14:editId="7F6116E7">
            <wp:extent cx="5002436" cy="4924425"/>
            <wp:effectExtent l="0" t="0" r="8255" b="0"/>
            <wp:docPr id="3" name="Picture 3" descr="Map of Australia showing registrations  by State and Territory.&#10;ACT 173&#10;NST 4,333&#10;NT 25&#10;SA 612&#10;TAS 129&#10;VIC 3,502&#10;WA 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009145" cy="4931029"/>
                    </a:xfrm>
                    <a:prstGeom prst="rect">
                      <a:avLst/>
                    </a:prstGeom>
                  </pic:spPr>
                </pic:pic>
              </a:graphicData>
            </a:graphic>
          </wp:inline>
        </w:drawing>
      </w:r>
    </w:p>
    <w:p w14:paraId="486B7AFB" w14:textId="23C0EDA1" w:rsidR="00B70A28" w:rsidRPr="002926AF" w:rsidRDefault="00B70A28" w:rsidP="002E7B7E">
      <w:pPr>
        <w:spacing w:before="0" w:after="0"/>
        <w:textAlignment w:val="baseline"/>
        <w:rPr>
          <w:rStyle w:val="Emphasis"/>
        </w:rPr>
      </w:pPr>
      <w:r w:rsidRPr="00A76AD8">
        <w:rPr>
          <w:rFonts w:ascii="Calibri" w:eastAsia="Times New Roman" w:hAnsi="Calibri" w:cs="Calibri"/>
          <w:noProof/>
          <w:color w:val="ED7D31" w:themeColor="accent2"/>
          <w:sz w:val="24"/>
          <w:szCs w:val="24"/>
          <w:lang w:eastAsia="en-AU"/>
        </w:rPr>
        <mc:AlternateContent>
          <mc:Choice Requires="wps">
            <w:drawing>
              <wp:anchor distT="45720" distB="45720" distL="114300" distR="114300" simplePos="0" relativeHeight="251658242" behindDoc="0" locked="0" layoutInCell="1" allowOverlap="1" wp14:anchorId="713F9908" wp14:editId="2FDEB228">
                <wp:simplePos x="0" y="0"/>
                <wp:positionH relativeFrom="column">
                  <wp:posOffset>3100705</wp:posOffset>
                </wp:positionH>
                <wp:positionV relativeFrom="paragraph">
                  <wp:posOffset>55245</wp:posOffset>
                </wp:positionV>
                <wp:extent cx="733425" cy="1404620"/>
                <wp:effectExtent l="0" t="0" r="0" b="12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noFill/>
                        <a:ln w="9525">
                          <a:noFill/>
                          <a:miter lim="800000"/>
                          <a:headEnd/>
                          <a:tailEnd/>
                        </a:ln>
                      </wps:spPr>
                      <wps:txbx>
                        <w:txbxContent>
                          <w:p w14:paraId="6426728D" w14:textId="77777777" w:rsidR="00951DA9" w:rsidRPr="00A76AD8" w:rsidRDefault="00951DA9" w:rsidP="00951DA9">
                            <w:pPr>
                              <w:jc w:val="center"/>
                              <w:rPr>
                                <w:b/>
                                <w:color w:val="FFFFFF" w:themeColor="background1"/>
                              </w:rPr>
                            </w:pPr>
                            <w:r w:rsidRPr="00A76AD8">
                              <w:rPr>
                                <w:b/>
                                <w:color w:val="FFFFFF" w:themeColor="background1"/>
                              </w:rPr>
                              <w:t>VIC</w:t>
                            </w:r>
                            <w:r w:rsidRPr="00A76AD8">
                              <w:rPr>
                                <w:b/>
                                <w:color w:val="FFFFFF" w:themeColor="background1"/>
                              </w:rPr>
                              <w:br/>
                              <w:t>3,5</w:t>
                            </w:r>
                            <w:r>
                              <w:rPr>
                                <w:b/>
                                <w:color w:val="FFFFFF" w:themeColor="background1"/>
                              </w:rPr>
                              <w:t>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F9908" id="_x0000_t202" coordsize="21600,21600" o:spt="202" path="m,l,21600r21600,l21600,xe">
                <v:stroke joinstyle="miter"/>
                <v:path gradientshapeok="t" o:connecttype="rect"/>
              </v:shapetype>
              <v:shape id="Text Box 2" o:spid="_x0000_s1026" type="#_x0000_t202" style="position:absolute;margin-left:244.15pt;margin-top:4.35pt;width:57.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" filled="f" stroked="f">
                <v:textbox style="mso-fit-shape-to-text:t">
                  <w:txbxContent>
                    <w:p w14:paraId="6426728D" w14:textId="77777777" w:rsidR="00951DA9" w:rsidRPr="00A76AD8" w:rsidRDefault="00951DA9" w:rsidP="00951DA9">
                      <w:pPr>
                        <w:jc w:val="center"/>
                        <w:rPr>
                          <w:b/>
                          <w:color w:val="FFFFFF" w:themeColor="background1"/>
                        </w:rPr>
                      </w:pPr>
                      <w:r w:rsidRPr="00A76AD8">
                        <w:rPr>
                          <w:b/>
                          <w:color w:val="FFFFFF" w:themeColor="background1"/>
                        </w:rPr>
                        <w:t>VIC</w:t>
                      </w:r>
                      <w:r w:rsidRPr="00A76AD8">
                        <w:rPr>
                          <w:b/>
                          <w:color w:val="FFFFFF" w:themeColor="background1"/>
                        </w:rPr>
                        <w:br/>
                        <w:t>3,5</w:t>
                      </w:r>
                      <w:r>
                        <w:rPr>
                          <w:b/>
                          <w:color w:val="FFFFFF" w:themeColor="background1"/>
                        </w:rPr>
                        <w:t>02</w:t>
                      </w:r>
                    </w:p>
                  </w:txbxContent>
                </v:textbox>
                <w10:wrap type="square"/>
              </v:shape>
            </w:pict>
          </mc:Fallback>
        </mc:AlternateContent>
      </w:r>
    </w:p>
    <w:p w14:paraId="79BB12D8" w14:textId="77777777" w:rsidR="00B70A28" w:rsidRDefault="00B70A28">
      <w:pPr>
        <w:spacing w:before="0" w:after="160" w:line="259" w:lineRule="auto"/>
      </w:pPr>
      <w:r>
        <w:br w:type="page"/>
      </w:r>
    </w:p>
    <w:p w14:paraId="2AA2BF20" w14:textId="77777777" w:rsidR="00F466AB" w:rsidRPr="004A3763" w:rsidRDefault="00F466AB" w:rsidP="00F466AB">
      <w:pPr>
        <w:pStyle w:val="Heading3"/>
      </w:pPr>
      <w:r w:rsidRPr="004A3763">
        <w:lastRenderedPageBreak/>
        <w:t xml:space="preserve">Attachment </w:t>
      </w:r>
      <w:r>
        <w:t>3 – Roundtable Working Group Meeting</w:t>
      </w:r>
    </w:p>
    <w:p w14:paraId="55DE310A" w14:textId="16FAABA7" w:rsidR="00F466AB" w:rsidRDefault="00F466AB" w:rsidP="00F466AB">
      <w:pPr>
        <w:pStyle w:val="Heading1"/>
        <w:jc w:val="center"/>
        <w:rPr>
          <w:rStyle w:val="Strong"/>
          <w:rFonts w:ascii="Calibri" w:hAnsi="Calibri" w:cs="Calibri"/>
          <w:color w:val="212A4C"/>
          <w:sz w:val="52"/>
          <w:szCs w:val="48"/>
        </w:rPr>
      </w:pPr>
      <w:bookmarkStart w:id="7" w:name="_Toc42610888"/>
      <w:r w:rsidRPr="006C1EDD">
        <w:rPr>
          <w:rStyle w:val="Strong"/>
          <w:rFonts w:ascii="Calibri" w:hAnsi="Calibri" w:cs="Calibri"/>
          <w:color w:val="212A4C"/>
          <w:sz w:val="52"/>
          <w:szCs w:val="48"/>
        </w:rPr>
        <w:t>R</w:t>
      </w:r>
      <w:r>
        <w:rPr>
          <w:rStyle w:val="Strong"/>
          <w:rFonts w:ascii="Calibri" w:hAnsi="Calibri" w:cs="Calibri"/>
          <w:color w:val="212A4C"/>
          <w:sz w:val="52"/>
          <w:szCs w:val="48"/>
        </w:rPr>
        <w:t xml:space="preserve">esearch Service Providers </w:t>
      </w:r>
    </w:p>
    <w:p w14:paraId="516D5CB0" w14:textId="480C2366" w:rsidR="00F466AB" w:rsidRPr="006C1EDD" w:rsidRDefault="00F466AB" w:rsidP="00F466AB">
      <w:pPr>
        <w:pStyle w:val="Heading1"/>
        <w:jc w:val="center"/>
        <w:rPr>
          <w:rStyle w:val="Strong"/>
          <w:rFonts w:ascii="Calibri" w:hAnsi="Calibri" w:cs="Calibri"/>
          <w:b w:val="0"/>
          <w:bCs w:val="0"/>
          <w:color w:val="212A4C"/>
          <w:sz w:val="52"/>
          <w:szCs w:val="48"/>
        </w:rPr>
      </w:pPr>
      <w:bookmarkStart w:id="8" w:name="_Roundtable_Working_Group"/>
      <w:bookmarkEnd w:id="8"/>
      <w:r>
        <w:rPr>
          <w:rStyle w:val="Strong"/>
          <w:rFonts w:ascii="Calibri" w:hAnsi="Calibri" w:cs="Calibri"/>
          <w:color w:val="212A4C"/>
          <w:sz w:val="52"/>
          <w:szCs w:val="48"/>
        </w:rPr>
        <w:t>R</w:t>
      </w:r>
      <w:r w:rsidRPr="006C1EDD">
        <w:rPr>
          <w:rStyle w:val="Strong"/>
          <w:rFonts w:ascii="Calibri" w:hAnsi="Calibri" w:cs="Calibri"/>
          <w:color w:val="212A4C"/>
          <w:sz w:val="52"/>
          <w:szCs w:val="48"/>
        </w:rPr>
        <w:t xml:space="preserve">oundtable </w:t>
      </w:r>
      <w:r>
        <w:rPr>
          <w:rStyle w:val="Strong"/>
          <w:rFonts w:ascii="Calibri" w:hAnsi="Calibri" w:cs="Calibri"/>
          <w:color w:val="212A4C"/>
          <w:sz w:val="52"/>
          <w:szCs w:val="48"/>
        </w:rPr>
        <w:t>Working Group</w:t>
      </w:r>
    </w:p>
    <w:p w14:paraId="17052997" w14:textId="77777777" w:rsidR="00F466AB" w:rsidRPr="008124C1" w:rsidRDefault="00F466AB" w:rsidP="008124C1">
      <w:pPr>
        <w:pBdr>
          <w:top w:val="single" w:sz="4" w:space="6" w:color="A5A5A5" w:themeColor="accent3"/>
          <w:left w:val="single" w:sz="4" w:space="4" w:color="A5A5A5" w:themeColor="accent3"/>
          <w:bottom w:val="single" w:sz="4" w:space="6" w:color="A5A5A5" w:themeColor="accent3"/>
          <w:right w:val="single" w:sz="4" w:space="4" w:color="A5A5A5" w:themeColor="accent3"/>
        </w:pBdr>
        <w:shd w:val="clear" w:color="auto" w:fill="A5A5A5" w:themeFill="accent3"/>
        <w:spacing w:after="0"/>
        <w:ind w:left="113" w:right="113"/>
        <w:jc w:val="center"/>
        <w:rPr>
          <w:b/>
          <w:caps/>
          <w:color w:val="FFFFFF" w:themeColor="background1"/>
          <w:sz w:val="22"/>
        </w:rPr>
      </w:pPr>
      <w:r w:rsidRPr="008124C1">
        <w:rPr>
          <w:b/>
          <w:caps/>
          <w:color w:val="FFFFFF" w:themeColor="background1"/>
          <w:sz w:val="22"/>
        </w:rPr>
        <w:t xml:space="preserve">Meeting </w:t>
      </w:r>
      <w:r>
        <w:rPr>
          <w:b/>
          <w:caps/>
          <w:color w:val="FFFFFF" w:themeColor="background1"/>
          <w:sz w:val="22"/>
        </w:rPr>
        <w:t>SUMMARY</w:t>
      </w:r>
    </w:p>
    <w:tbl>
      <w:tblPr>
        <w:tblStyle w:val="TableGridLight"/>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Description w:val="Meeting summary. Date, Time, Aim and Attendees"/>
      </w:tblPr>
      <w:tblGrid>
        <w:gridCol w:w="1686"/>
        <w:gridCol w:w="7342"/>
      </w:tblGrid>
      <w:tr w:rsidR="00F466AB" w:rsidRPr="008124C1" w14:paraId="7AAED3EC" w14:textId="77777777" w:rsidTr="00F466AB">
        <w:trPr>
          <w:trHeight w:val="113"/>
          <w:tblHeader/>
        </w:trPr>
        <w:tc>
          <w:tcPr>
            <w:tcW w:w="934" w:type="pct"/>
          </w:tcPr>
          <w:p w14:paraId="3C193D3A" w14:textId="77777777" w:rsidR="00F466AB" w:rsidRPr="008124C1" w:rsidRDefault="00F466AB" w:rsidP="008124C1">
            <w:pPr>
              <w:rPr>
                <w:b/>
                <w:szCs w:val="22"/>
              </w:rPr>
            </w:pPr>
            <w:r w:rsidRPr="008124C1">
              <w:rPr>
                <w:b/>
                <w:szCs w:val="22"/>
              </w:rPr>
              <w:t>Meeting Date:</w:t>
            </w:r>
          </w:p>
        </w:tc>
        <w:tc>
          <w:tcPr>
            <w:tcW w:w="4066" w:type="pct"/>
          </w:tcPr>
          <w:p w14:paraId="2F4EBCD4" w14:textId="77777777" w:rsidR="00F466AB" w:rsidRPr="008124C1" w:rsidRDefault="00F466AB" w:rsidP="008124C1">
            <w:pPr>
              <w:contextualSpacing/>
              <w:rPr>
                <w:szCs w:val="22"/>
              </w:rPr>
            </w:pPr>
            <w:r w:rsidRPr="008124C1">
              <w:rPr>
                <w:szCs w:val="22"/>
              </w:rPr>
              <w:t>7 June 2022</w:t>
            </w:r>
          </w:p>
        </w:tc>
      </w:tr>
      <w:tr w:rsidR="00F466AB" w:rsidRPr="008124C1" w14:paraId="485C0BD5" w14:textId="77777777" w:rsidTr="00F466AB">
        <w:trPr>
          <w:trHeight w:val="113"/>
          <w:tblHeader/>
        </w:trPr>
        <w:tc>
          <w:tcPr>
            <w:tcW w:w="934" w:type="pct"/>
          </w:tcPr>
          <w:p w14:paraId="20050CCE" w14:textId="77777777" w:rsidR="00F466AB" w:rsidRPr="008124C1" w:rsidRDefault="00F466AB" w:rsidP="008124C1">
            <w:pPr>
              <w:rPr>
                <w:b/>
                <w:szCs w:val="22"/>
              </w:rPr>
            </w:pPr>
            <w:r w:rsidRPr="008124C1">
              <w:rPr>
                <w:b/>
                <w:szCs w:val="22"/>
              </w:rPr>
              <w:t>Time:</w:t>
            </w:r>
          </w:p>
        </w:tc>
        <w:tc>
          <w:tcPr>
            <w:tcW w:w="4066" w:type="pct"/>
          </w:tcPr>
          <w:p w14:paraId="7CC90F47" w14:textId="77777777" w:rsidR="00F466AB" w:rsidRPr="008124C1" w:rsidRDefault="00F466AB" w:rsidP="008124C1">
            <w:pPr>
              <w:contextualSpacing/>
              <w:rPr>
                <w:szCs w:val="22"/>
              </w:rPr>
            </w:pPr>
            <w:r w:rsidRPr="008124C1">
              <w:rPr>
                <w:szCs w:val="22"/>
              </w:rPr>
              <w:t>1:30pm – 4:00pm AEST</w:t>
            </w:r>
          </w:p>
        </w:tc>
      </w:tr>
      <w:tr w:rsidR="00F466AB" w:rsidRPr="008124C1" w14:paraId="0B400C27" w14:textId="77777777" w:rsidTr="00F466AB">
        <w:trPr>
          <w:trHeight w:val="113"/>
          <w:tblHeader/>
        </w:trPr>
        <w:tc>
          <w:tcPr>
            <w:tcW w:w="934" w:type="pct"/>
          </w:tcPr>
          <w:p w14:paraId="0E3EB9BB" w14:textId="77777777" w:rsidR="00F466AB" w:rsidRPr="008124C1" w:rsidRDefault="00F466AB" w:rsidP="008124C1">
            <w:pPr>
              <w:rPr>
                <w:b/>
                <w:szCs w:val="22"/>
              </w:rPr>
            </w:pPr>
            <w:r w:rsidRPr="008124C1">
              <w:rPr>
                <w:b/>
                <w:szCs w:val="22"/>
              </w:rPr>
              <w:t>Aim:</w:t>
            </w:r>
          </w:p>
        </w:tc>
        <w:tc>
          <w:tcPr>
            <w:tcW w:w="4066" w:type="pct"/>
          </w:tcPr>
          <w:p w14:paraId="1767FC20" w14:textId="77777777" w:rsidR="00F466AB" w:rsidRPr="008124C1" w:rsidRDefault="00F466AB" w:rsidP="008124C1">
            <w:pPr>
              <w:spacing w:before="60" w:after="60" w:line="300" w:lineRule="auto"/>
              <w:contextualSpacing/>
              <w:rPr>
                <w:szCs w:val="22"/>
              </w:rPr>
            </w:pPr>
            <w:r w:rsidRPr="008124C1">
              <w:rPr>
                <w:szCs w:val="22"/>
              </w:rPr>
              <w:t>To seek insights from Roundtable members on RSPs and hold an open discussion on opportunities to increase engagement and access to RSPs by R&amp;DTI applicants</w:t>
            </w:r>
          </w:p>
        </w:tc>
      </w:tr>
      <w:tr w:rsidR="00F466AB" w:rsidRPr="008124C1" w14:paraId="693667B8" w14:textId="77777777" w:rsidTr="00F466AB">
        <w:trPr>
          <w:trHeight w:val="6630"/>
          <w:tblHeader/>
        </w:trPr>
        <w:tc>
          <w:tcPr>
            <w:tcW w:w="934" w:type="pct"/>
          </w:tcPr>
          <w:p w14:paraId="331EF44F" w14:textId="77777777" w:rsidR="00F466AB" w:rsidRPr="008124C1" w:rsidRDefault="00F466AB" w:rsidP="008124C1">
            <w:pPr>
              <w:rPr>
                <w:b/>
                <w:szCs w:val="22"/>
              </w:rPr>
            </w:pPr>
            <w:r w:rsidRPr="008124C1">
              <w:rPr>
                <w:b/>
                <w:szCs w:val="22"/>
              </w:rPr>
              <w:t>Attendees:</w:t>
            </w:r>
          </w:p>
        </w:tc>
        <w:tc>
          <w:tcPr>
            <w:tcW w:w="4066" w:type="pct"/>
          </w:tcPr>
          <w:p w14:paraId="458F40C2" w14:textId="77777777" w:rsidR="00F466AB" w:rsidRPr="008124C1" w:rsidRDefault="00F466AB" w:rsidP="008124C1">
            <w:r w:rsidRPr="008124C1">
              <w:t>AB&amp;H | Russell Ascott, Director</w:t>
            </w:r>
          </w:p>
          <w:p w14:paraId="23B425F3" w14:textId="77777777" w:rsidR="00F466AB" w:rsidRPr="008124C1" w:rsidRDefault="00F466AB" w:rsidP="008124C1">
            <w:r w:rsidRPr="008124C1">
              <w:t>Academy of Technological Sciences and Engineering | Peter Derbyshire, Director of Policy and Government Relations</w:t>
            </w:r>
          </w:p>
          <w:p w14:paraId="51209C17" w14:textId="77777777" w:rsidR="00F466AB" w:rsidRPr="008124C1" w:rsidRDefault="00F466AB" w:rsidP="008124C1">
            <w:r w:rsidRPr="008124C1">
              <w:t>Australian Investment Council | Robyn Tolhurst, Public Affairs Manager</w:t>
            </w:r>
          </w:p>
          <w:p w14:paraId="6B10FCC3" w14:textId="77777777" w:rsidR="00F466AB" w:rsidRPr="008124C1" w:rsidRDefault="00F466AB" w:rsidP="008124C1">
            <w:r w:rsidRPr="008124C1">
              <w:t>Australian Industry Group | Louise McGrath, Head of Industry Development and Policy</w:t>
            </w:r>
          </w:p>
          <w:p w14:paraId="05BDBFF3" w14:textId="77777777" w:rsidR="00F466AB" w:rsidRPr="008124C1" w:rsidRDefault="00F466AB" w:rsidP="008124C1">
            <w:r w:rsidRPr="008124C1">
              <w:t>Australian Taxation Office | Brett Challans, Senior Director, Innovation Taxes, Technical Leadership and Advice,  Private Wealth</w:t>
            </w:r>
          </w:p>
          <w:p w14:paraId="5B799189" w14:textId="77777777" w:rsidR="00F466AB" w:rsidRPr="008124C1" w:rsidRDefault="00F466AB" w:rsidP="008124C1">
            <w:r w:rsidRPr="008124C1">
              <w:t>CBG Systems | Esther Pither, Finance and Admin Manager</w:t>
            </w:r>
          </w:p>
          <w:p w14:paraId="61D120D0" w14:textId="77777777" w:rsidR="00F466AB" w:rsidRPr="008124C1" w:rsidRDefault="00F466AB" w:rsidP="008124C1">
            <w:r w:rsidRPr="008124C1">
              <w:t>Cooperative Research Australia | Jane O’Dwyer, Chief Executive Officer</w:t>
            </w:r>
          </w:p>
          <w:p w14:paraId="2EE4C8EB" w14:textId="77777777" w:rsidR="00F466AB" w:rsidRPr="008124C1" w:rsidRDefault="00F466AB" w:rsidP="008124C1">
            <w:r w:rsidRPr="008124C1">
              <w:t>CSIRO | Simon Hanson, Director, SME Connect</w:t>
            </w:r>
          </w:p>
          <w:p w14:paraId="19FCB4CB" w14:textId="77777777" w:rsidR="00F466AB" w:rsidRPr="008124C1" w:rsidRDefault="00F466AB" w:rsidP="008124C1">
            <w:r w:rsidRPr="008124C1">
              <w:t>CSIRO | Peter Kambouris, Business Development Manager</w:t>
            </w:r>
          </w:p>
          <w:p w14:paraId="0EB085EC" w14:textId="77777777" w:rsidR="00F466AB" w:rsidRPr="008124C1" w:rsidRDefault="00F466AB" w:rsidP="008124C1">
            <w:r w:rsidRPr="008124C1">
              <w:t>EY | Jamie Munday, Partner, Oceania Business Tax Services Leader,  Global QS Leader</w:t>
            </w:r>
          </w:p>
          <w:p w14:paraId="250E6EBA" w14:textId="77777777" w:rsidR="00F466AB" w:rsidRPr="008124C1" w:rsidRDefault="00F466AB" w:rsidP="008124C1">
            <w:r w:rsidRPr="008124C1">
              <w:t>Group of Eight | Cheryl Kut, Director - Research Policy</w:t>
            </w:r>
          </w:p>
          <w:p w14:paraId="35BA8DB1" w14:textId="77777777" w:rsidR="00F466AB" w:rsidRPr="008124C1" w:rsidRDefault="00F466AB" w:rsidP="008124C1">
            <w:r w:rsidRPr="008124C1">
              <w:t>Hall Chadwick | Samuel Ung, Head of Incentives</w:t>
            </w:r>
          </w:p>
          <w:p w14:paraId="50DA9B03" w14:textId="77777777" w:rsidR="00F466AB" w:rsidRPr="008124C1" w:rsidRDefault="00F466AB" w:rsidP="008124C1">
            <w:r w:rsidRPr="008124C1">
              <w:t>KPMG | Steven Peters, Senior Manager</w:t>
            </w:r>
          </w:p>
          <w:p w14:paraId="6D79A884" w14:textId="77777777" w:rsidR="00F466AB" w:rsidRPr="008124C1" w:rsidRDefault="00F466AB" w:rsidP="008124C1">
            <w:r w:rsidRPr="008124C1">
              <w:t>Krigsman Partners | Robert Krigsman, Principal</w:t>
            </w:r>
          </w:p>
          <w:p w14:paraId="6F42B567" w14:textId="77777777" w:rsidR="00F466AB" w:rsidRPr="008124C1" w:rsidRDefault="00F466AB" w:rsidP="008124C1">
            <w:r w:rsidRPr="008124C1">
              <w:t>Michael Johnson Associates | Melanie Reen, Partner</w:t>
            </w:r>
          </w:p>
          <w:p w14:paraId="6D362E85" w14:textId="77777777" w:rsidR="00F466AB" w:rsidRPr="008124C1" w:rsidRDefault="00F466AB" w:rsidP="008124C1">
            <w:r w:rsidRPr="008124C1">
              <w:t>RSM Australia | Melissa Di Latte, Senior Manager Tax Services</w:t>
            </w:r>
          </w:p>
          <w:p w14:paraId="52A39921" w14:textId="77777777" w:rsidR="00F466AB" w:rsidRPr="008124C1" w:rsidRDefault="00F466AB" w:rsidP="008124C1">
            <w:pPr>
              <w:spacing w:before="60" w:after="60" w:line="240" w:lineRule="atLeast"/>
              <w:contextualSpacing/>
            </w:pPr>
            <w:r w:rsidRPr="008124C1">
              <w:t>Universities Australia | Liz Eedle, Policy Direction – Research and Innovation</w:t>
            </w:r>
          </w:p>
        </w:tc>
      </w:tr>
    </w:tbl>
    <w:p w14:paraId="6735EACA" w14:textId="77777777" w:rsidR="00F466AB" w:rsidRPr="008A136D" w:rsidRDefault="00F466AB" w:rsidP="008124C1">
      <w:pPr>
        <w:rPr>
          <w:b/>
          <w:sz w:val="28"/>
          <w:szCs w:val="28"/>
        </w:rPr>
      </w:pPr>
      <w:r w:rsidRPr="008A136D">
        <w:rPr>
          <w:b/>
          <w:sz w:val="28"/>
          <w:szCs w:val="28"/>
        </w:rPr>
        <w:t>Introduction</w:t>
      </w:r>
    </w:p>
    <w:p w14:paraId="1A7D2545" w14:textId="77777777" w:rsidR="00F466AB" w:rsidRPr="008124C1" w:rsidRDefault="00F466AB" w:rsidP="008124C1">
      <w:r w:rsidRPr="008124C1">
        <w:t xml:space="preserve">All members of the R&amp;DTI Roundtable were invited to participate in the </w:t>
      </w:r>
      <w:r>
        <w:t>Research Service Provider (</w:t>
      </w:r>
      <w:r w:rsidRPr="008124C1">
        <w:t>RSP</w:t>
      </w:r>
      <w:r>
        <w:t>)</w:t>
      </w:r>
      <w:r w:rsidRPr="008124C1">
        <w:t xml:space="preserve"> Working Group. Members who participated included a cross-section of program participants including research service providers, industry </w:t>
      </w:r>
      <w:r>
        <w:t>associations</w:t>
      </w:r>
      <w:r w:rsidRPr="008124C1">
        <w:t>, companies, tax agents and administrators.</w:t>
      </w:r>
    </w:p>
    <w:p w14:paraId="4E0B9265" w14:textId="77777777" w:rsidR="00F466AB" w:rsidRPr="008124C1" w:rsidRDefault="00F466AB" w:rsidP="008124C1">
      <w:r w:rsidRPr="008124C1">
        <w:t>Members shared their experience with RSPs and insights on current information and communication channels; challenges in building awareness of RSPs and encouraging collaboration; and opportunities to increase engagement.</w:t>
      </w:r>
    </w:p>
    <w:p w14:paraId="2CFC0DBA" w14:textId="77777777" w:rsidR="00F466AB" w:rsidRPr="008124C1" w:rsidRDefault="00F466AB" w:rsidP="008124C1">
      <w:r w:rsidRPr="008124C1">
        <w:t>The key themes arising from the discussion are tabled as follows.</w:t>
      </w:r>
    </w:p>
    <w:p w14:paraId="5CA754A9" w14:textId="77777777" w:rsidR="00F466AB" w:rsidRDefault="00F466AB" w:rsidP="008124C1">
      <w:pPr>
        <w:keepNext/>
        <w:keepLines/>
        <w:spacing w:before="320" w:after="160" w:line="340" w:lineRule="atLeast"/>
        <w:outlineLvl w:val="1"/>
        <w:rPr>
          <w:rFonts w:asciiTheme="majorHAnsi" w:eastAsiaTheme="majorEastAsia" w:hAnsiTheme="majorHAnsi" w:cstheme="majorBidi"/>
          <w:b/>
          <w:color w:val="44546A" w:themeColor="text2"/>
          <w:sz w:val="28"/>
          <w:szCs w:val="26"/>
        </w:rPr>
      </w:pPr>
      <w:r w:rsidRPr="008124C1">
        <w:rPr>
          <w:rFonts w:asciiTheme="majorHAnsi" w:eastAsiaTheme="majorEastAsia" w:hAnsiTheme="majorHAnsi" w:cstheme="majorBidi"/>
          <w:b/>
          <w:color w:val="44546A" w:themeColor="text2"/>
          <w:sz w:val="28"/>
          <w:szCs w:val="26"/>
        </w:rPr>
        <w:lastRenderedPageBreak/>
        <w:t>Key themes</w:t>
      </w:r>
    </w:p>
    <w:tbl>
      <w:tblPr>
        <w:tblStyle w:val="BEPTable11"/>
        <w:tblpPr w:leftFromText="180" w:rightFromText="180" w:vertAnchor="text" w:horzAnchor="margin" w:tblpY="1421"/>
        <w:tblW w:w="5001" w:type="pct"/>
        <w:tblLook w:val="0620" w:firstRow="1" w:lastRow="0" w:firstColumn="0" w:lastColumn="0" w:noHBand="1" w:noVBand="1"/>
        <w:tblDescription w:val="Key themes. Table show Key themes and their discussion points"/>
      </w:tblPr>
      <w:tblGrid>
        <w:gridCol w:w="2595"/>
        <w:gridCol w:w="6433"/>
      </w:tblGrid>
      <w:tr w:rsidR="00F466AB" w:rsidRPr="008124C1" w14:paraId="12071F28" w14:textId="77777777" w:rsidTr="00180136">
        <w:trPr>
          <w:cnfStyle w:val="100000000000" w:firstRow="1" w:lastRow="0" w:firstColumn="0" w:lastColumn="0" w:oddVBand="0" w:evenVBand="0" w:oddHBand="0" w:evenHBand="0" w:firstRowFirstColumn="0" w:firstRowLastColumn="0" w:lastRowFirstColumn="0" w:lastRowLastColumn="0"/>
          <w:trHeight w:val="113"/>
        </w:trPr>
        <w:tc>
          <w:tcPr>
            <w:tcW w:w="1437" w:type="pct"/>
            <w:shd w:val="clear" w:color="auto" w:fill="DFE7F6"/>
          </w:tcPr>
          <w:p w14:paraId="1A67CB29" w14:textId="77777777" w:rsidR="00F466AB" w:rsidRPr="008124C1" w:rsidRDefault="00F466AB" w:rsidP="008124C1">
            <w:r w:rsidRPr="008124C1">
              <w:t>Key themes</w:t>
            </w:r>
          </w:p>
        </w:tc>
        <w:tc>
          <w:tcPr>
            <w:tcW w:w="3563" w:type="pct"/>
            <w:shd w:val="clear" w:color="auto" w:fill="DFE7F6"/>
          </w:tcPr>
          <w:p w14:paraId="1AE9AFB9" w14:textId="45A28AD9" w:rsidR="00F466AB" w:rsidRPr="008124C1" w:rsidRDefault="00F466AB" w:rsidP="00FB1CD4">
            <w:pPr>
              <w:jc w:val="center"/>
            </w:pPr>
            <w:r w:rsidRPr="008124C1">
              <w:t>Discussion points</w:t>
            </w:r>
          </w:p>
        </w:tc>
      </w:tr>
      <w:tr w:rsidR="00F466AB" w:rsidRPr="008124C1" w14:paraId="6D535A9B" w14:textId="77777777" w:rsidTr="00180136">
        <w:trPr>
          <w:trHeight w:val="113"/>
        </w:trPr>
        <w:tc>
          <w:tcPr>
            <w:tcW w:w="1437" w:type="pct"/>
          </w:tcPr>
          <w:p w14:paraId="3642F7EE" w14:textId="77777777" w:rsidR="00F466AB" w:rsidRPr="008124C1" w:rsidRDefault="00F466AB" w:rsidP="008124C1">
            <w:r w:rsidRPr="008124C1">
              <w:t>Current situation: Perspectives and experiences related to RSP use and awareness</w:t>
            </w:r>
          </w:p>
        </w:tc>
        <w:tc>
          <w:tcPr>
            <w:tcW w:w="3563" w:type="pct"/>
          </w:tcPr>
          <w:p w14:paraId="422E3A5B" w14:textId="77777777" w:rsidR="00F466AB" w:rsidRPr="008124C1" w:rsidRDefault="00F466AB" w:rsidP="00F466AB">
            <w:pPr>
              <w:numPr>
                <w:ilvl w:val="0"/>
                <w:numId w:val="6"/>
              </w:numPr>
              <w:rPr>
                <w:lang w:eastAsia="en-AU"/>
              </w:rPr>
            </w:pPr>
            <w:r w:rsidRPr="008124C1">
              <w:rPr>
                <w:lang w:eastAsia="en-AU"/>
              </w:rPr>
              <w:t>There is generally low awareness of RSPs and the opportunities available to collaborate. This is not addressed by available information which could do more to highlight RSP capabilities.</w:t>
            </w:r>
          </w:p>
          <w:p w14:paraId="0281872F" w14:textId="77777777" w:rsidR="00F466AB" w:rsidRPr="008124C1" w:rsidRDefault="00F466AB" w:rsidP="00F466AB">
            <w:pPr>
              <w:numPr>
                <w:ilvl w:val="0"/>
                <w:numId w:val="6"/>
              </w:numPr>
              <w:rPr>
                <w:lang w:eastAsia="en-AU"/>
              </w:rPr>
            </w:pPr>
            <w:r w:rsidRPr="008124C1">
              <w:rPr>
                <w:lang w:eastAsia="en-AU"/>
              </w:rPr>
              <w:t xml:space="preserve">The R&amp;DTI website information on RSPs is not easy to navigate and not always up to date with the correct contact details. </w:t>
            </w:r>
          </w:p>
          <w:p w14:paraId="3E2BCC8C" w14:textId="77777777" w:rsidR="00F466AB" w:rsidRPr="008124C1" w:rsidRDefault="00F466AB" w:rsidP="00F466AB">
            <w:pPr>
              <w:numPr>
                <w:ilvl w:val="0"/>
                <w:numId w:val="6"/>
              </w:numPr>
              <w:rPr>
                <w:lang w:eastAsia="en-AU"/>
              </w:rPr>
            </w:pPr>
            <w:r w:rsidRPr="008124C1">
              <w:rPr>
                <w:lang w:eastAsia="en-AU"/>
              </w:rPr>
              <w:t>Many companies seeking to collaborate with universities are already aware of the R&amp;DTI</w:t>
            </w:r>
            <w:r>
              <w:rPr>
                <w:lang w:eastAsia="en-AU"/>
              </w:rPr>
              <w:t xml:space="preserve"> through other channels</w:t>
            </w:r>
            <w:r w:rsidRPr="008124C1">
              <w:rPr>
                <w:lang w:eastAsia="en-AU"/>
              </w:rPr>
              <w:t xml:space="preserve">. Consequently, universities/RSPs may not be the best </w:t>
            </w:r>
            <w:r>
              <w:rPr>
                <w:lang w:eastAsia="en-AU"/>
              </w:rPr>
              <w:t>channel</w:t>
            </w:r>
            <w:r w:rsidRPr="008124C1">
              <w:rPr>
                <w:lang w:eastAsia="en-AU"/>
              </w:rPr>
              <w:t xml:space="preserve"> for raising awareness of the R&amp;DTI.</w:t>
            </w:r>
          </w:p>
          <w:p w14:paraId="3152F2BA" w14:textId="77777777" w:rsidR="00F466AB" w:rsidRPr="008124C1" w:rsidRDefault="00F466AB" w:rsidP="00F466AB">
            <w:pPr>
              <w:numPr>
                <w:ilvl w:val="0"/>
                <w:numId w:val="6"/>
              </w:numPr>
              <w:rPr>
                <w:lang w:eastAsia="en-AU"/>
              </w:rPr>
            </w:pPr>
            <w:r w:rsidRPr="008124C1">
              <w:rPr>
                <w:lang w:eastAsia="en-AU"/>
              </w:rPr>
              <w:t xml:space="preserve">A general low awareness of the benefits of innovation and university research is considered to limit opportunities for collaboration. This information gap is difficult to address and one </w:t>
            </w:r>
            <w:r>
              <w:rPr>
                <w:lang w:eastAsia="en-AU"/>
              </w:rPr>
              <w:t xml:space="preserve">that </w:t>
            </w:r>
            <w:r w:rsidRPr="008124C1">
              <w:rPr>
                <w:lang w:eastAsia="en-AU"/>
              </w:rPr>
              <w:t>universities are also trying to tackle.</w:t>
            </w:r>
          </w:p>
          <w:p w14:paraId="56368836" w14:textId="77777777" w:rsidR="00F466AB" w:rsidRPr="008124C1" w:rsidRDefault="00F466AB" w:rsidP="00F466AB">
            <w:pPr>
              <w:numPr>
                <w:ilvl w:val="0"/>
                <w:numId w:val="6"/>
              </w:numPr>
            </w:pPr>
            <w:r w:rsidRPr="008124C1">
              <w:t>The opportunity to access the R&amp;DTI when expenditure is below the required $20,000 threshold afforded by collaboration with an RSP is not perceived to be a significant motivating benefit for</w:t>
            </w:r>
            <w:r>
              <w:t xml:space="preserve"> </w:t>
            </w:r>
            <w:r w:rsidRPr="008124C1">
              <w:t>many companies.</w:t>
            </w:r>
          </w:p>
          <w:p w14:paraId="051453C4" w14:textId="77777777" w:rsidR="00F466AB" w:rsidRPr="008124C1" w:rsidRDefault="00F466AB" w:rsidP="00F466AB">
            <w:pPr>
              <w:numPr>
                <w:ilvl w:val="0"/>
                <w:numId w:val="6"/>
              </w:numPr>
              <w:rPr>
                <w:lang w:eastAsia="en-AU"/>
              </w:rPr>
            </w:pPr>
            <w:r w:rsidRPr="008124C1">
              <w:rPr>
                <w:lang w:eastAsia="en-AU"/>
              </w:rPr>
              <w:t>The application form to register as an RSP requires significant information</w:t>
            </w:r>
            <w:r>
              <w:rPr>
                <w:lang w:eastAsia="en-AU"/>
              </w:rPr>
              <w:t xml:space="preserve"> and perceived as onerous and off-putting.</w:t>
            </w:r>
          </w:p>
          <w:p w14:paraId="77DE3900" w14:textId="77777777" w:rsidR="00F466AB" w:rsidRDefault="00F466AB" w:rsidP="00F466AB">
            <w:pPr>
              <w:numPr>
                <w:ilvl w:val="0"/>
                <w:numId w:val="6"/>
              </w:numPr>
            </w:pPr>
            <w:r w:rsidRPr="008124C1">
              <w:t>For some companies</w:t>
            </w:r>
            <w:r>
              <w:t>,</w:t>
            </w:r>
            <w:r w:rsidRPr="008124C1">
              <w:t xml:space="preserve"> RSP collaboration is more strongly motivated by grant funding than the R&amp;DTI</w:t>
            </w:r>
            <w:r>
              <w:t xml:space="preserve"> as it provides a stronger carrot to attract research partnerships</w:t>
            </w:r>
            <w:r w:rsidRPr="008124C1">
              <w:t>.</w:t>
            </w:r>
          </w:p>
          <w:p w14:paraId="233DBB0C" w14:textId="77777777" w:rsidR="00F466AB" w:rsidRPr="008124C1" w:rsidRDefault="00F466AB" w:rsidP="00F466AB">
            <w:pPr>
              <w:numPr>
                <w:ilvl w:val="0"/>
                <w:numId w:val="6"/>
              </w:numPr>
            </w:pPr>
            <w:r w:rsidRPr="008124C1">
              <w:t>Given the low engagement rate recorded by AusIndustry (</w:t>
            </w:r>
            <w:r>
              <w:t xml:space="preserve">i.e. </w:t>
            </w:r>
            <w:r w:rsidRPr="008124C1">
              <w:t xml:space="preserve">around 5% of registrants) it could be possible that some companies have difficulty self-identifying that they are working with an RSP and </w:t>
            </w:r>
            <w:r>
              <w:t>consequently don’t</w:t>
            </w:r>
            <w:r w:rsidRPr="008124C1">
              <w:t xml:space="preserve"> complet</w:t>
            </w:r>
            <w:r>
              <w:t>e</w:t>
            </w:r>
            <w:r w:rsidRPr="008124C1">
              <w:t xml:space="preserve"> the application form correctly. </w:t>
            </w:r>
            <w:r>
              <w:t xml:space="preserve">Consequently, </w:t>
            </w:r>
            <w:r w:rsidRPr="008124C1">
              <w:t xml:space="preserve">RSP collaboration may </w:t>
            </w:r>
            <w:r>
              <w:t xml:space="preserve">possibly </w:t>
            </w:r>
            <w:r w:rsidRPr="008124C1">
              <w:t>be higher than reported by AusIndustry.</w:t>
            </w:r>
          </w:p>
          <w:p w14:paraId="123D938E" w14:textId="77777777" w:rsidR="00F466AB" w:rsidRPr="008124C1" w:rsidRDefault="00F466AB" w:rsidP="00F466AB">
            <w:pPr>
              <w:numPr>
                <w:ilvl w:val="0"/>
                <w:numId w:val="6"/>
              </w:numPr>
            </w:pPr>
            <w:r w:rsidRPr="008124C1">
              <w:t xml:space="preserve">Access to university facilities can be a driver for </w:t>
            </w:r>
            <w:r>
              <w:t xml:space="preserve">a company to </w:t>
            </w:r>
            <w:r w:rsidRPr="008124C1">
              <w:t>engag</w:t>
            </w:r>
            <w:r>
              <w:t>e</w:t>
            </w:r>
            <w:r w:rsidRPr="008124C1">
              <w:t xml:space="preserve"> a</w:t>
            </w:r>
            <w:r>
              <w:t>n</w:t>
            </w:r>
            <w:r w:rsidRPr="008124C1">
              <w:t xml:space="preserve"> RSP.</w:t>
            </w:r>
          </w:p>
          <w:p w14:paraId="5F525A0B" w14:textId="77777777" w:rsidR="00F466AB" w:rsidRPr="008124C1" w:rsidRDefault="00F466AB" w:rsidP="00F466AB">
            <w:pPr>
              <w:numPr>
                <w:ilvl w:val="0"/>
                <w:numId w:val="6"/>
              </w:numPr>
              <w:rPr>
                <w:lang w:eastAsia="en-AU"/>
              </w:rPr>
            </w:pPr>
            <w:r w:rsidRPr="008124C1">
              <w:rPr>
                <w:lang w:eastAsia="en-AU"/>
              </w:rPr>
              <w:t>It can be overwhelming for companies to seek collaboration. This is particularly relevant for SMEs given they don’t have the same resources as large companies to build research partners</w:t>
            </w:r>
            <w:r>
              <w:rPr>
                <w:lang w:eastAsia="en-AU"/>
              </w:rPr>
              <w:t>h</w:t>
            </w:r>
            <w:r w:rsidRPr="008124C1">
              <w:rPr>
                <w:lang w:eastAsia="en-AU"/>
              </w:rPr>
              <w:t>ips. Companies with academic experience or research connections are better equipped to build research partnerships.</w:t>
            </w:r>
          </w:p>
          <w:p w14:paraId="75553F52" w14:textId="77777777" w:rsidR="00F466AB" w:rsidRPr="008124C1" w:rsidRDefault="00F466AB" w:rsidP="00F466AB">
            <w:pPr>
              <w:numPr>
                <w:ilvl w:val="0"/>
                <w:numId w:val="6"/>
              </w:numPr>
              <w:rPr>
                <w:lang w:eastAsia="en-AU"/>
              </w:rPr>
            </w:pPr>
            <w:r w:rsidRPr="008124C1">
              <w:rPr>
                <w:lang w:eastAsia="en-AU"/>
              </w:rPr>
              <w:t>AusIndustry’s communications tend to target companies and appear</w:t>
            </w:r>
            <w:r>
              <w:rPr>
                <w:lang w:eastAsia="en-AU"/>
              </w:rPr>
              <w:t>s</w:t>
            </w:r>
            <w:r w:rsidRPr="008124C1">
              <w:rPr>
                <w:lang w:eastAsia="en-AU"/>
              </w:rPr>
              <w:t xml:space="preserve"> not to focus as much on universities/RSPs.</w:t>
            </w:r>
          </w:p>
          <w:p w14:paraId="626B1922" w14:textId="77777777" w:rsidR="00F466AB" w:rsidRPr="008124C1" w:rsidRDefault="00F466AB" w:rsidP="00F466AB">
            <w:pPr>
              <w:numPr>
                <w:ilvl w:val="0"/>
                <w:numId w:val="6"/>
              </w:numPr>
              <w:rPr>
                <w:lang w:eastAsia="en-AU"/>
              </w:rPr>
            </w:pPr>
            <w:r w:rsidRPr="008124C1">
              <w:rPr>
                <w:lang w:eastAsia="en-AU"/>
              </w:rPr>
              <w:t xml:space="preserve">Facilitators are highly valued in helping companies understand the value of innovation and assisting in helping identify and establish opportunities for research collaborations. Examples include Innovation </w:t>
            </w:r>
            <w:r>
              <w:rPr>
                <w:lang w:eastAsia="en-AU"/>
              </w:rPr>
              <w:t>C</w:t>
            </w:r>
            <w:r w:rsidRPr="008124C1">
              <w:rPr>
                <w:lang w:eastAsia="en-AU"/>
              </w:rPr>
              <w:t>onnections and CRC Projects.</w:t>
            </w:r>
          </w:p>
          <w:p w14:paraId="41B0205E" w14:textId="77777777" w:rsidR="00F466AB" w:rsidRPr="008124C1" w:rsidRDefault="00F466AB" w:rsidP="00F466AB">
            <w:pPr>
              <w:numPr>
                <w:ilvl w:val="0"/>
                <w:numId w:val="6"/>
              </w:numPr>
              <w:rPr>
                <w:lang w:eastAsia="en-AU"/>
              </w:rPr>
            </w:pPr>
            <w:r w:rsidRPr="008124C1">
              <w:rPr>
                <w:lang w:eastAsia="en-AU"/>
              </w:rPr>
              <w:lastRenderedPageBreak/>
              <w:t xml:space="preserve">Companies respond to stories that show examples of successful outcomes and the journey companies go through to </w:t>
            </w:r>
            <w:r>
              <w:rPr>
                <w:lang w:eastAsia="en-AU"/>
              </w:rPr>
              <w:t>achieve them</w:t>
            </w:r>
            <w:r w:rsidRPr="008124C1">
              <w:rPr>
                <w:lang w:eastAsia="en-AU"/>
              </w:rPr>
              <w:t>. Overcoming challenges to achieve an outcome are also valued.</w:t>
            </w:r>
          </w:p>
          <w:p w14:paraId="1CD68906" w14:textId="77777777" w:rsidR="00F466AB" w:rsidRPr="008124C1" w:rsidRDefault="00F466AB" w:rsidP="00F466AB">
            <w:pPr>
              <w:numPr>
                <w:ilvl w:val="0"/>
                <w:numId w:val="6"/>
              </w:numPr>
              <w:rPr>
                <w:lang w:eastAsia="en-AU"/>
              </w:rPr>
            </w:pPr>
            <w:r w:rsidRPr="008124C1">
              <w:rPr>
                <w:lang w:eastAsia="en-AU"/>
              </w:rPr>
              <w:t>CSIRO’s match-making service, Innovation Connections, provides a valued facilitation service which connects SMEs to the research sector. The program supports around 300 projects a year. Facilitators provide a match-making service with 40 universities and other public research organisations. Their support extends to project scoping and they generally stay involved throughout the project’s lifetime.</w:t>
            </w:r>
          </w:p>
        </w:tc>
      </w:tr>
      <w:tr w:rsidR="00F466AB" w:rsidRPr="008124C1" w14:paraId="5D9CAF48" w14:textId="77777777" w:rsidTr="00180136">
        <w:trPr>
          <w:trHeight w:val="471"/>
        </w:trPr>
        <w:tc>
          <w:tcPr>
            <w:tcW w:w="1437" w:type="pct"/>
          </w:tcPr>
          <w:p w14:paraId="31C7EBB0" w14:textId="77777777" w:rsidR="00F466AB" w:rsidRPr="008124C1" w:rsidRDefault="00F466AB" w:rsidP="003B05A1">
            <w:r w:rsidRPr="008124C1">
              <w:lastRenderedPageBreak/>
              <w:t xml:space="preserve">Challenges for </w:t>
            </w:r>
            <w:r>
              <w:t>r</w:t>
            </w:r>
            <w:r w:rsidRPr="008124C1">
              <w:t xml:space="preserve">esearch </w:t>
            </w:r>
            <w:r>
              <w:t>c</w:t>
            </w:r>
            <w:r w:rsidRPr="008124C1">
              <w:t>ollaborations and accessing RSPs</w:t>
            </w:r>
          </w:p>
        </w:tc>
        <w:tc>
          <w:tcPr>
            <w:tcW w:w="3563" w:type="pct"/>
          </w:tcPr>
          <w:p w14:paraId="5DA990AF" w14:textId="77777777" w:rsidR="00F466AB" w:rsidRPr="008124C1" w:rsidRDefault="00F466AB" w:rsidP="00F466AB">
            <w:pPr>
              <w:numPr>
                <w:ilvl w:val="0"/>
                <w:numId w:val="6"/>
              </w:numPr>
            </w:pPr>
            <w:r w:rsidRPr="008124C1">
              <w:t>The R&amp;DTI website provides a long list of RSPs with research codes which can be overwhelming for a company seeking information. This does not assist in raising awareness of RSPs and collaboration opportunities.</w:t>
            </w:r>
          </w:p>
          <w:p w14:paraId="4D2069EE" w14:textId="77777777" w:rsidR="00F466AB" w:rsidRPr="008124C1" w:rsidRDefault="00F466AB" w:rsidP="00F466AB">
            <w:pPr>
              <w:numPr>
                <w:ilvl w:val="0"/>
                <w:numId w:val="6"/>
              </w:numPr>
              <w:rPr>
                <w:lang w:eastAsia="en-AU"/>
              </w:rPr>
            </w:pPr>
            <w:r w:rsidRPr="008124C1">
              <w:rPr>
                <w:lang w:eastAsia="en-AU"/>
              </w:rPr>
              <w:t>The impression</w:t>
            </w:r>
            <w:r>
              <w:rPr>
                <w:lang w:eastAsia="en-AU"/>
              </w:rPr>
              <w:t xml:space="preserve"> from companies who want to apply for the program, is</w:t>
            </w:r>
            <w:r w:rsidRPr="008124C1">
              <w:rPr>
                <w:lang w:eastAsia="en-AU"/>
              </w:rPr>
              <w:t xml:space="preserve"> that there is a lot of technical information to prepare</w:t>
            </w:r>
            <w:r>
              <w:rPr>
                <w:lang w:eastAsia="en-AU"/>
              </w:rPr>
              <w:t xml:space="preserve"> in the application process which can be </w:t>
            </w:r>
            <w:r w:rsidRPr="008124C1">
              <w:rPr>
                <w:lang w:eastAsia="en-AU"/>
              </w:rPr>
              <w:t>off</w:t>
            </w:r>
            <w:r>
              <w:rPr>
                <w:lang w:eastAsia="en-AU"/>
              </w:rPr>
              <w:t>-</w:t>
            </w:r>
            <w:r w:rsidRPr="008124C1">
              <w:rPr>
                <w:lang w:eastAsia="en-AU"/>
              </w:rPr>
              <w:t>putting.</w:t>
            </w:r>
          </w:p>
          <w:p w14:paraId="6F8CBFED" w14:textId="77777777" w:rsidR="00F466AB" w:rsidRPr="008124C1" w:rsidRDefault="00F466AB" w:rsidP="00F466AB">
            <w:pPr>
              <w:numPr>
                <w:ilvl w:val="0"/>
                <w:numId w:val="6"/>
              </w:numPr>
              <w:rPr>
                <w:lang w:eastAsia="en-AU"/>
              </w:rPr>
            </w:pPr>
            <w:r w:rsidRPr="008124C1">
              <w:rPr>
                <w:lang w:eastAsia="en-AU"/>
              </w:rPr>
              <w:t>Many companies are time poor and assume that they won’t be able to afford to collaborate. There is a lot of pressure to manage other work with the funding they have available. Similarly, SME time pressures reduce the capacity to make connections.</w:t>
            </w:r>
          </w:p>
          <w:p w14:paraId="05ABD998" w14:textId="77777777" w:rsidR="00F466AB" w:rsidRPr="008124C1" w:rsidRDefault="00F466AB" w:rsidP="00F466AB">
            <w:pPr>
              <w:numPr>
                <w:ilvl w:val="0"/>
                <w:numId w:val="6"/>
              </w:numPr>
            </w:pPr>
            <w:r w:rsidRPr="008124C1">
              <w:t xml:space="preserve">There is a perception that universities </w:t>
            </w:r>
            <w:r>
              <w:t>prioritise</w:t>
            </w:r>
            <w:r w:rsidRPr="008124C1">
              <w:t xml:space="preserve"> research over commercialisation given their focus on publication. At the same time, many companies need support in commercialising a new product and </w:t>
            </w:r>
            <w:r>
              <w:t>as well as</w:t>
            </w:r>
            <w:r w:rsidRPr="008124C1">
              <w:t xml:space="preserve"> support in navigating this</w:t>
            </w:r>
            <w:r>
              <w:t xml:space="preserve"> journey</w:t>
            </w:r>
            <w:r w:rsidRPr="008124C1">
              <w:t>.</w:t>
            </w:r>
          </w:p>
          <w:p w14:paraId="2CC73E50" w14:textId="77777777" w:rsidR="00F466AB" w:rsidRPr="008124C1" w:rsidRDefault="00F466AB" w:rsidP="00F466AB">
            <w:pPr>
              <w:numPr>
                <w:ilvl w:val="0"/>
                <w:numId w:val="6"/>
              </w:numPr>
              <w:rPr>
                <w:lang w:eastAsia="en-AU"/>
              </w:rPr>
            </w:pPr>
            <w:r w:rsidRPr="008124C1">
              <w:rPr>
                <w:lang w:eastAsia="en-AU"/>
              </w:rPr>
              <w:t>Many companies are protective of their IP and don’t know how to manage</w:t>
            </w:r>
            <w:r>
              <w:rPr>
                <w:lang w:eastAsia="en-AU"/>
              </w:rPr>
              <w:t xml:space="preserve"> </w:t>
            </w:r>
            <w:r w:rsidRPr="008124C1">
              <w:rPr>
                <w:lang w:eastAsia="en-AU"/>
              </w:rPr>
              <w:t>IP issues when collaborating with universities.</w:t>
            </w:r>
          </w:p>
          <w:p w14:paraId="72AE4F56" w14:textId="77777777" w:rsidR="00F466AB" w:rsidRPr="008124C1" w:rsidRDefault="00F466AB" w:rsidP="00F466AB">
            <w:pPr>
              <w:numPr>
                <w:ilvl w:val="0"/>
                <w:numId w:val="6"/>
              </w:numPr>
              <w:rPr>
                <w:lang w:eastAsia="en-AU"/>
              </w:rPr>
            </w:pPr>
            <w:r w:rsidRPr="008124C1">
              <w:t xml:space="preserve">IP complexity also arises from the lack of uniformity in managing IP issues </w:t>
            </w:r>
            <w:r>
              <w:t>among</w:t>
            </w:r>
            <w:r w:rsidRPr="008124C1">
              <w:t xml:space="preserve"> research institutions</w:t>
            </w:r>
            <w:r>
              <w:t xml:space="preserve">. </w:t>
            </w:r>
          </w:p>
          <w:p w14:paraId="24269300" w14:textId="77777777" w:rsidR="00F466AB" w:rsidRPr="008124C1" w:rsidRDefault="00F466AB" w:rsidP="00F466AB">
            <w:pPr>
              <w:numPr>
                <w:ilvl w:val="0"/>
                <w:numId w:val="6"/>
              </w:numPr>
              <w:rPr>
                <w:lang w:eastAsia="en-AU"/>
              </w:rPr>
            </w:pPr>
            <w:r>
              <w:rPr>
                <w:lang w:eastAsia="en-AU"/>
              </w:rPr>
              <w:t>Some u</w:t>
            </w:r>
            <w:r w:rsidRPr="008124C1">
              <w:rPr>
                <w:lang w:eastAsia="en-AU"/>
              </w:rPr>
              <w:t>niversity personnel</w:t>
            </w:r>
            <w:r>
              <w:rPr>
                <w:lang w:eastAsia="en-AU"/>
              </w:rPr>
              <w:t xml:space="preserve"> do not</w:t>
            </w:r>
            <w:r w:rsidRPr="008124C1">
              <w:rPr>
                <w:lang w:eastAsia="en-AU"/>
              </w:rPr>
              <w:t xml:space="preserve"> promote their services as a researcher</w:t>
            </w:r>
            <w:r>
              <w:rPr>
                <w:lang w:eastAsia="en-AU"/>
              </w:rPr>
              <w:t xml:space="preserve"> which also impacts awareness levels</w:t>
            </w:r>
            <w:r w:rsidRPr="008124C1">
              <w:rPr>
                <w:lang w:eastAsia="en-AU"/>
              </w:rPr>
              <w:t>.</w:t>
            </w:r>
          </w:p>
          <w:p w14:paraId="76E22B1B" w14:textId="77777777" w:rsidR="00F466AB" w:rsidRPr="008124C1" w:rsidRDefault="00F466AB" w:rsidP="00F466AB">
            <w:pPr>
              <w:numPr>
                <w:ilvl w:val="0"/>
                <w:numId w:val="6"/>
              </w:numPr>
              <w:rPr>
                <w:lang w:eastAsia="en-AU"/>
              </w:rPr>
            </w:pPr>
            <w:r>
              <w:rPr>
                <w:lang w:eastAsia="en-AU"/>
              </w:rPr>
              <w:t>There is l</w:t>
            </w:r>
            <w:r w:rsidRPr="008124C1">
              <w:rPr>
                <w:lang w:eastAsia="en-AU"/>
              </w:rPr>
              <w:t xml:space="preserve">ow awareness </w:t>
            </w:r>
            <w:r>
              <w:rPr>
                <w:lang w:eastAsia="en-AU"/>
              </w:rPr>
              <w:t xml:space="preserve">of </w:t>
            </w:r>
            <w:r w:rsidRPr="008124C1">
              <w:rPr>
                <w:lang w:eastAsia="en-AU"/>
              </w:rPr>
              <w:t>the</w:t>
            </w:r>
            <w:r>
              <w:rPr>
                <w:lang w:eastAsia="en-AU"/>
              </w:rPr>
              <w:t xml:space="preserve"> R&amp;DTI</w:t>
            </w:r>
            <w:r w:rsidRPr="008124C1">
              <w:rPr>
                <w:lang w:eastAsia="en-AU"/>
              </w:rPr>
              <w:t xml:space="preserve"> program </w:t>
            </w:r>
            <w:r>
              <w:rPr>
                <w:lang w:eastAsia="en-AU"/>
              </w:rPr>
              <w:t>together with benefits of innovation and collaboration among SMEs</w:t>
            </w:r>
            <w:r w:rsidRPr="008124C1">
              <w:rPr>
                <w:lang w:eastAsia="en-AU"/>
              </w:rPr>
              <w:t>.</w:t>
            </w:r>
            <w:r>
              <w:rPr>
                <w:lang w:eastAsia="en-AU"/>
              </w:rPr>
              <w:t xml:space="preserve"> It is easier to hold workshops and events for companies already thinking about research collaboration but harder to reach those that may not even know what is possible.</w:t>
            </w:r>
          </w:p>
        </w:tc>
      </w:tr>
      <w:tr w:rsidR="00F466AB" w:rsidRPr="008124C1" w14:paraId="32CB6073" w14:textId="77777777" w:rsidTr="00180136">
        <w:trPr>
          <w:trHeight w:val="158"/>
        </w:trPr>
        <w:tc>
          <w:tcPr>
            <w:tcW w:w="1437" w:type="pct"/>
          </w:tcPr>
          <w:p w14:paraId="5EFD3C63" w14:textId="77777777" w:rsidR="00F466AB" w:rsidRPr="008124C1" w:rsidRDefault="00F466AB" w:rsidP="008124C1">
            <w:r w:rsidRPr="008124C1">
              <w:t>Website</w:t>
            </w:r>
          </w:p>
        </w:tc>
        <w:tc>
          <w:tcPr>
            <w:tcW w:w="3563" w:type="pct"/>
          </w:tcPr>
          <w:p w14:paraId="34029D00" w14:textId="77777777" w:rsidR="00F466AB" w:rsidRDefault="00F466AB" w:rsidP="00F466AB">
            <w:pPr>
              <w:numPr>
                <w:ilvl w:val="0"/>
                <w:numId w:val="6"/>
              </w:numPr>
            </w:pPr>
            <w:r w:rsidRPr="7C6AE1E8">
              <w:t>The website is a vital ‘shop front’ for the R&amp;DTI and for information about working with RSPs. The website requires continuous maintenance and management. Information should be reviewed and updated regularly.</w:t>
            </w:r>
          </w:p>
          <w:p w14:paraId="634DC637" w14:textId="77777777" w:rsidR="00F466AB" w:rsidRPr="008124C1" w:rsidRDefault="00F466AB" w:rsidP="00F466AB">
            <w:pPr>
              <w:numPr>
                <w:ilvl w:val="0"/>
                <w:numId w:val="6"/>
              </w:numPr>
            </w:pPr>
            <w:r w:rsidRPr="008124C1">
              <w:t>Some university contacts are listed incorrectly</w:t>
            </w:r>
            <w:r>
              <w:t xml:space="preserve"> and requested corrections are not made promptly</w:t>
            </w:r>
            <w:r w:rsidRPr="008124C1">
              <w:t>.</w:t>
            </w:r>
          </w:p>
          <w:p w14:paraId="39BA152E" w14:textId="77777777" w:rsidR="00F466AB" w:rsidRPr="008124C1" w:rsidRDefault="00F466AB" w:rsidP="00F466AB">
            <w:pPr>
              <w:numPr>
                <w:ilvl w:val="0"/>
                <w:numId w:val="6"/>
              </w:numPr>
            </w:pPr>
            <w:r w:rsidRPr="008124C1">
              <w:rPr>
                <w:lang w:eastAsia="en-AU"/>
              </w:rPr>
              <w:t xml:space="preserve">A better user interface on the website could assist clients to </w:t>
            </w:r>
            <w:r w:rsidRPr="008124C1">
              <w:t xml:space="preserve">search for and access services provided by </w:t>
            </w:r>
            <w:r>
              <w:t xml:space="preserve">registered </w:t>
            </w:r>
            <w:r w:rsidRPr="008124C1">
              <w:t>RSPs.</w:t>
            </w:r>
          </w:p>
        </w:tc>
      </w:tr>
      <w:tr w:rsidR="00F466AB" w:rsidRPr="008124C1" w14:paraId="316B198A" w14:textId="77777777" w:rsidTr="00180136">
        <w:trPr>
          <w:trHeight w:val="158"/>
        </w:trPr>
        <w:tc>
          <w:tcPr>
            <w:tcW w:w="1437" w:type="pct"/>
          </w:tcPr>
          <w:p w14:paraId="3F3FF458" w14:textId="77777777" w:rsidR="00F466AB" w:rsidRPr="008124C1" w:rsidRDefault="00F466AB" w:rsidP="00E0641C">
            <w:r>
              <w:t>Ideas for an RSP value proposition</w:t>
            </w:r>
          </w:p>
        </w:tc>
        <w:tc>
          <w:tcPr>
            <w:tcW w:w="3563" w:type="pct"/>
          </w:tcPr>
          <w:p w14:paraId="138DA246" w14:textId="77777777" w:rsidR="00F466AB" w:rsidRPr="00C0087E" w:rsidRDefault="00F466AB" w:rsidP="00F466AB">
            <w:pPr>
              <w:pStyle w:val="Bullet1"/>
              <w:spacing w:line="240" w:lineRule="auto"/>
              <w:rPr>
                <w:i/>
                <w:lang w:eastAsia="en-AU"/>
              </w:rPr>
            </w:pPr>
            <w:r>
              <w:rPr>
                <w:i/>
                <w:lang w:eastAsia="en-AU"/>
              </w:rPr>
              <w:t>Allow RSPs to provide a</w:t>
            </w:r>
            <w:r w:rsidRPr="00C0087E">
              <w:rPr>
                <w:i/>
                <w:lang w:eastAsia="en-AU"/>
              </w:rPr>
              <w:t xml:space="preserve">dministration support </w:t>
            </w:r>
            <w:r>
              <w:rPr>
                <w:i/>
                <w:lang w:eastAsia="en-AU"/>
              </w:rPr>
              <w:t>to R&amp;DTI applicants</w:t>
            </w:r>
            <w:r w:rsidRPr="00C0087E">
              <w:rPr>
                <w:i/>
                <w:lang w:eastAsia="en-AU"/>
              </w:rPr>
              <w:t xml:space="preserve"> </w:t>
            </w:r>
          </w:p>
          <w:p w14:paraId="3B9703CA" w14:textId="77777777" w:rsidR="00F466AB" w:rsidRPr="008124C1" w:rsidRDefault="00F466AB" w:rsidP="00F466AB">
            <w:pPr>
              <w:pStyle w:val="Bullet2"/>
              <w:spacing w:line="240" w:lineRule="auto"/>
              <w:rPr>
                <w:lang w:eastAsia="en-AU"/>
              </w:rPr>
            </w:pPr>
            <w:r w:rsidRPr="008124C1">
              <w:rPr>
                <w:lang w:eastAsia="en-AU"/>
              </w:rPr>
              <w:t xml:space="preserve">RSPs </w:t>
            </w:r>
            <w:r>
              <w:rPr>
                <w:lang w:eastAsia="en-AU"/>
              </w:rPr>
              <w:t xml:space="preserve">could </w:t>
            </w:r>
            <w:r w:rsidRPr="008124C1">
              <w:rPr>
                <w:lang w:eastAsia="en-AU"/>
              </w:rPr>
              <w:t>help companies in the application process</w:t>
            </w:r>
            <w:r>
              <w:rPr>
                <w:lang w:eastAsia="en-AU"/>
              </w:rPr>
              <w:t xml:space="preserve"> as they are well placed to </w:t>
            </w:r>
            <w:r w:rsidRPr="008124C1">
              <w:rPr>
                <w:lang w:eastAsia="en-AU"/>
              </w:rPr>
              <w:t xml:space="preserve">keep </w:t>
            </w:r>
            <w:r>
              <w:rPr>
                <w:lang w:eastAsia="en-AU"/>
              </w:rPr>
              <w:t>required</w:t>
            </w:r>
            <w:r w:rsidRPr="008124C1">
              <w:rPr>
                <w:lang w:eastAsia="en-AU"/>
              </w:rPr>
              <w:t xml:space="preserve"> evidence on behalf of the</w:t>
            </w:r>
            <w:r>
              <w:rPr>
                <w:lang w:eastAsia="en-AU"/>
              </w:rPr>
              <w:t>ir</w:t>
            </w:r>
            <w:r w:rsidRPr="008124C1">
              <w:rPr>
                <w:lang w:eastAsia="en-AU"/>
              </w:rPr>
              <w:t xml:space="preserve"> client. </w:t>
            </w:r>
            <w:r>
              <w:rPr>
                <w:lang w:eastAsia="en-AU"/>
              </w:rPr>
              <w:t xml:space="preserve">An RSP could also make </w:t>
            </w:r>
            <w:r w:rsidRPr="008124C1">
              <w:rPr>
                <w:lang w:eastAsia="en-AU"/>
              </w:rPr>
              <w:t>R&amp;D</w:t>
            </w:r>
            <w:r>
              <w:rPr>
                <w:lang w:eastAsia="en-AU"/>
              </w:rPr>
              <w:t>TI</w:t>
            </w:r>
            <w:r w:rsidRPr="008124C1">
              <w:rPr>
                <w:lang w:eastAsia="en-AU"/>
              </w:rPr>
              <w:t xml:space="preserve"> application process </w:t>
            </w:r>
            <w:r>
              <w:rPr>
                <w:lang w:eastAsia="en-AU"/>
              </w:rPr>
              <w:t xml:space="preserve">easier as they </w:t>
            </w:r>
            <w:r w:rsidRPr="008124C1">
              <w:rPr>
                <w:lang w:eastAsia="en-AU"/>
              </w:rPr>
              <w:t xml:space="preserve">can </w:t>
            </w:r>
            <w:r>
              <w:rPr>
                <w:lang w:eastAsia="en-AU"/>
              </w:rPr>
              <w:t xml:space="preserve">more readily </w:t>
            </w:r>
            <w:r w:rsidRPr="008124C1">
              <w:rPr>
                <w:lang w:eastAsia="en-AU"/>
              </w:rPr>
              <w:t xml:space="preserve">provide </w:t>
            </w:r>
            <w:r>
              <w:rPr>
                <w:lang w:eastAsia="en-AU"/>
              </w:rPr>
              <w:t xml:space="preserve">relevant </w:t>
            </w:r>
            <w:r w:rsidRPr="008124C1">
              <w:rPr>
                <w:lang w:eastAsia="en-AU"/>
              </w:rPr>
              <w:t>technical information</w:t>
            </w:r>
            <w:r>
              <w:rPr>
                <w:lang w:eastAsia="en-AU"/>
              </w:rPr>
              <w:t xml:space="preserve"> and evidence when required.</w:t>
            </w:r>
          </w:p>
          <w:p w14:paraId="2B79243E" w14:textId="77777777" w:rsidR="00F466AB" w:rsidRPr="00C0087E" w:rsidRDefault="00F466AB" w:rsidP="00F466AB">
            <w:pPr>
              <w:pStyle w:val="Bullet1"/>
              <w:spacing w:line="240" w:lineRule="auto"/>
              <w:rPr>
                <w:i/>
              </w:rPr>
            </w:pPr>
            <w:r w:rsidRPr="00C0087E">
              <w:rPr>
                <w:i/>
              </w:rPr>
              <w:lastRenderedPageBreak/>
              <w:t xml:space="preserve">Affordability </w:t>
            </w:r>
          </w:p>
          <w:p w14:paraId="6170196A" w14:textId="77777777" w:rsidR="00F466AB" w:rsidRDefault="00F466AB" w:rsidP="00F466AB">
            <w:pPr>
              <w:pStyle w:val="Bullet2"/>
              <w:spacing w:line="240" w:lineRule="auto"/>
            </w:pPr>
            <w:r w:rsidRPr="008124C1">
              <w:t xml:space="preserve">Affordability </w:t>
            </w:r>
            <w:r>
              <w:t>concerns can be addressed</w:t>
            </w:r>
            <w:r w:rsidRPr="008124C1">
              <w:t xml:space="preserve"> </w:t>
            </w:r>
            <w:r>
              <w:t>where</w:t>
            </w:r>
            <w:r w:rsidRPr="008124C1">
              <w:t xml:space="preserve"> R&amp;D is done in collaboration</w:t>
            </w:r>
            <w:r>
              <w:t xml:space="preserve"> and the financial outlay is shared</w:t>
            </w:r>
            <w:r w:rsidRPr="008124C1">
              <w:t>.</w:t>
            </w:r>
          </w:p>
          <w:p w14:paraId="248BEEDF" w14:textId="77777777" w:rsidR="00F466AB" w:rsidRPr="004C3090" w:rsidRDefault="00F466AB" w:rsidP="00F466AB">
            <w:pPr>
              <w:pStyle w:val="Bullet2"/>
              <w:spacing w:line="240" w:lineRule="auto"/>
            </w:pPr>
            <w:r w:rsidRPr="004C3090">
              <w:rPr>
                <w:lang w:eastAsia="en-AU"/>
              </w:rPr>
              <w:t xml:space="preserve">The real value add is the opportunity for small businesses to access the refundable tax offset. </w:t>
            </w:r>
          </w:p>
          <w:p w14:paraId="2757A20D" w14:textId="77777777" w:rsidR="00F466AB" w:rsidRPr="008124C1" w:rsidRDefault="00F466AB" w:rsidP="00F466AB">
            <w:pPr>
              <w:pStyle w:val="Bullet2"/>
              <w:spacing w:line="240" w:lineRule="auto"/>
            </w:pPr>
            <w:r>
              <w:t xml:space="preserve">Opportunities for investment capital are often linked to R&amp;D in industries that are aligned with industries of the future and economic growth. </w:t>
            </w:r>
          </w:p>
          <w:p w14:paraId="67F099AC" w14:textId="77777777" w:rsidR="00F466AB" w:rsidRPr="00C0087E" w:rsidRDefault="00F466AB" w:rsidP="00F466AB">
            <w:pPr>
              <w:pStyle w:val="Bullet1"/>
              <w:spacing w:line="240" w:lineRule="auto"/>
              <w:rPr>
                <w:i/>
              </w:rPr>
            </w:pPr>
            <w:r w:rsidRPr="00C0087E">
              <w:rPr>
                <w:i/>
              </w:rPr>
              <w:t>Capability exchange</w:t>
            </w:r>
          </w:p>
          <w:p w14:paraId="14444A3B" w14:textId="77777777" w:rsidR="00F466AB" w:rsidRDefault="00F466AB" w:rsidP="00F466AB">
            <w:pPr>
              <w:pStyle w:val="Bullet2"/>
              <w:spacing w:line="240" w:lineRule="auto"/>
            </w:pPr>
            <w:r>
              <w:t>RSPs and businesses offer resources and experience that can be leveraged by each for success and mutual benefit. Industry engagement by academics can be useful for understanding, translation and commercialisation and companies gain benefits from working with academically qualified staff.</w:t>
            </w:r>
          </w:p>
          <w:p w14:paraId="1AE07EBF" w14:textId="77777777" w:rsidR="00F466AB" w:rsidRPr="008124C1" w:rsidRDefault="00F466AB" w:rsidP="00F466AB">
            <w:pPr>
              <w:pStyle w:val="Bullet2"/>
              <w:spacing w:line="240" w:lineRule="auto"/>
            </w:pPr>
            <w:r w:rsidRPr="008124C1">
              <w:t xml:space="preserve">Businesses </w:t>
            </w:r>
            <w:r>
              <w:t xml:space="preserve">that seek active engagement with researchers </w:t>
            </w:r>
            <w:r w:rsidRPr="008124C1">
              <w:t xml:space="preserve">will learn how to work with people who have PhDs </w:t>
            </w:r>
            <w:r>
              <w:t>and will enhance their awareness of collaboration opportunities</w:t>
            </w:r>
            <w:r w:rsidRPr="008124C1">
              <w:t>.</w:t>
            </w:r>
          </w:p>
        </w:tc>
      </w:tr>
      <w:tr w:rsidR="00F466AB" w:rsidRPr="008124C1" w14:paraId="2F81FFFE" w14:textId="77777777" w:rsidTr="00180136">
        <w:trPr>
          <w:trHeight w:val="158"/>
        </w:trPr>
        <w:tc>
          <w:tcPr>
            <w:tcW w:w="1437" w:type="pct"/>
          </w:tcPr>
          <w:p w14:paraId="74BF86CA" w14:textId="77777777" w:rsidR="00F466AB" w:rsidRPr="008124C1" w:rsidRDefault="00F466AB" w:rsidP="000666D5">
            <w:r>
              <w:lastRenderedPageBreak/>
              <w:t>Suggested opportunities to address i</w:t>
            </w:r>
            <w:r w:rsidRPr="008124C1">
              <w:t>nformation gaps</w:t>
            </w:r>
          </w:p>
        </w:tc>
        <w:tc>
          <w:tcPr>
            <w:tcW w:w="3563" w:type="pct"/>
          </w:tcPr>
          <w:p w14:paraId="72A2F468" w14:textId="77777777" w:rsidR="00F466AB" w:rsidRDefault="00F466AB" w:rsidP="00F466AB">
            <w:pPr>
              <w:pStyle w:val="Bullet1"/>
              <w:spacing w:line="240" w:lineRule="auto"/>
            </w:pPr>
            <w:r>
              <w:t>Demonstrate h</w:t>
            </w:r>
            <w:r w:rsidRPr="008124C1">
              <w:t xml:space="preserve">ow </w:t>
            </w:r>
            <w:r>
              <w:t>companies and RSPs can</w:t>
            </w:r>
            <w:r w:rsidRPr="008124C1">
              <w:t xml:space="preserve"> navigate the program</w:t>
            </w:r>
            <w:r>
              <w:t xml:space="preserve"> and overcome challenges in RSP collaboration through champions and customer stories.</w:t>
            </w:r>
          </w:p>
          <w:p w14:paraId="708731E3" w14:textId="77777777" w:rsidR="00F466AB" w:rsidRDefault="00F466AB" w:rsidP="00F466AB">
            <w:pPr>
              <w:pStyle w:val="Bullet1"/>
              <w:spacing w:line="240" w:lineRule="auto"/>
            </w:pPr>
            <w:r>
              <w:t xml:space="preserve">Any communication – podcasts, case studies, etc. - that validates the value of research collaboration for SMEs and how to do this better will build trust that a positive outcome can be achieved. </w:t>
            </w:r>
          </w:p>
          <w:p w14:paraId="0D91D844" w14:textId="77777777" w:rsidR="00F466AB" w:rsidRDefault="00F466AB" w:rsidP="00F466AB">
            <w:pPr>
              <w:pStyle w:val="Bullet1"/>
              <w:spacing w:line="240" w:lineRule="auto"/>
              <w:rPr>
                <w:lang w:eastAsia="en-AU"/>
              </w:rPr>
            </w:pPr>
            <w:r>
              <w:t xml:space="preserve">Encourage research and collaboration by demonstrating </w:t>
            </w:r>
            <w:r w:rsidRPr="00291BBB">
              <w:t>the whole ecosystem of R&amp;D support programs for businesses and RSPs</w:t>
            </w:r>
            <w:r>
              <w:t>. This will enable</w:t>
            </w:r>
            <w:r w:rsidRPr="00291BBB">
              <w:t xml:space="preserve"> a broader perspective on </w:t>
            </w:r>
            <w:r>
              <w:t xml:space="preserve">the </w:t>
            </w:r>
            <w:r w:rsidRPr="00291BBB">
              <w:t xml:space="preserve">government assistance </w:t>
            </w:r>
            <w:r>
              <w:t xml:space="preserve">that </w:t>
            </w:r>
            <w:r w:rsidRPr="00291BBB">
              <w:t>is available.</w:t>
            </w:r>
            <w:r>
              <w:t xml:space="preserve"> </w:t>
            </w:r>
            <w:r>
              <w:rPr>
                <w:lang w:eastAsia="en-AU"/>
              </w:rPr>
              <w:t>Consider the p</w:t>
            </w:r>
            <w:r w:rsidRPr="008124C1">
              <w:rPr>
                <w:lang w:eastAsia="en-AU"/>
              </w:rPr>
              <w:t xml:space="preserve">otential </w:t>
            </w:r>
            <w:r>
              <w:rPr>
                <w:lang w:eastAsia="en-AU"/>
              </w:rPr>
              <w:t xml:space="preserve">to </w:t>
            </w:r>
            <w:r w:rsidRPr="008124C1">
              <w:rPr>
                <w:lang w:eastAsia="en-AU"/>
              </w:rPr>
              <w:t xml:space="preserve">partner with IP Australia to </w:t>
            </w:r>
            <w:r>
              <w:rPr>
                <w:lang w:eastAsia="en-AU"/>
              </w:rPr>
              <w:t>provide guidance on</w:t>
            </w:r>
            <w:r w:rsidRPr="008124C1">
              <w:rPr>
                <w:lang w:eastAsia="en-AU"/>
              </w:rPr>
              <w:t xml:space="preserve"> </w:t>
            </w:r>
            <w:r>
              <w:rPr>
                <w:lang w:eastAsia="en-AU"/>
              </w:rPr>
              <w:t>managing IP issues when a company wants to collaborate with an RSP.</w:t>
            </w:r>
          </w:p>
          <w:p w14:paraId="2F22537D" w14:textId="77777777" w:rsidR="00F466AB" w:rsidRPr="008124C1" w:rsidRDefault="00F466AB" w:rsidP="00F466AB">
            <w:pPr>
              <w:pStyle w:val="Bullet1"/>
              <w:spacing w:line="240" w:lineRule="auto"/>
              <w:rPr>
                <w:lang w:eastAsia="en-AU"/>
              </w:rPr>
            </w:pPr>
            <w:r>
              <w:rPr>
                <w:lang w:eastAsia="en-AU"/>
              </w:rPr>
              <w:t xml:space="preserve">Case studies and companies that share their stories to demystify IP issues and give their tips to navigate IP protection will help address recurring questions around IP. Company stories told by people will be more effective than website information. </w:t>
            </w:r>
          </w:p>
          <w:p w14:paraId="52E9B162" w14:textId="77777777" w:rsidR="00F466AB" w:rsidRPr="008124C1" w:rsidRDefault="00F466AB" w:rsidP="00F466AB">
            <w:pPr>
              <w:pStyle w:val="Bullet1"/>
              <w:spacing w:line="240" w:lineRule="auto"/>
              <w:rPr>
                <w:lang w:eastAsia="en-AU"/>
              </w:rPr>
            </w:pPr>
            <w:r>
              <w:t>Provide a b</w:t>
            </w:r>
            <w:r w:rsidRPr="008124C1">
              <w:t>roader understanding o</w:t>
            </w:r>
            <w:r>
              <w:t>n</w:t>
            </w:r>
            <w:r w:rsidRPr="008124C1">
              <w:t xml:space="preserve"> the </w:t>
            </w:r>
            <w:r>
              <w:t xml:space="preserve">types of organisations, </w:t>
            </w:r>
            <w:r w:rsidRPr="008124C1">
              <w:t>including private companies</w:t>
            </w:r>
            <w:r>
              <w:t xml:space="preserve"> that</w:t>
            </w:r>
            <w:r w:rsidRPr="008124C1">
              <w:t xml:space="preserve"> </w:t>
            </w:r>
            <w:r>
              <w:t xml:space="preserve">deliver </w:t>
            </w:r>
            <w:r w:rsidRPr="008124C1">
              <w:t xml:space="preserve">contracted R&amp;D support to entities that are claiming the </w:t>
            </w:r>
            <w:r>
              <w:t>R&amp;DTI</w:t>
            </w:r>
            <w:r w:rsidRPr="008124C1">
              <w:t>.</w:t>
            </w:r>
            <w:r>
              <w:t xml:space="preserve"> This will also demonstrate examples of applied research being undertaken. </w:t>
            </w:r>
          </w:p>
          <w:p w14:paraId="6A46E7AC" w14:textId="77777777" w:rsidR="00F466AB" w:rsidRDefault="00F466AB" w:rsidP="00F466AB">
            <w:pPr>
              <w:pStyle w:val="Bullet1"/>
              <w:spacing w:line="240" w:lineRule="auto"/>
            </w:pPr>
            <w:r w:rsidRPr="004C3090">
              <w:t xml:space="preserve">Consider a benchmarking study </w:t>
            </w:r>
            <w:r>
              <w:t>to determine</w:t>
            </w:r>
            <w:r w:rsidRPr="004C3090">
              <w:t xml:space="preserve"> best practice and what can be done better</w:t>
            </w:r>
            <w:r>
              <w:t xml:space="preserve"> when engaging in research collaborations</w:t>
            </w:r>
            <w:r w:rsidRPr="008124C1">
              <w:t>.</w:t>
            </w:r>
            <w:r>
              <w:t xml:space="preserve"> This will help companies navigate the journey of building and executing successful research collaborations.</w:t>
            </w:r>
          </w:p>
          <w:p w14:paraId="3D32A0FA" w14:textId="77777777" w:rsidR="00F466AB" w:rsidRDefault="00F466AB" w:rsidP="00F466AB">
            <w:pPr>
              <w:pStyle w:val="Bullet1"/>
              <w:spacing w:line="240" w:lineRule="auto"/>
            </w:pPr>
            <w:r>
              <w:t>Create ‘how to’ information for researchers who want to work with industry. This will also serve mobility and skill exchanges between universities and businesses.</w:t>
            </w:r>
          </w:p>
          <w:p w14:paraId="5A567B73" w14:textId="77777777" w:rsidR="00F466AB" w:rsidRPr="008124C1" w:rsidRDefault="00F466AB" w:rsidP="00F466AB">
            <w:pPr>
              <w:pStyle w:val="Bullet1"/>
              <w:spacing w:line="240" w:lineRule="auto"/>
            </w:pPr>
            <w:r>
              <w:t>Many start-ups and spin out businesses now emerge from universities and have a perspective on commercialisation. Universities have innovation and commercialisation groups that are working with industry on commercialisation issues. Universities are very interested in engaging with industry organisations.</w:t>
            </w:r>
          </w:p>
          <w:p w14:paraId="42CAC272" w14:textId="77777777" w:rsidR="00F466AB" w:rsidRPr="008124C1" w:rsidRDefault="00F466AB" w:rsidP="00F466AB">
            <w:pPr>
              <w:pStyle w:val="Bullet1"/>
              <w:spacing w:line="240" w:lineRule="auto"/>
            </w:pPr>
            <w:r>
              <w:lastRenderedPageBreak/>
              <w:t>Increase</w:t>
            </w:r>
            <w:r w:rsidRPr="008124C1">
              <w:t xml:space="preserve"> messaging </w:t>
            </w:r>
            <w:r>
              <w:t xml:space="preserve">on </w:t>
            </w:r>
            <w:r w:rsidRPr="008124C1">
              <w:t>the financial benef</w:t>
            </w:r>
            <w:r>
              <w:t xml:space="preserve">its and provide information on the interaction with grants, including </w:t>
            </w:r>
            <w:r w:rsidRPr="008124C1">
              <w:t>clawback</w:t>
            </w:r>
            <w:r>
              <w:t xml:space="preserve"> requirements</w:t>
            </w:r>
          </w:p>
          <w:p w14:paraId="779256D1" w14:textId="77777777" w:rsidR="00F466AB" w:rsidRPr="00755E5F" w:rsidRDefault="00F466AB" w:rsidP="00F466AB">
            <w:pPr>
              <w:pStyle w:val="Bullet1"/>
              <w:spacing w:line="240" w:lineRule="auto"/>
            </w:pPr>
            <w:r w:rsidRPr="00755E5F">
              <w:t>Explain the life story on the trials and tribulations that companies experienced, particularly noting the perseverance throughout the journey and how they overcame the barriers.</w:t>
            </w:r>
          </w:p>
          <w:p w14:paraId="44199419" w14:textId="77777777" w:rsidR="00F466AB" w:rsidRDefault="00F466AB" w:rsidP="00F466AB">
            <w:pPr>
              <w:pStyle w:val="Bullet1"/>
              <w:spacing w:line="240" w:lineRule="auto"/>
            </w:pPr>
            <w:r>
              <w:t>Promote greater understanding on the issues that face RSPs and business in order to facilitate more effective collaborations for mutual benefit.</w:t>
            </w:r>
          </w:p>
          <w:p w14:paraId="24536CCF" w14:textId="77777777" w:rsidR="00F466AB" w:rsidRPr="008124C1" w:rsidRDefault="00F466AB" w:rsidP="00F466AB">
            <w:pPr>
              <w:pStyle w:val="Bullet1"/>
              <w:spacing w:line="240" w:lineRule="auto"/>
            </w:pPr>
            <w:r>
              <w:t>Establish easy pathways for SMEs to ask questions.</w:t>
            </w:r>
          </w:p>
        </w:tc>
      </w:tr>
      <w:tr w:rsidR="00F466AB" w:rsidRPr="008124C1" w14:paraId="2BD9A1FD" w14:textId="77777777" w:rsidTr="00180136">
        <w:trPr>
          <w:trHeight w:val="158"/>
        </w:trPr>
        <w:tc>
          <w:tcPr>
            <w:tcW w:w="1437" w:type="pct"/>
          </w:tcPr>
          <w:p w14:paraId="29466EFE" w14:textId="77777777" w:rsidR="00F466AB" w:rsidRPr="008124C1" w:rsidRDefault="00F466AB" w:rsidP="008124C1">
            <w:r w:rsidRPr="008124C1">
              <w:lastRenderedPageBreak/>
              <w:t xml:space="preserve">Communications </w:t>
            </w:r>
            <w:r>
              <w:t>m</w:t>
            </w:r>
            <w:r w:rsidRPr="008124C1">
              <w:t>aterial</w:t>
            </w:r>
          </w:p>
        </w:tc>
        <w:tc>
          <w:tcPr>
            <w:tcW w:w="3563" w:type="pct"/>
          </w:tcPr>
          <w:p w14:paraId="0E1CD733" w14:textId="77777777" w:rsidR="00F466AB" w:rsidRPr="004C3090" w:rsidRDefault="00F466AB" w:rsidP="00F466AB">
            <w:pPr>
              <w:numPr>
                <w:ilvl w:val="0"/>
                <w:numId w:val="6"/>
              </w:numPr>
              <w:rPr>
                <w:lang w:eastAsia="en-AU"/>
              </w:rPr>
            </w:pPr>
            <w:r>
              <w:rPr>
                <w:lang w:eastAsia="en-AU"/>
              </w:rPr>
              <w:t xml:space="preserve"> I</w:t>
            </w:r>
            <w:r w:rsidRPr="008124C1">
              <w:rPr>
                <w:lang w:eastAsia="en-AU"/>
              </w:rPr>
              <w:t>nformation</w:t>
            </w:r>
            <w:r>
              <w:rPr>
                <w:lang w:eastAsia="en-AU"/>
              </w:rPr>
              <w:t xml:space="preserve"> from AusIndustry on the program</w:t>
            </w:r>
            <w:r w:rsidRPr="008124C1">
              <w:rPr>
                <w:lang w:eastAsia="en-AU"/>
              </w:rPr>
              <w:t xml:space="preserve"> seems to have limited efficacy</w:t>
            </w:r>
            <w:r>
              <w:rPr>
                <w:lang w:eastAsia="en-AU"/>
              </w:rPr>
              <w:t xml:space="preserve"> in promoting awareness and engagement with RSPs</w:t>
            </w:r>
            <w:r w:rsidRPr="008124C1">
              <w:rPr>
                <w:lang w:eastAsia="en-AU"/>
              </w:rPr>
              <w:t xml:space="preserve">. </w:t>
            </w:r>
            <w:r w:rsidRPr="004C3090">
              <w:rPr>
                <w:lang w:eastAsia="en-AU"/>
              </w:rPr>
              <w:t>The preference is brief, easy to access collateral and podcasts/videos.</w:t>
            </w:r>
          </w:p>
          <w:p w14:paraId="0378799A" w14:textId="77777777" w:rsidR="00F466AB" w:rsidRDefault="00F466AB" w:rsidP="00F466AB">
            <w:pPr>
              <w:pStyle w:val="Bullet1"/>
              <w:spacing w:line="240" w:lineRule="auto"/>
              <w:rPr>
                <w:lang w:eastAsia="en-AU"/>
              </w:rPr>
            </w:pPr>
            <w:r w:rsidRPr="008124C1">
              <w:rPr>
                <w:lang w:eastAsia="en-AU"/>
              </w:rPr>
              <w:t>Present relatable</w:t>
            </w:r>
            <w:r>
              <w:rPr>
                <w:lang w:eastAsia="en-AU"/>
              </w:rPr>
              <w:t xml:space="preserve"> and easy to access</w:t>
            </w:r>
            <w:r w:rsidRPr="008124C1">
              <w:rPr>
                <w:lang w:eastAsia="en-AU"/>
              </w:rPr>
              <w:t xml:space="preserve"> examples in the form of podcasts, video interview</w:t>
            </w:r>
            <w:r>
              <w:rPr>
                <w:lang w:eastAsia="en-AU"/>
              </w:rPr>
              <w:t>s</w:t>
            </w:r>
            <w:r w:rsidRPr="008124C1">
              <w:rPr>
                <w:lang w:eastAsia="en-AU"/>
              </w:rPr>
              <w:t xml:space="preserve"> and case studies from people who've engaged with the program in different ways</w:t>
            </w:r>
            <w:r>
              <w:rPr>
                <w:lang w:eastAsia="en-AU"/>
              </w:rPr>
              <w:t xml:space="preserve"> and demonstrate various perspectives.</w:t>
            </w:r>
          </w:p>
          <w:p w14:paraId="3FDDB3A8" w14:textId="77777777" w:rsidR="00F466AB" w:rsidRPr="008124C1" w:rsidRDefault="00F466AB" w:rsidP="00F466AB">
            <w:pPr>
              <w:pStyle w:val="Bullet1"/>
              <w:spacing w:line="240" w:lineRule="auto"/>
              <w:rPr>
                <w:lang w:eastAsia="en-AU"/>
              </w:rPr>
            </w:pPr>
            <w:r>
              <w:rPr>
                <w:lang w:eastAsia="en-AU"/>
              </w:rPr>
              <w:t>Communication that d</w:t>
            </w:r>
            <w:r w:rsidRPr="00F50200">
              <w:rPr>
                <w:lang w:eastAsia="en-AU"/>
              </w:rPr>
              <w:t>emonstrate</w:t>
            </w:r>
            <w:r>
              <w:rPr>
                <w:lang w:eastAsia="en-AU"/>
              </w:rPr>
              <w:t>s</w:t>
            </w:r>
            <w:r w:rsidRPr="00F50200">
              <w:rPr>
                <w:lang w:eastAsia="en-AU"/>
              </w:rPr>
              <w:t xml:space="preserve"> how the </w:t>
            </w:r>
            <w:r>
              <w:rPr>
                <w:lang w:eastAsia="en-AU"/>
              </w:rPr>
              <w:t xml:space="preserve">R&amp;DTI </w:t>
            </w:r>
            <w:r w:rsidRPr="00F50200">
              <w:rPr>
                <w:lang w:eastAsia="en-AU"/>
              </w:rPr>
              <w:t>program has helped businesses</w:t>
            </w:r>
            <w:r>
              <w:rPr>
                <w:lang w:eastAsia="en-AU"/>
              </w:rPr>
              <w:t xml:space="preserve"> and examples of collaboration are very effective for creating awareness e.g.</w:t>
            </w:r>
            <w:r w:rsidRPr="00F50200">
              <w:rPr>
                <w:lang w:eastAsia="en-AU"/>
              </w:rPr>
              <w:t xml:space="preserve"> </w:t>
            </w:r>
            <w:r>
              <w:rPr>
                <w:lang w:eastAsia="en-AU"/>
              </w:rPr>
              <w:t>What</w:t>
            </w:r>
            <w:r w:rsidRPr="00F50200">
              <w:rPr>
                <w:lang w:eastAsia="en-AU"/>
              </w:rPr>
              <w:t xml:space="preserve"> does it mean to collaborate with researchers and what does it look like? What is the impact of the R&amp;DTI on operations and on the R&amp;D generate</w:t>
            </w:r>
            <w:r>
              <w:rPr>
                <w:lang w:eastAsia="en-AU"/>
              </w:rPr>
              <w:t>d? W</w:t>
            </w:r>
            <w:r w:rsidRPr="00F50200">
              <w:rPr>
                <w:lang w:eastAsia="en-AU"/>
              </w:rPr>
              <w:t xml:space="preserve">hat kind of R&amp;D </w:t>
            </w:r>
            <w:r>
              <w:rPr>
                <w:lang w:eastAsia="en-AU"/>
              </w:rPr>
              <w:t>is being conducted</w:t>
            </w:r>
            <w:r w:rsidRPr="00F50200">
              <w:rPr>
                <w:lang w:eastAsia="en-AU"/>
              </w:rPr>
              <w:t>?</w:t>
            </w:r>
          </w:p>
          <w:p w14:paraId="3741FC0A" w14:textId="77777777" w:rsidR="00F466AB" w:rsidRPr="008124C1" w:rsidRDefault="00F466AB" w:rsidP="00F466AB">
            <w:pPr>
              <w:pStyle w:val="Bullet1"/>
              <w:spacing w:line="240" w:lineRule="auto"/>
              <w:rPr>
                <w:lang w:eastAsia="en-AU"/>
              </w:rPr>
            </w:pPr>
            <w:r>
              <w:rPr>
                <w:lang w:eastAsia="en-AU"/>
              </w:rPr>
              <w:t>Convey practical tips from</w:t>
            </w:r>
            <w:r w:rsidRPr="008124C1">
              <w:rPr>
                <w:lang w:eastAsia="en-AU"/>
              </w:rPr>
              <w:t xml:space="preserve"> SMEs who have engaged with Universities and PhD researchers. </w:t>
            </w:r>
          </w:p>
          <w:p w14:paraId="796ED476" w14:textId="77777777" w:rsidR="00F466AB" w:rsidRPr="008124C1" w:rsidRDefault="00F466AB" w:rsidP="00F466AB">
            <w:pPr>
              <w:pStyle w:val="Bullet1"/>
              <w:spacing w:line="240" w:lineRule="auto"/>
              <w:rPr>
                <w:lang w:eastAsia="en-AU"/>
              </w:rPr>
            </w:pPr>
            <w:r>
              <w:rPr>
                <w:lang w:eastAsia="en-AU"/>
              </w:rPr>
              <w:t>Enable c</w:t>
            </w:r>
            <w:r w:rsidRPr="008124C1">
              <w:rPr>
                <w:lang w:eastAsia="en-AU"/>
              </w:rPr>
              <w:t>hampions</w:t>
            </w:r>
            <w:r>
              <w:rPr>
                <w:lang w:eastAsia="en-AU"/>
              </w:rPr>
              <w:t>/messengers to share their journey from never having</w:t>
            </w:r>
            <w:r w:rsidRPr="008124C1">
              <w:rPr>
                <w:lang w:eastAsia="en-AU"/>
              </w:rPr>
              <w:t xml:space="preserve"> thought about engaging in research collaboration through to being actively engaged</w:t>
            </w:r>
            <w:r>
              <w:rPr>
                <w:lang w:eastAsia="en-AU"/>
              </w:rPr>
              <w:t xml:space="preserve"> and what challenges they faced along the way</w:t>
            </w:r>
            <w:r w:rsidRPr="008124C1">
              <w:rPr>
                <w:lang w:eastAsia="en-AU"/>
              </w:rPr>
              <w:t>.</w:t>
            </w:r>
          </w:p>
        </w:tc>
      </w:tr>
      <w:tr w:rsidR="00F466AB" w:rsidRPr="008124C1" w14:paraId="3B683E77" w14:textId="77777777" w:rsidTr="00180136">
        <w:trPr>
          <w:trHeight w:val="158"/>
        </w:trPr>
        <w:tc>
          <w:tcPr>
            <w:tcW w:w="1437" w:type="pct"/>
          </w:tcPr>
          <w:p w14:paraId="572828C5" w14:textId="77777777" w:rsidR="00F466AB" w:rsidRPr="008124C1" w:rsidRDefault="00F466AB" w:rsidP="008124C1">
            <w:r w:rsidRPr="008124C1">
              <w:t xml:space="preserve">What’s </w:t>
            </w:r>
            <w:r>
              <w:t>w</w:t>
            </w:r>
            <w:r w:rsidRPr="008124C1">
              <w:t xml:space="preserve">orking </w:t>
            </w:r>
          </w:p>
        </w:tc>
        <w:tc>
          <w:tcPr>
            <w:tcW w:w="3563" w:type="pct"/>
          </w:tcPr>
          <w:p w14:paraId="3AB100CF" w14:textId="77777777" w:rsidR="00F466AB" w:rsidRPr="008124C1" w:rsidRDefault="00F466AB" w:rsidP="00F466AB">
            <w:pPr>
              <w:pStyle w:val="Bullet1"/>
              <w:spacing w:line="240" w:lineRule="auto"/>
            </w:pPr>
            <w:r w:rsidRPr="008124C1">
              <w:t>Innovation Connecti</w:t>
            </w:r>
            <w:r>
              <w:t>on’s facilitators who facilitate and support linkages</w:t>
            </w:r>
            <w:r w:rsidRPr="008124C1">
              <w:t xml:space="preserve"> between the universities, research providers and the companies.</w:t>
            </w:r>
          </w:p>
          <w:p w14:paraId="3378C69D" w14:textId="77777777" w:rsidR="00F466AB" w:rsidRPr="008124C1" w:rsidRDefault="00F466AB" w:rsidP="00F466AB">
            <w:pPr>
              <w:pStyle w:val="Bullet1"/>
              <w:spacing w:line="240" w:lineRule="auto"/>
            </w:pPr>
            <w:r w:rsidRPr="008124C1">
              <w:t>AusIndustry</w:t>
            </w:r>
            <w:r>
              <w:t>’s</w:t>
            </w:r>
            <w:r w:rsidRPr="008124C1">
              <w:t xml:space="preserve"> </w:t>
            </w:r>
            <w:r>
              <w:t xml:space="preserve">willingness to deliver presentations </w:t>
            </w:r>
            <w:r w:rsidRPr="008124C1">
              <w:t>at</w:t>
            </w:r>
            <w:r>
              <w:t xml:space="preserve"> stakeholder </w:t>
            </w:r>
            <w:r w:rsidRPr="008124C1">
              <w:t>events</w:t>
            </w:r>
            <w:r>
              <w:t>.</w:t>
            </w:r>
          </w:p>
        </w:tc>
      </w:tr>
      <w:tr w:rsidR="00F466AB" w:rsidRPr="008124C1" w14:paraId="039E3DE0" w14:textId="77777777" w:rsidTr="00180136">
        <w:trPr>
          <w:trHeight w:val="158"/>
        </w:trPr>
        <w:tc>
          <w:tcPr>
            <w:tcW w:w="1437" w:type="pct"/>
          </w:tcPr>
          <w:p w14:paraId="2931355F" w14:textId="77777777" w:rsidR="00F466AB" w:rsidRPr="008124C1" w:rsidRDefault="00F466AB" w:rsidP="008124C1">
            <w:r w:rsidRPr="008124C1">
              <w:t xml:space="preserve">Working </w:t>
            </w:r>
            <w:r>
              <w:t>t</w:t>
            </w:r>
            <w:r w:rsidRPr="008124C1">
              <w:t>ogether</w:t>
            </w:r>
          </w:p>
        </w:tc>
        <w:tc>
          <w:tcPr>
            <w:tcW w:w="3563" w:type="pct"/>
          </w:tcPr>
          <w:p w14:paraId="5FD944B1" w14:textId="77777777" w:rsidR="00F466AB" w:rsidRDefault="00F466AB" w:rsidP="00F466AB">
            <w:pPr>
              <w:pStyle w:val="Bullet1"/>
              <w:spacing w:line="240" w:lineRule="auto"/>
              <w:rPr>
                <w:lang w:eastAsia="en-AU"/>
              </w:rPr>
            </w:pPr>
            <w:r>
              <w:rPr>
                <w:lang w:eastAsia="en-AU"/>
              </w:rPr>
              <w:t>Inviting AusIndustry to present at stakeholder events</w:t>
            </w:r>
            <w:r w:rsidRPr="006205D4">
              <w:rPr>
                <w:lang w:eastAsia="en-AU"/>
              </w:rPr>
              <w:t>.</w:t>
            </w:r>
          </w:p>
          <w:p w14:paraId="2D2D2992" w14:textId="77777777" w:rsidR="00F466AB" w:rsidRDefault="00F466AB" w:rsidP="00F466AB">
            <w:pPr>
              <w:pStyle w:val="Bullet1"/>
              <w:spacing w:line="240" w:lineRule="auto"/>
              <w:rPr>
                <w:lang w:eastAsia="en-AU"/>
              </w:rPr>
            </w:pPr>
            <w:r>
              <w:rPr>
                <w:lang w:eastAsia="en-AU"/>
              </w:rPr>
              <w:t>Identifying opportunities for joint events, workshops and summits that bring industry, researchers, government and other stakeholders together to promote program understanding, convey research capabilities and attract SMEs to join the dialogue on research engagement.</w:t>
            </w:r>
          </w:p>
          <w:p w14:paraId="38A095C3" w14:textId="77777777" w:rsidR="00F466AB" w:rsidRPr="008124C1" w:rsidRDefault="00F466AB" w:rsidP="00F466AB">
            <w:pPr>
              <w:pStyle w:val="Bullet1"/>
              <w:spacing w:line="240" w:lineRule="auto"/>
              <w:rPr>
                <w:lang w:eastAsia="en-AU"/>
              </w:rPr>
            </w:pPr>
            <w:r>
              <w:rPr>
                <w:lang w:eastAsia="en-AU"/>
              </w:rPr>
              <w:t>Identifying companies that could feature in customer stories and provide testimonials.</w:t>
            </w:r>
          </w:p>
        </w:tc>
      </w:tr>
    </w:tbl>
    <w:p w14:paraId="68B85A4B" w14:textId="77777777" w:rsidR="00F466AB" w:rsidRPr="008124C1" w:rsidRDefault="00F466AB" w:rsidP="001B2A4F">
      <w:pPr>
        <w:tabs>
          <w:tab w:val="left" w:pos="6851"/>
        </w:tabs>
        <w:rPr>
          <w:b/>
          <w:sz w:val="24"/>
          <w:szCs w:val="24"/>
        </w:rPr>
      </w:pPr>
      <w:r w:rsidRPr="008124C1">
        <w:rPr>
          <w:b/>
          <w:sz w:val="24"/>
          <w:szCs w:val="24"/>
        </w:rPr>
        <w:t>Next steps</w:t>
      </w:r>
    </w:p>
    <w:p w14:paraId="036CD7A0" w14:textId="77777777" w:rsidR="00F466AB" w:rsidRDefault="00F466AB" w:rsidP="004C3090">
      <w:pPr>
        <w:pStyle w:val="Bullet1"/>
      </w:pPr>
      <w:r>
        <w:t>Share i</w:t>
      </w:r>
      <w:r w:rsidRPr="008124C1">
        <w:t xml:space="preserve">nsights </w:t>
      </w:r>
      <w:r>
        <w:t>from the RSP working group</w:t>
      </w:r>
      <w:r w:rsidRPr="008124C1">
        <w:t xml:space="preserve"> </w:t>
      </w:r>
      <w:r>
        <w:t xml:space="preserve">with all members of </w:t>
      </w:r>
      <w:r w:rsidRPr="008124C1">
        <w:t xml:space="preserve">the Roundtable </w:t>
      </w:r>
      <w:r>
        <w:t xml:space="preserve">at the next </w:t>
      </w:r>
      <w:r w:rsidRPr="008124C1">
        <w:t xml:space="preserve">meeting </w:t>
      </w:r>
      <w:r>
        <w:t xml:space="preserve">to be held </w:t>
      </w:r>
      <w:r w:rsidRPr="008124C1">
        <w:t>in September</w:t>
      </w:r>
      <w:r>
        <w:t xml:space="preserve"> 2022</w:t>
      </w:r>
      <w:r w:rsidRPr="008124C1">
        <w:t>.</w:t>
      </w:r>
    </w:p>
    <w:p w14:paraId="0198C994" w14:textId="77777777" w:rsidR="00F466AB" w:rsidRPr="008124C1" w:rsidRDefault="00F466AB" w:rsidP="004C3090">
      <w:pPr>
        <w:pStyle w:val="Bullet1"/>
      </w:pPr>
      <w:r>
        <w:t>Consider the ideas and suggestions provided by working group participants and d</w:t>
      </w:r>
      <w:r w:rsidRPr="008124C1">
        <w:t xml:space="preserve">evelop an action plan </w:t>
      </w:r>
      <w:r>
        <w:t xml:space="preserve">that aims to improve RSP </w:t>
      </w:r>
      <w:r w:rsidRPr="008124C1">
        <w:t>communication</w:t>
      </w:r>
      <w:r>
        <w:t xml:space="preserve"> and engagement.</w:t>
      </w:r>
    </w:p>
    <w:bookmarkEnd w:id="7"/>
    <w:p w14:paraId="5D79EBEF" w14:textId="77777777" w:rsidR="00F466AB" w:rsidRPr="008124C1" w:rsidRDefault="00F466AB" w:rsidP="008124C1"/>
    <w:p w14:paraId="0E523149" w14:textId="27260C85" w:rsidR="00B70A28" w:rsidRDefault="00B70A28" w:rsidP="00F466AB"/>
    <w:sectPr w:rsidR="00B70A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1AFB9" w14:textId="77777777" w:rsidR="00951DA9" w:rsidRDefault="00951DA9" w:rsidP="00E742BC">
      <w:pPr>
        <w:spacing w:after="0"/>
      </w:pPr>
      <w:r>
        <w:separator/>
      </w:r>
    </w:p>
    <w:p w14:paraId="6ACF1363" w14:textId="77777777" w:rsidR="00951DA9" w:rsidRDefault="00951DA9"/>
    <w:p w14:paraId="2527AC3C" w14:textId="77777777" w:rsidR="00951DA9" w:rsidRDefault="00951DA9" w:rsidP="008C60DA"/>
  </w:endnote>
  <w:endnote w:type="continuationSeparator" w:id="0">
    <w:p w14:paraId="789F3737" w14:textId="77777777" w:rsidR="00951DA9" w:rsidRDefault="00951DA9" w:rsidP="00E742BC">
      <w:pPr>
        <w:spacing w:after="0"/>
      </w:pPr>
      <w:r>
        <w:continuationSeparator/>
      </w:r>
    </w:p>
    <w:p w14:paraId="0F162182" w14:textId="77777777" w:rsidR="00951DA9" w:rsidRDefault="00951DA9"/>
    <w:p w14:paraId="5F103AB0" w14:textId="77777777" w:rsidR="00951DA9" w:rsidRDefault="00951DA9" w:rsidP="008C60DA"/>
  </w:endnote>
  <w:endnote w:type="continuationNotice" w:id="1">
    <w:p w14:paraId="30197B56" w14:textId="77777777" w:rsidR="00951DA9" w:rsidRDefault="00951D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434282"/>
      <w:docPartObj>
        <w:docPartGallery w:val="Page Numbers (Bottom of Page)"/>
        <w:docPartUnique/>
      </w:docPartObj>
    </w:sdtPr>
    <w:sdtEndPr>
      <w:rPr>
        <w:noProof/>
      </w:rPr>
    </w:sdtEndPr>
    <w:sdtContent>
      <w:p w14:paraId="430BD6C7" w14:textId="77777777" w:rsidR="00951DA9" w:rsidRDefault="00951DA9">
        <w:pPr>
          <w:pStyle w:val="Footer"/>
          <w:jc w:val="center"/>
        </w:pPr>
        <w:r>
          <w:fldChar w:fldCharType="begin"/>
        </w:r>
        <w:r>
          <w:instrText xml:space="preserve"> PAGE   \* MERGEFORMAT </w:instrText>
        </w:r>
        <w:r>
          <w:fldChar w:fldCharType="separate"/>
        </w:r>
        <w:r w:rsidR="00AD2DF5">
          <w:rPr>
            <w:noProof/>
          </w:rPr>
          <w:t>3</w:t>
        </w:r>
        <w:r>
          <w:rPr>
            <w:noProof/>
          </w:rPr>
          <w:fldChar w:fldCharType="end"/>
        </w:r>
      </w:p>
    </w:sdtContent>
  </w:sdt>
  <w:p w14:paraId="430BD6C8" w14:textId="77777777" w:rsidR="00951DA9" w:rsidRDefault="00951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85EA7" w14:textId="77777777" w:rsidR="00951DA9" w:rsidRDefault="00951DA9" w:rsidP="00E742BC">
      <w:pPr>
        <w:spacing w:after="0"/>
      </w:pPr>
      <w:r>
        <w:separator/>
      </w:r>
    </w:p>
    <w:p w14:paraId="6953F3D9" w14:textId="77777777" w:rsidR="00951DA9" w:rsidRDefault="00951DA9"/>
    <w:p w14:paraId="54BEBB19" w14:textId="77777777" w:rsidR="00951DA9" w:rsidRDefault="00951DA9" w:rsidP="008C60DA"/>
  </w:footnote>
  <w:footnote w:type="continuationSeparator" w:id="0">
    <w:p w14:paraId="49D2E9A6" w14:textId="77777777" w:rsidR="00951DA9" w:rsidRDefault="00951DA9" w:rsidP="00E742BC">
      <w:pPr>
        <w:spacing w:after="0"/>
      </w:pPr>
      <w:r>
        <w:continuationSeparator/>
      </w:r>
    </w:p>
    <w:p w14:paraId="3B5A71F4" w14:textId="77777777" w:rsidR="00951DA9" w:rsidRDefault="00951DA9"/>
    <w:p w14:paraId="17D25FA8" w14:textId="77777777" w:rsidR="00951DA9" w:rsidRDefault="00951DA9" w:rsidP="008C60DA"/>
  </w:footnote>
  <w:footnote w:type="continuationNotice" w:id="1">
    <w:p w14:paraId="7C97A237" w14:textId="77777777" w:rsidR="00951DA9" w:rsidRDefault="00951DA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BD6C4" w14:textId="7831BD8C" w:rsidR="00951DA9" w:rsidRDefault="00951DA9">
    <w:pPr>
      <w:pStyle w:val="Header"/>
    </w:pPr>
    <w:r>
      <w:rPr>
        <w:noProof/>
        <w:lang w:eastAsia="en-AU"/>
      </w:rPr>
      <mc:AlternateContent>
        <mc:Choice Requires="wps">
          <w:drawing>
            <wp:anchor distT="0" distB="0" distL="114300" distR="114300" simplePos="0" relativeHeight="251658240" behindDoc="1" locked="0" layoutInCell="0" allowOverlap="1" wp14:anchorId="430BD6CB" wp14:editId="3449398E">
              <wp:simplePos x="0" y="0"/>
              <wp:positionH relativeFrom="margin">
                <wp:align>center</wp:align>
              </wp:positionH>
              <wp:positionV relativeFrom="margin">
                <wp:align>center</wp:align>
              </wp:positionV>
              <wp:extent cx="7035800" cy="1117600"/>
              <wp:effectExtent l="0" t="2105025" r="0" b="2054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35800" cy="1117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6CB1C" w14:textId="77777777" w:rsidR="00951DA9" w:rsidRDefault="00951DA9" w:rsidP="00670675">
                          <w:pPr>
                            <w:pStyle w:val="NormalWeb"/>
                            <w:spacing w:before="0" w:beforeAutospacing="0" w:after="0" w:afterAutospacing="0"/>
                            <w:jc w:val="center"/>
                          </w:pPr>
                          <w:r>
                            <w:rPr>
                              <w:rFonts w:ascii="Calibri" w:hAnsi="Calibri" w:cs="Calibri"/>
                              <w:color w:val="FF0000"/>
                              <w:sz w:val="144"/>
                              <w:szCs w:val="144"/>
                              <w14:textFill>
                                <w14:solidFill>
                                  <w14:srgbClr w14:val="FF0000">
                                    <w14:alpha w14:val="50000"/>
                                  </w14:srgbClr>
                                </w14:solidFill>
                              </w14:textFill>
                            </w:rPr>
                            <w:t>Sensitive and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BD6CB" id="_x0000_t202" coordsize="21600,21600" o:spt="202" path="m,l,21600r21600,l21600,xe">
              <v:stroke joinstyle="miter"/>
              <v:path gradientshapeok="t" o:connecttype="rect"/>
            </v:shapetype>
            <v:shape id="Text Box 5" o:spid="_x0000_s1028" type="#_x0000_t202" style="position:absolute;margin-left:0;margin-top:0;width:554pt;height:8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" o:allowincell="f" filled="f" stroked="f">
              <v:stroke joinstyle="round"/>
              <o:lock v:ext="edit" shapetype="t"/>
              <v:textbox style="mso-fit-shape-to-text:t">
                <w:txbxContent>
                  <w:p w14:paraId="1DF6CB1C" w14:textId="77777777" w:rsidR="00951DA9" w:rsidRDefault="00951DA9" w:rsidP="00670675">
                    <w:pPr>
                      <w:pStyle w:val="NormalWeb"/>
                      <w:spacing w:before="0" w:beforeAutospacing="0" w:after="0" w:afterAutospacing="0"/>
                      <w:jc w:val="center"/>
                    </w:pPr>
                    <w:r>
                      <w:rPr>
                        <w:rFonts w:ascii="Calibri" w:hAnsi="Calibri" w:cs="Calibri"/>
                        <w:color w:val="FF0000"/>
                        <w:sz w:val="144"/>
                        <w:szCs w:val="144"/>
                        <w14:textFill>
                          <w14:solidFill>
                            <w14:srgbClr w14:val="FF0000">
                              <w14:alpha w14:val="50000"/>
                            </w14:srgbClr>
                          </w14:solidFill>
                        </w14:textFill>
                      </w:rPr>
                      <w:t>Sensitive and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5620" w14:textId="2E238863" w:rsidR="00951DA9" w:rsidRDefault="00951DA9">
    <w:pPr>
      <w:pStyle w:val="Header"/>
    </w:pPr>
    <w:r>
      <w:rPr>
        <w:noProof/>
        <w:lang w:eastAsia="en-AU"/>
      </w:rPr>
      <w:drawing>
        <wp:anchor distT="0" distB="0" distL="114300" distR="114300" simplePos="0" relativeHeight="251658241" behindDoc="1" locked="0" layoutInCell="1" allowOverlap="1" wp14:anchorId="2DA60BF8" wp14:editId="7CD6525C">
          <wp:simplePos x="0" y="0"/>
          <wp:positionH relativeFrom="margin">
            <wp:posOffset>-884636</wp:posOffset>
          </wp:positionH>
          <wp:positionV relativeFrom="paragraph">
            <wp:posOffset>-435621</wp:posOffset>
          </wp:positionV>
          <wp:extent cx="7506607" cy="1563555"/>
          <wp:effectExtent l="0" t="0" r="0" b="0"/>
          <wp:wrapNone/>
          <wp:docPr id="1" name="Picture 1" descr="The R&amp;D Tax Incentive is jointly administered by the Department of Industry, Science and Resources (AusIndustry) and the Australian Tax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Industry - RDTI - ATO - 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725" cy="1568579"/>
                  </a:xfrm>
                  <a:prstGeom prst="rect">
                    <a:avLst/>
                  </a:prstGeom>
                </pic:spPr>
              </pic:pic>
            </a:graphicData>
          </a:graphic>
          <wp14:sizeRelH relativeFrom="page">
            <wp14:pctWidth>0</wp14:pctWidth>
          </wp14:sizeRelH>
          <wp14:sizeRelV relativeFrom="page">
            <wp14:pctHeight>0</wp14:pctHeight>
          </wp14:sizeRelV>
        </wp:anchor>
      </w:drawing>
    </w:r>
  </w:p>
  <w:p w14:paraId="430BD6C9" w14:textId="31DD31D7" w:rsidR="00951DA9" w:rsidRDefault="00951DA9" w:rsidP="00E5684C">
    <w:pPr>
      <w:pStyle w:val="Header"/>
      <w:tabs>
        <w:tab w:val="clear" w:pos="4513"/>
        <w:tab w:val="clear" w:pos="9026"/>
        <w:tab w:val="left" w:pos="6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930"/>
    <w:multiLevelType w:val="hybridMultilevel"/>
    <w:tmpl w:val="B030A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F4FCF"/>
    <w:multiLevelType w:val="hybridMultilevel"/>
    <w:tmpl w:val="FC1A0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34E37"/>
    <w:multiLevelType w:val="hybridMultilevel"/>
    <w:tmpl w:val="BEE62F8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4520F"/>
    <w:multiLevelType w:val="hybridMultilevel"/>
    <w:tmpl w:val="8CD65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5B9BD5"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5" w15:restartNumberingAfterBreak="0">
    <w:nsid w:val="14732577"/>
    <w:multiLevelType w:val="multilevel"/>
    <w:tmpl w:val="1C1EF156"/>
    <w:lvl w:ilvl="0">
      <w:start w:val="1"/>
      <w:numFmt w:val="bullet"/>
      <w:lvlText w:val="•"/>
      <w:lvlJc w:val="left"/>
      <w:pPr>
        <w:ind w:left="284" w:hanging="284"/>
      </w:pPr>
      <w:rPr>
        <w:rFonts w:ascii="Arial" w:hAnsi="Arial" w:hint="default"/>
        <w:color w:val="323232"/>
      </w:rPr>
    </w:lvl>
    <w:lvl w:ilvl="1">
      <w:start w:val="1"/>
      <w:numFmt w:val="bullet"/>
      <w:lvlText w:val="o"/>
      <w:lvlJc w:val="left"/>
      <w:pPr>
        <w:ind w:left="568" w:hanging="284"/>
      </w:pPr>
      <w:rPr>
        <w:rFonts w:ascii="Courier New" w:hAnsi="Courier New" w:cs="Courier New" w:hint="default"/>
        <w:color w:val="323232"/>
      </w:rPr>
    </w:lvl>
    <w:lvl w:ilvl="2">
      <w:start w:val="1"/>
      <w:numFmt w:val="bullet"/>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72B78A1"/>
    <w:multiLevelType w:val="hybridMultilevel"/>
    <w:tmpl w:val="2A14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E0589"/>
    <w:multiLevelType w:val="hybridMultilevel"/>
    <w:tmpl w:val="48206C9A"/>
    <w:lvl w:ilvl="0" w:tplc="3A1A584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E6846"/>
    <w:multiLevelType w:val="hybridMultilevel"/>
    <w:tmpl w:val="34585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27A23"/>
    <w:multiLevelType w:val="hybridMultilevel"/>
    <w:tmpl w:val="BB3A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F41C6"/>
    <w:multiLevelType w:val="multilevel"/>
    <w:tmpl w:val="1584E4AA"/>
    <w:lvl w:ilvl="0">
      <w:start w:val="1"/>
      <w:numFmt w:val="bullet"/>
      <w:lvlText w:val=""/>
      <w:lvlJc w:val="left"/>
      <w:pPr>
        <w:ind w:left="284" w:hanging="284"/>
      </w:pPr>
      <w:rPr>
        <w:rFonts w:ascii="Symbol" w:hAnsi="Symbol" w:hint="default"/>
        <w:color w:val="323232"/>
      </w:rPr>
    </w:lvl>
    <w:lvl w:ilvl="1">
      <w:start w:val="1"/>
      <w:numFmt w:val="bullet"/>
      <w:lvlText w:val="o"/>
      <w:lvlJc w:val="left"/>
      <w:pPr>
        <w:ind w:left="568" w:hanging="284"/>
      </w:pPr>
      <w:rPr>
        <w:rFonts w:ascii="Courier New" w:hAnsi="Courier New" w:cs="Courier New" w:hint="default"/>
        <w:color w:val="323232"/>
      </w:rPr>
    </w:lvl>
    <w:lvl w:ilvl="2">
      <w:start w:val="1"/>
      <w:numFmt w:val="bullet"/>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AFD6B3C"/>
    <w:multiLevelType w:val="hybridMultilevel"/>
    <w:tmpl w:val="4D0AE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BA3CCF"/>
    <w:multiLevelType w:val="hybridMultilevel"/>
    <w:tmpl w:val="1296640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7F748C"/>
    <w:multiLevelType w:val="hybridMultilevel"/>
    <w:tmpl w:val="C75CC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D588A"/>
    <w:multiLevelType w:val="multilevel"/>
    <w:tmpl w:val="E9F6407C"/>
    <w:lvl w:ilvl="0">
      <w:start w:val="1"/>
      <w:numFmt w:val="bullet"/>
      <w:lvlText w:val="•"/>
      <w:lvlJc w:val="left"/>
      <w:pPr>
        <w:ind w:left="284" w:hanging="284"/>
      </w:pPr>
      <w:rPr>
        <w:rFonts w:ascii="Arial" w:hAnsi="Arial" w:hint="default"/>
        <w:color w:val="323232"/>
      </w:rPr>
    </w:lvl>
    <w:lvl w:ilvl="1">
      <w:start w:val="1"/>
      <w:numFmt w:val="bullet"/>
      <w:lvlText w:val="o"/>
      <w:lvlJc w:val="left"/>
      <w:pPr>
        <w:ind w:left="568" w:hanging="284"/>
      </w:pPr>
      <w:rPr>
        <w:rFonts w:ascii="Courier New" w:hAnsi="Courier New" w:cs="Courier New" w:hint="default"/>
        <w:color w:val="323232"/>
      </w:rPr>
    </w:lvl>
    <w:lvl w:ilvl="2">
      <w:start w:val="1"/>
      <w:numFmt w:val="bullet"/>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8972835"/>
    <w:multiLevelType w:val="hybridMultilevel"/>
    <w:tmpl w:val="5D9EE0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A6AA0"/>
    <w:multiLevelType w:val="hybridMultilevel"/>
    <w:tmpl w:val="B57C0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B30825"/>
    <w:multiLevelType w:val="multilevel"/>
    <w:tmpl w:val="2682CBB6"/>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510" w:hanging="170"/>
      </w:pPr>
      <w:rPr>
        <w:rFonts w:asciiTheme="minorHAnsi" w:hAnsiTheme="minorHAnsi" w:cstheme="minorHAnsi"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900C80"/>
    <w:multiLevelType w:val="hybridMultilevel"/>
    <w:tmpl w:val="E738E1CA"/>
    <w:lvl w:ilvl="0" w:tplc="10F85944">
      <w:numFmt w:val="bullet"/>
      <w:lvlText w:val="-"/>
      <w:lvlJc w:val="left"/>
      <w:pPr>
        <w:ind w:left="1353" w:hanging="360"/>
      </w:pPr>
      <w:rPr>
        <w:rFonts w:ascii="Calibri" w:eastAsiaTheme="minorEastAsia" w:hAnsi="Calibri" w:cs="Calibr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9" w15:restartNumberingAfterBreak="0">
    <w:nsid w:val="4C510FA5"/>
    <w:multiLevelType w:val="hybridMultilevel"/>
    <w:tmpl w:val="D4F8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925A2"/>
    <w:multiLevelType w:val="multilevel"/>
    <w:tmpl w:val="0792AEAE"/>
    <w:lvl w:ilvl="0">
      <w:start w:val="1"/>
      <w:numFmt w:val="bullet"/>
      <w:lvlText w:val="•"/>
      <w:lvlJc w:val="left"/>
      <w:pPr>
        <w:ind w:left="284" w:hanging="284"/>
      </w:pPr>
      <w:rPr>
        <w:rFonts w:ascii="Arial" w:hAnsi="Arial" w:hint="default"/>
        <w:color w:val="323232"/>
      </w:rPr>
    </w:lvl>
    <w:lvl w:ilvl="1">
      <w:start w:val="1"/>
      <w:numFmt w:val="bullet"/>
      <w:lvlText w:val="o"/>
      <w:lvlJc w:val="left"/>
      <w:pPr>
        <w:ind w:left="568" w:hanging="284"/>
      </w:pPr>
      <w:rPr>
        <w:rFonts w:ascii="Courier New" w:hAnsi="Courier New" w:cs="Courier New" w:hint="default"/>
        <w:color w:val="323232"/>
      </w:rPr>
    </w:lvl>
    <w:lvl w:ilvl="2">
      <w:start w:val="1"/>
      <w:numFmt w:val="bullet"/>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50353D24"/>
    <w:multiLevelType w:val="hybridMultilevel"/>
    <w:tmpl w:val="BB66B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3D4916"/>
    <w:multiLevelType w:val="hybridMultilevel"/>
    <w:tmpl w:val="3E34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533E70"/>
    <w:multiLevelType w:val="hybridMultilevel"/>
    <w:tmpl w:val="11067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EF6C0E"/>
    <w:multiLevelType w:val="hybridMultilevel"/>
    <w:tmpl w:val="148A7512"/>
    <w:lvl w:ilvl="0" w:tplc="8050E810">
      <w:start w:val="1"/>
      <w:numFmt w:val="bullet"/>
      <w:lvlText w:val=""/>
      <w:lvlJc w:val="left"/>
      <w:pPr>
        <w:ind w:left="720" w:hanging="360"/>
      </w:pPr>
      <w:rPr>
        <w:rFonts w:ascii="Symbol" w:hAnsi="Symbol" w:hint="default"/>
      </w:rPr>
    </w:lvl>
    <w:lvl w:ilvl="1" w:tplc="2A265586" w:tentative="1">
      <w:start w:val="1"/>
      <w:numFmt w:val="bullet"/>
      <w:lvlText w:val="o"/>
      <w:lvlJc w:val="left"/>
      <w:pPr>
        <w:ind w:left="1440" w:hanging="360"/>
      </w:pPr>
      <w:rPr>
        <w:rFonts w:ascii="Courier New" w:hAnsi="Courier New" w:cs="Courier New" w:hint="default"/>
      </w:rPr>
    </w:lvl>
    <w:lvl w:ilvl="2" w:tplc="69D21EFC" w:tentative="1">
      <w:start w:val="1"/>
      <w:numFmt w:val="bullet"/>
      <w:lvlText w:val=""/>
      <w:lvlJc w:val="left"/>
      <w:pPr>
        <w:ind w:left="2160" w:hanging="360"/>
      </w:pPr>
      <w:rPr>
        <w:rFonts w:ascii="Wingdings" w:hAnsi="Wingdings" w:hint="default"/>
      </w:rPr>
    </w:lvl>
    <w:lvl w:ilvl="3" w:tplc="FEFA86C6" w:tentative="1">
      <w:start w:val="1"/>
      <w:numFmt w:val="bullet"/>
      <w:lvlText w:val=""/>
      <w:lvlJc w:val="left"/>
      <w:pPr>
        <w:ind w:left="2880" w:hanging="360"/>
      </w:pPr>
      <w:rPr>
        <w:rFonts w:ascii="Symbol" w:hAnsi="Symbol" w:hint="default"/>
      </w:rPr>
    </w:lvl>
    <w:lvl w:ilvl="4" w:tplc="FD02C7E6" w:tentative="1">
      <w:start w:val="1"/>
      <w:numFmt w:val="bullet"/>
      <w:lvlText w:val="o"/>
      <w:lvlJc w:val="left"/>
      <w:pPr>
        <w:ind w:left="3600" w:hanging="360"/>
      </w:pPr>
      <w:rPr>
        <w:rFonts w:ascii="Courier New" w:hAnsi="Courier New" w:cs="Courier New" w:hint="default"/>
      </w:rPr>
    </w:lvl>
    <w:lvl w:ilvl="5" w:tplc="75EE8CF2" w:tentative="1">
      <w:start w:val="1"/>
      <w:numFmt w:val="bullet"/>
      <w:lvlText w:val=""/>
      <w:lvlJc w:val="left"/>
      <w:pPr>
        <w:ind w:left="4320" w:hanging="360"/>
      </w:pPr>
      <w:rPr>
        <w:rFonts w:ascii="Wingdings" w:hAnsi="Wingdings" w:hint="default"/>
      </w:rPr>
    </w:lvl>
    <w:lvl w:ilvl="6" w:tplc="938A906A" w:tentative="1">
      <w:start w:val="1"/>
      <w:numFmt w:val="bullet"/>
      <w:lvlText w:val=""/>
      <w:lvlJc w:val="left"/>
      <w:pPr>
        <w:ind w:left="5040" w:hanging="360"/>
      </w:pPr>
      <w:rPr>
        <w:rFonts w:ascii="Symbol" w:hAnsi="Symbol" w:hint="default"/>
      </w:rPr>
    </w:lvl>
    <w:lvl w:ilvl="7" w:tplc="BC7EA9DC" w:tentative="1">
      <w:start w:val="1"/>
      <w:numFmt w:val="bullet"/>
      <w:lvlText w:val="o"/>
      <w:lvlJc w:val="left"/>
      <w:pPr>
        <w:ind w:left="5760" w:hanging="360"/>
      </w:pPr>
      <w:rPr>
        <w:rFonts w:ascii="Courier New" w:hAnsi="Courier New" w:cs="Courier New" w:hint="default"/>
      </w:rPr>
    </w:lvl>
    <w:lvl w:ilvl="8" w:tplc="E1CA8530" w:tentative="1">
      <w:start w:val="1"/>
      <w:numFmt w:val="bullet"/>
      <w:lvlText w:val=""/>
      <w:lvlJc w:val="left"/>
      <w:pPr>
        <w:ind w:left="6480" w:hanging="360"/>
      </w:pPr>
      <w:rPr>
        <w:rFonts w:ascii="Wingdings" w:hAnsi="Wingdings" w:hint="default"/>
      </w:rPr>
    </w:lvl>
  </w:abstractNum>
  <w:abstractNum w:abstractNumId="25" w15:restartNumberingAfterBreak="0">
    <w:nsid w:val="609F10A1"/>
    <w:multiLevelType w:val="multilevel"/>
    <w:tmpl w:val="5E44F3B2"/>
    <w:lvl w:ilvl="0">
      <w:start w:val="1"/>
      <w:numFmt w:val="bullet"/>
      <w:lvlText w:val="•"/>
      <w:lvlJc w:val="left"/>
      <w:pPr>
        <w:ind w:left="284" w:hanging="284"/>
      </w:pPr>
      <w:rPr>
        <w:rFonts w:ascii="Arial" w:hAnsi="Arial" w:hint="default"/>
        <w:color w:val="323232"/>
      </w:rPr>
    </w:lvl>
    <w:lvl w:ilvl="1">
      <w:start w:val="1"/>
      <w:numFmt w:val="bullet"/>
      <w:lvlText w:val="o"/>
      <w:lvlJc w:val="left"/>
      <w:pPr>
        <w:ind w:left="568" w:hanging="284"/>
      </w:pPr>
      <w:rPr>
        <w:rFonts w:ascii="Courier New" w:hAnsi="Courier New" w:cs="Courier New" w:hint="default"/>
        <w:color w:val="323232"/>
      </w:rPr>
    </w:lvl>
    <w:lvl w:ilvl="2">
      <w:start w:val="1"/>
      <w:numFmt w:val="bullet"/>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61AF38A8"/>
    <w:multiLevelType w:val="hybridMultilevel"/>
    <w:tmpl w:val="8F46E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E02532"/>
    <w:multiLevelType w:val="multilevel"/>
    <w:tmpl w:val="6AB401FA"/>
    <w:styleLink w:val="NumberedListStyle"/>
    <w:lvl w:ilvl="0">
      <w:start w:val="1"/>
      <w:numFmt w:val="decimal"/>
      <w:pStyle w:val="NumberedList1"/>
      <w:lvlText w:val="%1."/>
      <w:lvlJc w:val="left"/>
      <w:pPr>
        <w:ind w:left="284" w:hanging="284"/>
      </w:pPr>
      <w:rPr>
        <w:rFonts w:hint="default"/>
        <w:color w:val="ED7D31" w:themeColor="accent2"/>
      </w:rPr>
    </w:lvl>
    <w:lvl w:ilvl="1">
      <w:start w:val="1"/>
      <w:numFmt w:val="lowerLetter"/>
      <w:pStyle w:val="NumberedList2"/>
      <w:lvlText w:val="%2."/>
      <w:lvlJc w:val="left"/>
      <w:pPr>
        <w:ind w:left="568" w:hanging="284"/>
      </w:pPr>
      <w:rPr>
        <w:rFonts w:hint="default"/>
        <w:color w:val="ED7D31" w:themeColor="accent2"/>
      </w:rPr>
    </w:lvl>
    <w:lvl w:ilvl="2">
      <w:start w:val="1"/>
      <w:numFmt w:val="lowerRoman"/>
      <w:pStyle w:val="NumberedList3"/>
      <w:lvlText w:val="%3."/>
      <w:lvlJc w:val="left"/>
      <w:pPr>
        <w:ind w:left="852" w:hanging="284"/>
      </w:pPr>
      <w:rPr>
        <w:rFonts w:hint="default"/>
        <w:color w:val="ED7D31"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62564146"/>
    <w:multiLevelType w:val="hybridMultilevel"/>
    <w:tmpl w:val="B70CC8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1B4C41"/>
    <w:multiLevelType w:val="hybridMultilevel"/>
    <w:tmpl w:val="42A403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546EF2"/>
    <w:multiLevelType w:val="hybridMultilevel"/>
    <w:tmpl w:val="300CC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AB553B"/>
    <w:multiLevelType w:val="hybridMultilevel"/>
    <w:tmpl w:val="14542C9E"/>
    <w:lvl w:ilvl="0" w:tplc="2AC8987E">
      <w:start w:val="1"/>
      <w:numFmt w:val="bullet"/>
      <w:lvlText w:val=""/>
      <w:lvlJc w:val="left"/>
      <w:pPr>
        <w:ind w:left="720" w:hanging="360"/>
      </w:pPr>
      <w:rPr>
        <w:rFonts w:ascii="Symbol" w:hAnsi="Symbol" w:hint="default"/>
      </w:rPr>
    </w:lvl>
    <w:lvl w:ilvl="1" w:tplc="A90CD648" w:tentative="1">
      <w:start w:val="1"/>
      <w:numFmt w:val="bullet"/>
      <w:lvlText w:val="o"/>
      <w:lvlJc w:val="left"/>
      <w:pPr>
        <w:ind w:left="1440" w:hanging="360"/>
      </w:pPr>
      <w:rPr>
        <w:rFonts w:ascii="Courier New" w:hAnsi="Courier New" w:cs="Courier New" w:hint="default"/>
      </w:rPr>
    </w:lvl>
    <w:lvl w:ilvl="2" w:tplc="3020AFB0" w:tentative="1">
      <w:start w:val="1"/>
      <w:numFmt w:val="bullet"/>
      <w:lvlText w:val=""/>
      <w:lvlJc w:val="left"/>
      <w:pPr>
        <w:ind w:left="2160" w:hanging="360"/>
      </w:pPr>
      <w:rPr>
        <w:rFonts w:ascii="Wingdings" w:hAnsi="Wingdings" w:hint="default"/>
      </w:rPr>
    </w:lvl>
    <w:lvl w:ilvl="3" w:tplc="9942E646" w:tentative="1">
      <w:start w:val="1"/>
      <w:numFmt w:val="bullet"/>
      <w:lvlText w:val=""/>
      <w:lvlJc w:val="left"/>
      <w:pPr>
        <w:ind w:left="2880" w:hanging="360"/>
      </w:pPr>
      <w:rPr>
        <w:rFonts w:ascii="Symbol" w:hAnsi="Symbol" w:hint="default"/>
      </w:rPr>
    </w:lvl>
    <w:lvl w:ilvl="4" w:tplc="A536AEFE" w:tentative="1">
      <w:start w:val="1"/>
      <w:numFmt w:val="bullet"/>
      <w:lvlText w:val="o"/>
      <w:lvlJc w:val="left"/>
      <w:pPr>
        <w:ind w:left="3600" w:hanging="360"/>
      </w:pPr>
      <w:rPr>
        <w:rFonts w:ascii="Courier New" w:hAnsi="Courier New" w:cs="Courier New" w:hint="default"/>
      </w:rPr>
    </w:lvl>
    <w:lvl w:ilvl="5" w:tplc="C82859A0" w:tentative="1">
      <w:start w:val="1"/>
      <w:numFmt w:val="bullet"/>
      <w:lvlText w:val=""/>
      <w:lvlJc w:val="left"/>
      <w:pPr>
        <w:ind w:left="4320" w:hanging="360"/>
      </w:pPr>
      <w:rPr>
        <w:rFonts w:ascii="Wingdings" w:hAnsi="Wingdings" w:hint="default"/>
      </w:rPr>
    </w:lvl>
    <w:lvl w:ilvl="6" w:tplc="E6C46DAE" w:tentative="1">
      <w:start w:val="1"/>
      <w:numFmt w:val="bullet"/>
      <w:lvlText w:val=""/>
      <w:lvlJc w:val="left"/>
      <w:pPr>
        <w:ind w:left="5040" w:hanging="360"/>
      </w:pPr>
      <w:rPr>
        <w:rFonts w:ascii="Symbol" w:hAnsi="Symbol" w:hint="default"/>
      </w:rPr>
    </w:lvl>
    <w:lvl w:ilvl="7" w:tplc="43381490" w:tentative="1">
      <w:start w:val="1"/>
      <w:numFmt w:val="bullet"/>
      <w:lvlText w:val="o"/>
      <w:lvlJc w:val="left"/>
      <w:pPr>
        <w:ind w:left="5760" w:hanging="360"/>
      </w:pPr>
      <w:rPr>
        <w:rFonts w:ascii="Courier New" w:hAnsi="Courier New" w:cs="Courier New" w:hint="default"/>
      </w:rPr>
    </w:lvl>
    <w:lvl w:ilvl="8" w:tplc="3AAC531C" w:tentative="1">
      <w:start w:val="1"/>
      <w:numFmt w:val="bullet"/>
      <w:lvlText w:val=""/>
      <w:lvlJc w:val="left"/>
      <w:pPr>
        <w:ind w:left="6480" w:hanging="360"/>
      </w:pPr>
      <w:rPr>
        <w:rFonts w:ascii="Wingdings" w:hAnsi="Wingdings" w:hint="default"/>
      </w:rPr>
    </w:lvl>
  </w:abstractNum>
  <w:abstractNum w:abstractNumId="32" w15:restartNumberingAfterBreak="0">
    <w:nsid w:val="77B226B9"/>
    <w:multiLevelType w:val="hybridMultilevel"/>
    <w:tmpl w:val="A1966A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C7390D"/>
    <w:multiLevelType w:val="hybridMultilevel"/>
    <w:tmpl w:val="E6141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6A527A"/>
    <w:multiLevelType w:val="hybridMultilevel"/>
    <w:tmpl w:val="B748CB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FE124BC"/>
    <w:multiLevelType w:val="hybridMultilevel"/>
    <w:tmpl w:val="D3980622"/>
    <w:lvl w:ilvl="0" w:tplc="036455D2">
      <w:numFmt w:val="bullet"/>
      <w:lvlText w:val="-"/>
      <w:lvlJc w:val="left"/>
      <w:pPr>
        <w:ind w:left="928" w:hanging="360"/>
      </w:pPr>
      <w:rPr>
        <w:rFonts w:ascii="Calibri" w:eastAsiaTheme="minorEastAsia" w:hAnsi="Calibri" w:cs="Calibri"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num w:numId="1">
    <w:abstractNumId w:val="7"/>
  </w:num>
  <w:num w:numId="2">
    <w:abstractNumId w:val="3"/>
  </w:num>
  <w:num w:numId="3">
    <w:abstractNumId w:val="17"/>
  </w:num>
  <w:num w:numId="4">
    <w:abstractNumId w:val="4"/>
  </w:num>
  <w:num w:numId="5">
    <w:abstractNumId w:val="22"/>
  </w:num>
  <w:num w:numId="6">
    <w:abstractNumId w:val="35"/>
  </w:num>
  <w:num w:numId="7">
    <w:abstractNumId w:val="23"/>
  </w:num>
  <w:num w:numId="8">
    <w:abstractNumId w:val="2"/>
  </w:num>
  <w:num w:numId="9">
    <w:abstractNumId w:val="21"/>
  </w:num>
  <w:num w:numId="10">
    <w:abstractNumId w:val="26"/>
  </w:num>
  <w:num w:numId="11">
    <w:abstractNumId w:val="13"/>
  </w:num>
  <w:num w:numId="12">
    <w:abstractNumId w:val="0"/>
  </w:num>
  <w:num w:numId="13">
    <w:abstractNumId w:val="32"/>
  </w:num>
  <w:num w:numId="14">
    <w:abstractNumId w:val="6"/>
  </w:num>
  <w:num w:numId="15">
    <w:abstractNumId w:val="28"/>
  </w:num>
  <w:num w:numId="16">
    <w:abstractNumId w:val="15"/>
  </w:num>
  <w:num w:numId="17">
    <w:abstractNumId w:val="16"/>
  </w:num>
  <w:num w:numId="18">
    <w:abstractNumId w:val="34"/>
  </w:num>
  <w:num w:numId="19">
    <w:abstractNumId w:val="29"/>
  </w:num>
  <w:num w:numId="20">
    <w:abstractNumId w:val="1"/>
  </w:num>
  <w:num w:numId="21">
    <w:abstractNumId w:val="27"/>
    <w:lvlOverride w:ilvl="0">
      <w:lvl w:ilvl="0">
        <w:start w:val="1"/>
        <w:numFmt w:val="decimal"/>
        <w:pStyle w:val="NumberedList1"/>
        <w:lvlText w:val="%1."/>
        <w:lvlJc w:val="left"/>
        <w:pPr>
          <w:ind w:left="284" w:hanging="284"/>
        </w:pPr>
        <w:rPr>
          <w:rFonts w:hint="default"/>
          <w:color w:val="0070C0"/>
        </w:rPr>
      </w:lvl>
    </w:lvlOverride>
  </w:num>
  <w:num w:numId="22">
    <w:abstractNumId w:val="9"/>
  </w:num>
  <w:num w:numId="23">
    <w:abstractNumId w:val="5"/>
  </w:num>
  <w:num w:numId="24">
    <w:abstractNumId w:val="25"/>
  </w:num>
  <w:num w:numId="25">
    <w:abstractNumId w:val="14"/>
  </w:num>
  <w:num w:numId="26">
    <w:abstractNumId w:val="20"/>
  </w:num>
  <w:num w:numId="27">
    <w:abstractNumId w:val="11"/>
  </w:num>
  <w:num w:numId="28">
    <w:abstractNumId w:val="10"/>
  </w:num>
  <w:num w:numId="29">
    <w:abstractNumId w:val="12"/>
  </w:num>
  <w:num w:numId="30">
    <w:abstractNumId w:val="18"/>
  </w:num>
  <w:num w:numId="31">
    <w:abstractNumId w:val="36"/>
  </w:num>
  <w:num w:numId="32">
    <w:abstractNumId w:val="8"/>
  </w:num>
  <w:num w:numId="33">
    <w:abstractNumId w:val="33"/>
  </w:num>
  <w:num w:numId="34">
    <w:abstractNumId w:val="24"/>
  </w:num>
  <w:num w:numId="35">
    <w:abstractNumId w:val="31"/>
  </w:num>
  <w:num w:numId="36">
    <w:abstractNumId w:val="3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CC"/>
    <w:rsid w:val="00020884"/>
    <w:rsid w:val="00033D00"/>
    <w:rsid w:val="00040393"/>
    <w:rsid w:val="000533D6"/>
    <w:rsid w:val="00066DD0"/>
    <w:rsid w:val="00074765"/>
    <w:rsid w:val="00080BA3"/>
    <w:rsid w:val="00084687"/>
    <w:rsid w:val="00085045"/>
    <w:rsid w:val="00093C92"/>
    <w:rsid w:val="000B16BC"/>
    <w:rsid w:val="000B282F"/>
    <w:rsid w:val="000C3AD6"/>
    <w:rsid w:val="000C4320"/>
    <w:rsid w:val="000C7B48"/>
    <w:rsid w:val="000D060F"/>
    <w:rsid w:val="000D3DD7"/>
    <w:rsid w:val="000E41E1"/>
    <w:rsid w:val="001030D9"/>
    <w:rsid w:val="00120744"/>
    <w:rsid w:val="00126C47"/>
    <w:rsid w:val="00147D66"/>
    <w:rsid w:val="0015219A"/>
    <w:rsid w:val="00176F66"/>
    <w:rsid w:val="001819C1"/>
    <w:rsid w:val="0019392A"/>
    <w:rsid w:val="00197B10"/>
    <w:rsid w:val="001B4A3B"/>
    <w:rsid w:val="001B6E57"/>
    <w:rsid w:val="001C036C"/>
    <w:rsid w:val="001C2DBB"/>
    <w:rsid w:val="001C583D"/>
    <w:rsid w:val="001F65EB"/>
    <w:rsid w:val="00211700"/>
    <w:rsid w:val="00221279"/>
    <w:rsid w:val="0023285B"/>
    <w:rsid w:val="00253871"/>
    <w:rsid w:val="00267A44"/>
    <w:rsid w:val="0027172D"/>
    <w:rsid w:val="00272DEE"/>
    <w:rsid w:val="00280139"/>
    <w:rsid w:val="0028174F"/>
    <w:rsid w:val="0028526D"/>
    <w:rsid w:val="00286276"/>
    <w:rsid w:val="002C0634"/>
    <w:rsid w:val="002C1FAE"/>
    <w:rsid w:val="002C6347"/>
    <w:rsid w:val="002D5BDF"/>
    <w:rsid w:val="002E072B"/>
    <w:rsid w:val="002E6120"/>
    <w:rsid w:val="002E7B7E"/>
    <w:rsid w:val="002F452B"/>
    <w:rsid w:val="003175F3"/>
    <w:rsid w:val="0033195D"/>
    <w:rsid w:val="00350380"/>
    <w:rsid w:val="003764A7"/>
    <w:rsid w:val="003820C8"/>
    <w:rsid w:val="003A1F0B"/>
    <w:rsid w:val="003B5A43"/>
    <w:rsid w:val="003C5F4C"/>
    <w:rsid w:val="003E66CB"/>
    <w:rsid w:val="003F3E1D"/>
    <w:rsid w:val="003F4D36"/>
    <w:rsid w:val="00403B80"/>
    <w:rsid w:val="00404D80"/>
    <w:rsid w:val="00406AD3"/>
    <w:rsid w:val="00453B03"/>
    <w:rsid w:val="004614C4"/>
    <w:rsid w:val="004644BF"/>
    <w:rsid w:val="00473F34"/>
    <w:rsid w:val="00486C72"/>
    <w:rsid w:val="004A3763"/>
    <w:rsid w:val="004A5655"/>
    <w:rsid w:val="004B1580"/>
    <w:rsid w:val="004B583E"/>
    <w:rsid w:val="004E17EA"/>
    <w:rsid w:val="004E59D2"/>
    <w:rsid w:val="005033DA"/>
    <w:rsid w:val="00517EF9"/>
    <w:rsid w:val="00521D63"/>
    <w:rsid w:val="00523038"/>
    <w:rsid w:val="00530C06"/>
    <w:rsid w:val="00543473"/>
    <w:rsid w:val="00552CFC"/>
    <w:rsid w:val="005549DE"/>
    <w:rsid w:val="0055652E"/>
    <w:rsid w:val="00556CC0"/>
    <w:rsid w:val="00562E10"/>
    <w:rsid w:val="00567F03"/>
    <w:rsid w:val="005720CB"/>
    <w:rsid w:val="0058193F"/>
    <w:rsid w:val="005876D8"/>
    <w:rsid w:val="005930D2"/>
    <w:rsid w:val="005A2419"/>
    <w:rsid w:val="005A79ED"/>
    <w:rsid w:val="005C1E43"/>
    <w:rsid w:val="005D5616"/>
    <w:rsid w:val="006203FB"/>
    <w:rsid w:val="00625712"/>
    <w:rsid w:val="0063342F"/>
    <w:rsid w:val="00633E1C"/>
    <w:rsid w:val="00656491"/>
    <w:rsid w:val="00661692"/>
    <w:rsid w:val="00667407"/>
    <w:rsid w:val="00670675"/>
    <w:rsid w:val="006C68F5"/>
    <w:rsid w:val="006C694D"/>
    <w:rsid w:val="006E7B70"/>
    <w:rsid w:val="006F1356"/>
    <w:rsid w:val="006F4E3E"/>
    <w:rsid w:val="00712A66"/>
    <w:rsid w:val="00744022"/>
    <w:rsid w:val="00755399"/>
    <w:rsid w:val="00775AF7"/>
    <w:rsid w:val="00795714"/>
    <w:rsid w:val="00796106"/>
    <w:rsid w:val="0079611F"/>
    <w:rsid w:val="007A2C8F"/>
    <w:rsid w:val="007A48D7"/>
    <w:rsid w:val="007A4A1A"/>
    <w:rsid w:val="007A7210"/>
    <w:rsid w:val="007C387E"/>
    <w:rsid w:val="007F7A88"/>
    <w:rsid w:val="008074AE"/>
    <w:rsid w:val="00813CBD"/>
    <w:rsid w:val="00822203"/>
    <w:rsid w:val="00845186"/>
    <w:rsid w:val="008508CC"/>
    <w:rsid w:val="00854163"/>
    <w:rsid w:val="00873D61"/>
    <w:rsid w:val="008828A6"/>
    <w:rsid w:val="0089762A"/>
    <w:rsid w:val="008A1D91"/>
    <w:rsid w:val="008A484B"/>
    <w:rsid w:val="008B53D5"/>
    <w:rsid w:val="008C032C"/>
    <w:rsid w:val="008C60DA"/>
    <w:rsid w:val="008E2D10"/>
    <w:rsid w:val="008F661C"/>
    <w:rsid w:val="008F72F7"/>
    <w:rsid w:val="00901068"/>
    <w:rsid w:val="009042F7"/>
    <w:rsid w:val="0091453C"/>
    <w:rsid w:val="00920B76"/>
    <w:rsid w:val="00924608"/>
    <w:rsid w:val="00951DA9"/>
    <w:rsid w:val="00972423"/>
    <w:rsid w:val="00974A88"/>
    <w:rsid w:val="00984390"/>
    <w:rsid w:val="00987C04"/>
    <w:rsid w:val="00992BD0"/>
    <w:rsid w:val="009975F1"/>
    <w:rsid w:val="009A3404"/>
    <w:rsid w:val="009A5751"/>
    <w:rsid w:val="009A6010"/>
    <w:rsid w:val="009B076C"/>
    <w:rsid w:val="009D443B"/>
    <w:rsid w:val="009E3698"/>
    <w:rsid w:val="009F3450"/>
    <w:rsid w:val="00A0563D"/>
    <w:rsid w:val="00A30266"/>
    <w:rsid w:val="00A330A7"/>
    <w:rsid w:val="00A51F48"/>
    <w:rsid w:val="00A618D9"/>
    <w:rsid w:val="00A6245B"/>
    <w:rsid w:val="00A640E5"/>
    <w:rsid w:val="00A70D96"/>
    <w:rsid w:val="00A74210"/>
    <w:rsid w:val="00A854CD"/>
    <w:rsid w:val="00A91423"/>
    <w:rsid w:val="00AB482E"/>
    <w:rsid w:val="00AC5E26"/>
    <w:rsid w:val="00AD2DF5"/>
    <w:rsid w:val="00AE31B9"/>
    <w:rsid w:val="00AF4AC6"/>
    <w:rsid w:val="00AF585C"/>
    <w:rsid w:val="00B13C4A"/>
    <w:rsid w:val="00B242A4"/>
    <w:rsid w:val="00B30A8D"/>
    <w:rsid w:val="00B340CF"/>
    <w:rsid w:val="00B343C1"/>
    <w:rsid w:val="00B3445E"/>
    <w:rsid w:val="00B40966"/>
    <w:rsid w:val="00B40C65"/>
    <w:rsid w:val="00B5476F"/>
    <w:rsid w:val="00B61D7F"/>
    <w:rsid w:val="00B70A28"/>
    <w:rsid w:val="00B77636"/>
    <w:rsid w:val="00B83EB7"/>
    <w:rsid w:val="00B8608A"/>
    <w:rsid w:val="00BC75F1"/>
    <w:rsid w:val="00BD055A"/>
    <w:rsid w:val="00BD0706"/>
    <w:rsid w:val="00BD5E95"/>
    <w:rsid w:val="00BE4C51"/>
    <w:rsid w:val="00BF1C6E"/>
    <w:rsid w:val="00BF429A"/>
    <w:rsid w:val="00C00476"/>
    <w:rsid w:val="00C03B02"/>
    <w:rsid w:val="00C06490"/>
    <w:rsid w:val="00C1008B"/>
    <w:rsid w:val="00C107DB"/>
    <w:rsid w:val="00C27B4D"/>
    <w:rsid w:val="00C41985"/>
    <w:rsid w:val="00C463D1"/>
    <w:rsid w:val="00C51CFE"/>
    <w:rsid w:val="00C57D2E"/>
    <w:rsid w:val="00C61E55"/>
    <w:rsid w:val="00C93430"/>
    <w:rsid w:val="00C96516"/>
    <w:rsid w:val="00CA69DA"/>
    <w:rsid w:val="00CB0DDE"/>
    <w:rsid w:val="00CB5380"/>
    <w:rsid w:val="00CC7835"/>
    <w:rsid w:val="00CD57ED"/>
    <w:rsid w:val="00CE41B8"/>
    <w:rsid w:val="00CF7479"/>
    <w:rsid w:val="00D11E27"/>
    <w:rsid w:val="00D13E4D"/>
    <w:rsid w:val="00D202C8"/>
    <w:rsid w:val="00D20D76"/>
    <w:rsid w:val="00D36671"/>
    <w:rsid w:val="00D47A87"/>
    <w:rsid w:val="00D6681D"/>
    <w:rsid w:val="00D8072A"/>
    <w:rsid w:val="00D85A30"/>
    <w:rsid w:val="00D8750E"/>
    <w:rsid w:val="00DB3BD8"/>
    <w:rsid w:val="00DD2DA6"/>
    <w:rsid w:val="00DD6224"/>
    <w:rsid w:val="00DF6F17"/>
    <w:rsid w:val="00E02F0A"/>
    <w:rsid w:val="00E113DC"/>
    <w:rsid w:val="00E20CD5"/>
    <w:rsid w:val="00E30AE5"/>
    <w:rsid w:val="00E5079A"/>
    <w:rsid w:val="00E54263"/>
    <w:rsid w:val="00E5551A"/>
    <w:rsid w:val="00E5684C"/>
    <w:rsid w:val="00E742BC"/>
    <w:rsid w:val="00E75E4D"/>
    <w:rsid w:val="00E87A91"/>
    <w:rsid w:val="00EA759B"/>
    <w:rsid w:val="00EC0612"/>
    <w:rsid w:val="00ED4895"/>
    <w:rsid w:val="00F01BC3"/>
    <w:rsid w:val="00F0343A"/>
    <w:rsid w:val="00F04FDB"/>
    <w:rsid w:val="00F17BA1"/>
    <w:rsid w:val="00F2017E"/>
    <w:rsid w:val="00F41D22"/>
    <w:rsid w:val="00F466AB"/>
    <w:rsid w:val="00F52C78"/>
    <w:rsid w:val="00F5485A"/>
    <w:rsid w:val="00F64E99"/>
    <w:rsid w:val="00F6519E"/>
    <w:rsid w:val="00F66DDD"/>
    <w:rsid w:val="00F7565E"/>
    <w:rsid w:val="00F931ED"/>
    <w:rsid w:val="00F97D74"/>
    <w:rsid w:val="00F97DDB"/>
    <w:rsid w:val="00FB1CD4"/>
    <w:rsid w:val="00FB57D2"/>
    <w:rsid w:val="00FC7F3F"/>
    <w:rsid w:val="00FC7F6D"/>
    <w:rsid w:val="00FD7559"/>
    <w:rsid w:val="00FE3B7A"/>
    <w:rsid w:val="00FE66A9"/>
    <w:rsid w:val="00FF6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0BD624"/>
  <w15:chartTrackingRefBased/>
  <w15:docId w15:val="{F2C14000-63D4-4B0E-A200-5DBCD2C7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320"/>
    <w:pPr>
      <w:spacing w:before="80" w:after="80" w:line="240" w:lineRule="auto"/>
    </w:pPr>
    <w:rPr>
      <w:sz w:val="20"/>
    </w:rPr>
  </w:style>
  <w:style w:type="paragraph" w:styleId="Heading1">
    <w:name w:val="heading 1"/>
    <w:basedOn w:val="Normal"/>
    <w:next w:val="Normal"/>
    <w:link w:val="Heading1Char"/>
    <w:uiPriority w:val="9"/>
    <w:qFormat/>
    <w:rsid w:val="00567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4"/>
    <w:unhideWhenUsed/>
    <w:qFormat/>
    <w:rsid w:val="000C4320"/>
    <w:pPr>
      <w:keepNext/>
      <w:keepLines/>
      <w:spacing w:before="320" w:after="160"/>
      <w:outlineLvl w:val="1"/>
    </w:pPr>
    <w:rPr>
      <w:rFonts w:eastAsia="SimSun" w:cstheme="minorHAnsi"/>
      <w:b/>
      <w:color w:val="212A4C"/>
      <w:sz w:val="28"/>
      <w:szCs w:val="28"/>
      <w:lang w:eastAsia="zh-CN"/>
    </w:rPr>
  </w:style>
  <w:style w:type="paragraph" w:styleId="Heading3">
    <w:name w:val="heading 3"/>
    <w:basedOn w:val="Normal"/>
    <w:next w:val="Normal"/>
    <w:link w:val="Heading3Char"/>
    <w:uiPriority w:val="4"/>
    <w:unhideWhenUsed/>
    <w:qFormat/>
    <w:rsid w:val="00B8608A"/>
    <w:pPr>
      <w:keepNext/>
      <w:keepLines/>
      <w:spacing w:before="40" w:after="0"/>
      <w:outlineLvl w:val="2"/>
    </w:pPr>
    <w:rPr>
      <w:rFonts w:eastAsiaTheme="majorEastAsia" w:cstheme="majorBidi"/>
      <w:color w:val="264F90"/>
      <w:sz w:val="24"/>
      <w:szCs w:val="24"/>
    </w:rPr>
  </w:style>
  <w:style w:type="paragraph" w:styleId="Heading5">
    <w:name w:val="heading 5"/>
    <w:basedOn w:val="Normal"/>
    <w:next w:val="Normal"/>
    <w:link w:val="Heading5Char"/>
    <w:uiPriority w:val="4"/>
    <w:unhideWhenUsed/>
    <w:qFormat/>
    <w:rsid w:val="006C68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F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4"/>
    <w:rsid w:val="000C4320"/>
    <w:rPr>
      <w:rFonts w:eastAsia="SimSun" w:cstheme="minorHAnsi"/>
      <w:b/>
      <w:color w:val="212A4C"/>
      <w:sz w:val="28"/>
      <w:szCs w:val="28"/>
      <w:lang w:eastAsia="zh-CN"/>
    </w:r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080BA3"/>
    <w:pPr>
      <w:ind w:left="720"/>
      <w:contextualSpacing/>
    </w:pPr>
  </w:style>
  <w:style w:type="paragraph" w:styleId="Header">
    <w:name w:val="header"/>
    <w:basedOn w:val="Normal"/>
    <w:link w:val="HeaderChar"/>
    <w:uiPriority w:val="99"/>
    <w:unhideWhenUsed/>
    <w:rsid w:val="00E742BC"/>
    <w:pPr>
      <w:tabs>
        <w:tab w:val="center" w:pos="4513"/>
        <w:tab w:val="right" w:pos="9026"/>
      </w:tabs>
      <w:spacing w:after="0"/>
    </w:pPr>
  </w:style>
  <w:style w:type="character" w:customStyle="1" w:styleId="HeaderChar">
    <w:name w:val="Header Char"/>
    <w:basedOn w:val="DefaultParagraphFont"/>
    <w:link w:val="Header"/>
    <w:uiPriority w:val="99"/>
    <w:rsid w:val="00E742BC"/>
  </w:style>
  <w:style w:type="paragraph" w:styleId="Footer">
    <w:name w:val="footer"/>
    <w:basedOn w:val="Normal"/>
    <w:link w:val="FooterChar"/>
    <w:uiPriority w:val="99"/>
    <w:unhideWhenUsed/>
    <w:rsid w:val="00E742BC"/>
    <w:pPr>
      <w:tabs>
        <w:tab w:val="center" w:pos="4513"/>
        <w:tab w:val="right" w:pos="9026"/>
      </w:tabs>
      <w:spacing w:after="0"/>
    </w:pPr>
  </w:style>
  <w:style w:type="character" w:customStyle="1" w:styleId="FooterChar">
    <w:name w:val="Footer Char"/>
    <w:basedOn w:val="DefaultParagraphFont"/>
    <w:link w:val="Footer"/>
    <w:uiPriority w:val="99"/>
    <w:rsid w:val="00E742BC"/>
  </w:style>
  <w:style w:type="character" w:styleId="Hyperlink">
    <w:name w:val="Hyperlink"/>
    <w:basedOn w:val="DefaultParagraphFont"/>
    <w:uiPriority w:val="99"/>
    <w:unhideWhenUsed/>
    <w:rsid w:val="00521D63"/>
    <w:rPr>
      <w:color w:val="0563C1" w:themeColor="hyperlink"/>
      <w:u w:val="single"/>
    </w:rPr>
  </w:style>
  <w:style w:type="paragraph" w:styleId="NormalWeb">
    <w:name w:val="Normal (Web)"/>
    <w:basedOn w:val="Normal"/>
    <w:uiPriority w:val="99"/>
    <w:semiHidden/>
    <w:unhideWhenUsed/>
    <w:rsid w:val="00670675"/>
    <w:pPr>
      <w:spacing w:before="100" w:beforeAutospacing="1" w:after="100" w:afterAutospacing="1"/>
    </w:pPr>
    <w:rPr>
      <w:rFonts w:ascii="Times New Roman" w:eastAsiaTheme="minorEastAsia" w:hAnsi="Times New Roman" w:cs="Times New Roman"/>
      <w:sz w:val="24"/>
      <w:szCs w:val="24"/>
      <w:lang w:eastAsia="en-AU"/>
    </w:rPr>
  </w:style>
  <w:style w:type="table" w:customStyle="1" w:styleId="BEPTable1">
    <w:name w:val="BEP Table 1"/>
    <w:basedOn w:val="TableNormal"/>
    <w:uiPriority w:val="99"/>
    <w:rsid w:val="00670675"/>
    <w:pPr>
      <w:spacing w:before="80" w:after="80" w:line="240" w:lineRule="auto"/>
    </w:pPr>
    <w:rPr>
      <w:rFonts w:eastAsia="SimSun"/>
      <w:color w:val="000000"/>
      <w:sz w:val="20"/>
      <w:szCs w:val="20"/>
      <w:lang w:eastAsia="zh-CN"/>
    </w:rPr>
    <w:tblPr>
      <w:tblStyleRowBandSize w:val="1"/>
      <w:tblStyleColBandSize w:val="1"/>
      <w:tblBorders>
        <w:top w:val="single" w:sz="4" w:space="0" w:color="176CB5"/>
        <w:bottom w:val="single" w:sz="4" w:space="0" w:color="176CB5"/>
        <w:insideH w:val="single" w:sz="4" w:space="0" w:color="176CB5"/>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cPr>
    </w:tblStylePr>
    <w:tblStylePr w:type="firstCol">
      <w:rPr>
        <w:b/>
      </w:rPr>
    </w:tblStylePr>
    <w:tblStylePr w:type="lastCol">
      <w:rPr>
        <w:b/>
      </w:rPr>
    </w:tblStylePr>
    <w:tblStylePr w:type="band1Vert">
      <w:tblPr/>
      <w:tcPr>
        <w:shd w:val="clear" w:color="auto" w:fill="F2F2F2"/>
      </w:tcPr>
    </w:tblStylePr>
    <w:tblStylePr w:type="band2Vert">
      <w:tblPr/>
      <w:tcPr>
        <w:shd w:val="clear" w:color="auto" w:fill="E6E6E6"/>
      </w:tcPr>
    </w:tblStylePr>
    <w:tblStylePr w:type="band1Horz">
      <w:tblPr/>
      <w:tcPr>
        <w:shd w:val="clear" w:color="auto" w:fill="F2F2F2"/>
      </w:tcPr>
    </w:tblStylePr>
    <w:tblStylePr w:type="band2Horz">
      <w:tblPr/>
      <w:tcPr>
        <w:shd w:val="clear" w:color="auto" w:fill="E6E6E6"/>
      </w:tcPr>
    </w:tblStylePr>
  </w:style>
  <w:style w:type="paragraph" w:styleId="Title">
    <w:name w:val="Title"/>
    <w:basedOn w:val="Heading1"/>
    <w:next w:val="Normal"/>
    <w:link w:val="TitleChar"/>
    <w:uiPriority w:val="10"/>
    <w:qFormat/>
    <w:rsid w:val="000E41E1"/>
    <w:pPr>
      <w:spacing w:before="0"/>
      <w:contextualSpacing/>
    </w:pPr>
    <w:rPr>
      <w:color w:val="44546A" w:themeColor="text2"/>
      <w:spacing w:val="-10"/>
      <w:kern w:val="28"/>
      <w:sz w:val="56"/>
      <w:szCs w:val="56"/>
      <w:lang w:eastAsia="zh-CN"/>
    </w:rPr>
  </w:style>
  <w:style w:type="character" w:customStyle="1" w:styleId="TitleChar">
    <w:name w:val="Title Char"/>
    <w:basedOn w:val="DefaultParagraphFont"/>
    <w:link w:val="Title"/>
    <w:uiPriority w:val="10"/>
    <w:rsid w:val="000E41E1"/>
    <w:rPr>
      <w:rFonts w:asciiTheme="majorHAnsi" w:eastAsiaTheme="majorEastAsia" w:hAnsiTheme="majorHAnsi" w:cstheme="majorBidi"/>
      <w:color w:val="44546A" w:themeColor="text2"/>
      <w:spacing w:val="-10"/>
      <w:kern w:val="28"/>
      <w:sz w:val="56"/>
      <w:szCs w:val="56"/>
      <w:lang w:eastAsia="zh-CN"/>
    </w:rPr>
  </w:style>
  <w:style w:type="paragraph" w:customStyle="1" w:styleId="TableHeading">
    <w:name w:val="Table Heading"/>
    <w:basedOn w:val="Normal"/>
    <w:uiPriority w:val="7"/>
    <w:qFormat/>
    <w:rsid w:val="000E41E1"/>
    <w:pPr>
      <w:pBdr>
        <w:top w:val="single" w:sz="4" w:space="6" w:color="A5A5A5" w:themeColor="accent3"/>
        <w:left w:val="single" w:sz="4" w:space="4" w:color="A5A5A5" w:themeColor="accent3"/>
        <w:bottom w:val="single" w:sz="4" w:space="6" w:color="A5A5A5" w:themeColor="accent3"/>
        <w:right w:val="single" w:sz="4" w:space="4" w:color="A5A5A5" w:themeColor="accent3"/>
      </w:pBdr>
      <w:shd w:val="clear" w:color="auto" w:fill="A5A5A5" w:themeFill="accent3"/>
      <w:spacing w:before="160" w:after="0" w:line="280" w:lineRule="atLeast"/>
      <w:ind w:left="113" w:right="113"/>
    </w:pPr>
    <w:rPr>
      <w:rFonts w:eastAsiaTheme="minorEastAsia"/>
      <w:b/>
      <w:caps/>
      <w:color w:val="FFFFFF" w:themeColor="background1"/>
      <w:szCs w:val="20"/>
      <w:lang w:eastAsia="zh-CN"/>
    </w:rPr>
  </w:style>
  <w:style w:type="character" w:styleId="CommentReference">
    <w:name w:val="annotation reference"/>
    <w:basedOn w:val="DefaultParagraphFont"/>
    <w:uiPriority w:val="99"/>
    <w:semiHidden/>
    <w:unhideWhenUsed/>
    <w:rsid w:val="000E41E1"/>
    <w:rPr>
      <w:sz w:val="16"/>
      <w:szCs w:val="16"/>
    </w:rPr>
  </w:style>
  <w:style w:type="paragraph" w:styleId="CommentText">
    <w:name w:val="annotation text"/>
    <w:basedOn w:val="Normal"/>
    <w:link w:val="CommentTextChar"/>
    <w:uiPriority w:val="99"/>
    <w:semiHidden/>
    <w:unhideWhenUsed/>
    <w:rsid w:val="000E41E1"/>
    <w:pPr>
      <w:spacing w:before="160"/>
    </w:pPr>
    <w:rPr>
      <w:rFonts w:eastAsiaTheme="minorEastAsia"/>
      <w:color w:val="000000" w:themeColor="text1"/>
      <w:szCs w:val="20"/>
      <w:lang w:eastAsia="zh-CN"/>
    </w:rPr>
  </w:style>
  <w:style w:type="character" w:customStyle="1" w:styleId="CommentTextChar">
    <w:name w:val="Comment Text Char"/>
    <w:basedOn w:val="DefaultParagraphFont"/>
    <w:link w:val="CommentText"/>
    <w:uiPriority w:val="99"/>
    <w:semiHidden/>
    <w:rsid w:val="000E41E1"/>
    <w:rPr>
      <w:rFonts w:eastAsiaTheme="minorEastAsia"/>
      <w:color w:val="000000" w:themeColor="text1"/>
      <w:sz w:val="20"/>
      <w:szCs w:val="20"/>
      <w:lang w:eastAsia="zh-CN"/>
    </w:r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0E41E1"/>
  </w:style>
  <w:style w:type="paragraph" w:styleId="BalloonText">
    <w:name w:val="Balloon Text"/>
    <w:basedOn w:val="Normal"/>
    <w:link w:val="BalloonTextChar"/>
    <w:uiPriority w:val="99"/>
    <w:semiHidden/>
    <w:unhideWhenUsed/>
    <w:rsid w:val="000E41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E1"/>
    <w:rPr>
      <w:rFonts w:ascii="Segoe UI" w:hAnsi="Segoe UI" w:cs="Segoe UI"/>
      <w:sz w:val="18"/>
      <w:szCs w:val="18"/>
    </w:rPr>
  </w:style>
  <w:style w:type="table" w:customStyle="1" w:styleId="BEPTable11">
    <w:name w:val="BEP Table 11"/>
    <w:basedOn w:val="TableNormal"/>
    <w:uiPriority w:val="99"/>
    <w:rsid w:val="000E41E1"/>
    <w:pPr>
      <w:spacing w:before="80" w:after="80" w:line="240" w:lineRule="auto"/>
    </w:pPr>
    <w:rPr>
      <w:rFonts w:eastAsiaTheme="minorEastAsia"/>
      <w:color w:val="000000" w:themeColor="text1"/>
      <w:sz w:val="20"/>
      <w:szCs w:val="20"/>
      <w:lang w:eastAsia="zh-CN"/>
    </w:rPr>
    <w:tblPr>
      <w:tblStyleRowBandSize w:val="1"/>
      <w:tblStyleColBandSize w:val="1"/>
      <w:tblBorders>
        <w:top w:val="single" w:sz="4" w:space="0" w:color="A5A5A5" w:themeColor="accent3"/>
        <w:bottom w:val="single" w:sz="4" w:space="0" w:color="A5A5A5" w:themeColor="accent3"/>
        <w:insideH w:val="single" w:sz="4" w:space="0" w:color="A5A5A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7E6E6" w:themeFill="background2"/>
      </w:tcPr>
    </w:tblStylePr>
    <w:tblStylePr w:type="band1Horz">
      <w:tblPr/>
      <w:tcPr>
        <w:shd w:val="clear" w:color="auto" w:fill="F2F2F2" w:themeFill="background1" w:themeFillShade="F2"/>
      </w:tcPr>
    </w:tblStylePr>
    <w:tblStylePr w:type="band2Horz">
      <w:tblPr/>
      <w:tcPr>
        <w:shd w:val="clear" w:color="auto" w:fill="E7E6E6" w:themeFill="background2"/>
      </w:tcPr>
    </w:tblStylePr>
  </w:style>
  <w:style w:type="character" w:styleId="Strong">
    <w:name w:val="Strong"/>
    <w:basedOn w:val="DefaultParagraphFont"/>
    <w:uiPriority w:val="22"/>
    <w:qFormat/>
    <w:rsid w:val="00BD055A"/>
    <w:rPr>
      <w:b/>
      <w:bCs/>
    </w:rPr>
  </w:style>
  <w:style w:type="paragraph" w:customStyle="1" w:styleId="IconBox1Bullet">
    <w:name w:val="Icon Box 1 Bullet"/>
    <w:basedOn w:val="Normal"/>
    <w:uiPriority w:val="16"/>
    <w:qFormat/>
    <w:rsid w:val="00BD055A"/>
    <w:pPr>
      <w:numPr>
        <w:numId w:val="4"/>
      </w:numPr>
      <w:spacing w:line="280" w:lineRule="atLeast"/>
      <w:ind w:left="3686" w:right="283" w:hanging="284"/>
    </w:pPr>
    <w:rPr>
      <w:rFonts w:eastAsiaTheme="minorEastAsia"/>
      <w:color w:val="000000" w:themeColor="text1"/>
      <w:szCs w:val="20"/>
      <w:lang w:eastAsia="zh-CN"/>
    </w:rPr>
  </w:style>
  <w:style w:type="paragraph" w:customStyle="1" w:styleId="Bullet1">
    <w:name w:val="Bullet 1"/>
    <w:basedOn w:val="Normal"/>
    <w:uiPriority w:val="2"/>
    <w:qFormat/>
    <w:rsid w:val="00A51F48"/>
    <w:pPr>
      <w:numPr>
        <w:numId w:val="6"/>
      </w:numPr>
      <w:spacing w:line="280" w:lineRule="atLeast"/>
    </w:pPr>
    <w:rPr>
      <w:rFonts w:eastAsiaTheme="minorEastAsia"/>
      <w:color w:val="000000" w:themeColor="text1"/>
      <w:szCs w:val="20"/>
      <w:lang w:eastAsia="zh-CN"/>
    </w:rPr>
  </w:style>
  <w:style w:type="paragraph" w:customStyle="1" w:styleId="Bullet2">
    <w:name w:val="Bullet 2"/>
    <w:basedOn w:val="Bullet1"/>
    <w:uiPriority w:val="2"/>
    <w:qFormat/>
    <w:rsid w:val="00A51F48"/>
    <w:pPr>
      <w:numPr>
        <w:ilvl w:val="1"/>
      </w:numPr>
    </w:pPr>
  </w:style>
  <w:style w:type="paragraph" w:customStyle="1" w:styleId="Bullet3">
    <w:name w:val="Bullet 3"/>
    <w:basedOn w:val="Bullet2"/>
    <w:uiPriority w:val="2"/>
    <w:qFormat/>
    <w:rsid w:val="00A51F48"/>
    <w:pPr>
      <w:numPr>
        <w:ilvl w:val="2"/>
      </w:numPr>
    </w:pPr>
  </w:style>
  <w:style w:type="numbering" w:customStyle="1" w:styleId="BulletListStyle">
    <w:name w:val="Bullet List Style"/>
    <w:uiPriority w:val="99"/>
    <w:rsid w:val="00A51F48"/>
    <w:pPr>
      <w:numPr>
        <w:numId w:val="6"/>
      </w:numPr>
    </w:pPr>
  </w:style>
  <w:style w:type="character" w:customStyle="1" w:styleId="Heading3Char">
    <w:name w:val="Heading 3 Char"/>
    <w:basedOn w:val="DefaultParagraphFont"/>
    <w:link w:val="Heading3"/>
    <w:uiPriority w:val="4"/>
    <w:rsid w:val="00B8608A"/>
    <w:rPr>
      <w:rFonts w:eastAsiaTheme="majorEastAsia" w:cstheme="majorBidi"/>
      <w:color w:val="264F90"/>
      <w:sz w:val="24"/>
      <w:szCs w:val="24"/>
    </w:rPr>
  </w:style>
  <w:style w:type="character" w:customStyle="1" w:styleId="Heading5Char">
    <w:name w:val="Heading 5 Char"/>
    <w:basedOn w:val="DefaultParagraphFont"/>
    <w:link w:val="Heading5"/>
    <w:uiPriority w:val="4"/>
    <w:rsid w:val="006C68F5"/>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BE4C51"/>
    <w:rPr>
      <w:color w:val="954F72" w:themeColor="followedHyperlink"/>
      <w:u w:val="single"/>
    </w:rPr>
  </w:style>
  <w:style w:type="paragraph" w:customStyle="1" w:styleId="NumberedList1">
    <w:name w:val="Numbered List 1"/>
    <w:basedOn w:val="Normal"/>
    <w:uiPriority w:val="2"/>
    <w:qFormat/>
    <w:rsid w:val="00B242A4"/>
    <w:pPr>
      <w:numPr>
        <w:numId w:val="21"/>
      </w:numPr>
      <w:spacing w:line="280" w:lineRule="atLeast"/>
    </w:pPr>
    <w:rPr>
      <w:rFonts w:eastAsiaTheme="minorEastAsia"/>
      <w:color w:val="000000" w:themeColor="text1"/>
      <w:szCs w:val="20"/>
      <w:lang w:eastAsia="zh-CN"/>
    </w:rPr>
  </w:style>
  <w:style w:type="paragraph" w:customStyle="1" w:styleId="NumberedList2">
    <w:name w:val="Numbered List 2"/>
    <w:basedOn w:val="NumberedList1"/>
    <w:uiPriority w:val="2"/>
    <w:qFormat/>
    <w:rsid w:val="00B242A4"/>
    <w:pPr>
      <w:numPr>
        <w:ilvl w:val="1"/>
      </w:numPr>
    </w:pPr>
  </w:style>
  <w:style w:type="paragraph" w:customStyle="1" w:styleId="NumberedList3">
    <w:name w:val="Numbered List 3"/>
    <w:basedOn w:val="NumberedList2"/>
    <w:uiPriority w:val="2"/>
    <w:qFormat/>
    <w:rsid w:val="00B242A4"/>
    <w:pPr>
      <w:numPr>
        <w:ilvl w:val="2"/>
      </w:numPr>
    </w:pPr>
  </w:style>
  <w:style w:type="numbering" w:customStyle="1" w:styleId="NumberedListStyle">
    <w:name w:val="Numbered List Style"/>
    <w:uiPriority w:val="99"/>
    <w:rsid w:val="00B242A4"/>
    <w:pPr>
      <w:numPr>
        <w:numId w:val="38"/>
      </w:numPr>
    </w:pPr>
  </w:style>
  <w:style w:type="paragraph" w:styleId="Revision">
    <w:name w:val="Revision"/>
    <w:hidden/>
    <w:uiPriority w:val="99"/>
    <w:semiHidden/>
    <w:rsid w:val="00873D61"/>
    <w:pPr>
      <w:spacing w:after="0" w:line="240" w:lineRule="auto"/>
    </w:pPr>
    <w:rPr>
      <w:sz w:val="20"/>
    </w:rPr>
  </w:style>
  <w:style w:type="paragraph" w:styleId="NoSpacing">
    <w:name w:val="No Spacing"/>
    <w:uiPriority w:val="1"/>
    <w:qFormat/>
    <w:rsid w:val="005C1E43"/>
    <w:pPr>
      <w:spacing w:after="0" w:line="240" w:lineRule="auto"/>
    </w:pPr>
    <w:rPr>
      <w:sz w:val="20"/>
    </w:rPr>
  </w:style>
  <w:style w:type="paragraph" w:styleId="CommentSubject">
    <w:name w:val="annotation subject"/>
    <w:basedOn w:val="CommentText"/>
    <w:next w:val="CommentText"/>
    <w:link w:val="CommentSubjectChar"/>
    <w:uiPriority w:val="99"/>
    <w:semiHidden/>
    <w:unhideWhenUsed/>
    <w:rsid w:val="007A4A1A"/>
    <w:pPr>
      <w:spacing w:before="80"/>
    </w:pPr>
    <w:rPr>
      <w:rFonts w:eastAsiaTheme="minorHAnsi"/>
      <w:b/>
      <w:bCs/>
      <w:color w:val="auto"/>
      <w:lang w:eastAsia="en-US"/>
    </w:rPr>
  </w:style>
  <w:style w:type="character" w:customStyle="1" w:styleId="CommentSubjectChar">
    <w:name w:val="Comment Subject Char"/>
    <w:basedOn w:val="CommentTextChar"/>
    <w:link w:val="CommentSubject"/>
    <w:uiPriority w:val="99"/>
    <w:semiHidden/>
    <w:rsid w:val="007A4A1A"/>
    <w:rPr>
      <w:rFonts w:eastAsiaTheme="minorEastAsia"/>
      <w:b/>
      <w:bCs/>
      <w:color w:val="000000" w:themeColor="text1"/>
      <w:sz w:val="20"/>
      <w:szCs w:val="20"/>
      <w:lang w:eastAsia="zh-CN"/>
    </w:rPr>
  </w:style>
  <w:style w:type="table" w:styleId="TableGrid">
    <w:name w:val="Table Grid"/>
    <w:basedOn w:val="TableNormal"/>
    <w:uiPriority w:val="39"/>
    <w:rsid w:val="00B70A28"/>
    <w:pPr>
      <w:spacing w:after="0" w:line="240" w:lineRule="auto"/>
    </w:pPr>
    <w:rPr>
      <w:rFonts w:ascii="Arial" w:eastAsia="Calibri" w:hAnsi="Arial" w:cs="Times New Roman"/>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70A28"/>
    <w:rPr>
      <w:i/>
      <w:iCs/>
    </w:rPr>
  </w:style>
  <w:style w:type="paragraph" w:customStyle="1" w:styleId="FigureHeading">
    <w:name w:val="Figure Heading"/>
    <w:basedOn w:val="Normal"/>
    <w:uiPriority w:val="7"/>
    <w:qFormat/>
    <w:rsid w:val="00B70A28"/>
    <w:pPr>
      <w:pBdr>
        <w:top w:val="single" w:sz="4" w:space="6" w:color="A5A5A5" w:themeColor="accent3"/>
        <w:left w:val="single" w:sz="4" w:space="4" w:color="A5A5A5" w:themeColor="accent3"/>
        <w:bottom w:val="single" w:sz="4" w:space="6" w:color="A5A5A5" w:themeColor="accent3"/>
        <w:right w:val="single" w:sz="4" w:space="4" w:color="A5A5A5" w:themeColor="accent3"/>
      </w:pBdr>
      <w:shd w:val="clear" w:color="auto" w:fill="A5A5A5" w:themeFill="accent3"/>
      <w:spacing w:before="160" w:after="160" w:line="280" w:lineRule="atLeast"/>
      <w:ind w:left="113" w:right="113"/>
    </w:pPr>
    <w:rPr>
      <w:rFonts w:eastAsiaTheme="minorEastAsia"/>
      <w:b/>
      <w:caps/>
      <w:color w:val="FFFFFF" w:themeColor="background1"/>
      <w:szCs w:val="20"/>
      <w:lang w:eastAsia="zh-CN"/>
    </w:rPr>
  </w:style>
  <w:style w:type="table" w:styleId="TableGridLight">
    <w:name w:val="Grid Table Light"/>
    <w:basedOn w:val="TableNormal"/>
    <w:uiPriority w:val="40"/>
    <w:rsid w:val="00F466AB"/>
    <w:pPr>
      <w:spacing w:before="160" w:after="0" w:line="240" w:lineRule="auto"/>
    </w:pPr>
    <w:rPr>
      <w:rFonts w:eastAsiaTheme="minorEastAsia"/>
      <w:color w:val="000000" w:themeColor="text1"/>
      <w:sz w:val="20"/>
      <w:szCs w:val="20"/>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466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4448">
      <w:bodyDiv w:val="1"/>
      <w:marLeft w:val="0"/>
      <w:marRight w:val="0"/>
      <w:marTop w:val="0"/>
      <w:marBottom w:val="0"/>
      <w:divBdr>
        <w:top w:val="none" w:sz="0" w:space="0" w:color="auto"/>
        <w:left w:val="none" w:sz="0" w:space="0" w:color="auto"/>
        <w:bottom w:val="none" w:sz="0" w:space="0" w:color="auto"/>
        <w:right w:val="none" w:sz="0" w:space="0" w:color="auto"/>
      </w:divBdr>
    </w:div>
    <w:div w:id="553464954">
      <w:bodyDiv w:val="1"/>
      <w:marLeft w:val="0"/>
      <w:marRight w:val="0"/>
      <w:marTop w:val="0"/>
      <w:marBottom w:val="0"/>
      <w:divBdr>
        <w:top w:val="none" w:sz="0" w:space="0" w:color="auto"/>
        <w:left w:val="none" w:sz="0" w:space="0" w:color="auto"/>
        <w:bottom w:val="none" w:sz="0" w:space="0" w:color="auto"/>
        <w:right w:val="none" w:sz="0" w:space="0" w:color="auto"/>
      </w:divBdr>
    </w:div>
    <w:div w:id="1005087070">
      <w:bodyDiv w:val="1"/>
      <w:marLeft w:val="0"/>
      <w:marRight w:val="0"/>
      <w:marTop w:val="0"/>
      <w:marBottom w:val="0"/>
      <w:divBdr>
        <w:top w:val="none" w:sz="0" w:space="0" w:color="auto"/>
        <w:left w:val="none" w:sz="0" w:space="0" w:color="auto"/>
        <w:bottom w:val="none" w:sz="0" w:space="0" w:color="auto"/>
        <w:right w:val="none" w:sz="0" w:space="0" w:color="auto"/>
      </w:divBdr>
    </w:div>
    <w:div w:id="1129741662">
      <w:bodyDiv w:val="1"/>
      <w:marLeft w:val="0"/>
      <w:marRight w:val="0"/>
      <w:marTop w:val="0"/>
      <w:marBottom w:val="0"/>
      <w:divBdr>
        <w:top w:val="none" w:sz="0" w:space="0" w:color="auto"/>
        <w:left w:val="none" w:sz="0" w:space="0" w:color="auto"/>
        <w:bottom w:val="none" w:sz="0" w:space="0" w:color="auto"/>
        <w:right w:val="none" w:sz="0" w:space="0" w:color="auto"/>
      </w:divBdr>
      <w:divsChild>
        <w:div w:id="834685752">
          <w:marLeft w:val="0"/>
          <w:marRight w:val="0"/>
          <w:marTop w:val="0"/>
          <w:marBottom w:val="0"/>
          <w:divBdr>
            <w:top w:val="none" w:sz="0" w:space="0" w:color="auto"/>
            <w:left w:val="none" w:sz="0" w:space="0" w:color="auto"/>
            <w:bottom w:val="none" w:sz="0" w:space="0" w:color="auto"/>
            <w:right w:val="none" w:sz="0" w:space="0" w:color="auto"/>
          </w:divBdr>
          <w:divsChild>
            <w:div w:id="2144033059">
              <w:marLeft w:val="0"/>
              <w:marRight w:val="0"/>
              <w:marTop w:val="0"/>
              <w:marBottom w:val="0"/>
              <w:divBdr>
                <w:top w:val="none" w:sz="0" w:space="0" w:color="auto"/>
                <w:left w:val="none" w:sz="0" w:space="0" w:color="auto"/>
                <w:bottom w:val="none" w:sz="0" w:space="0" w:color="auto"/>
                <w:right w:val="none" w:sz="0" w:space="0" w:color="auto"/>
              </w:divBdr>
              <w:divsChild>
                <w:div w:id="1992052615">
                  <w:marLeft w:val="0"/>
                  <w:marRight w:val="0"/>
                  <w:marTop w:val="0"/>
                  <w:marBottom w:val="0"/>
                  <w:divBdr>
                    <w:top w:val="none" w:sz="0" w:space="0" w:color="auto"/>
                    <w:left w:val="none" w:sz="0" w:space="0" w:color="auto"/>
                    <w:bottom w:val="none" w:sz="0" w:space="0" w:color="auto"/>
                    <w:right w:val="none" w:sz="0" w:space="0" w:color="auto"/>
                  </w:divBdr>
                  <w:divsChild>
                    <w:div w:id="826167935">
                      <w:marLeft w:val="0"/>
                      <w:marRight w:val="0"/>
                      <w:marTop w:val="0"/>
                      <w:marBottom w:val="0"/>
                      <w:divBdr>
                        <w:top w:val="none" w:sz="0" w:space="0" w:color="auto"/>
                        <w:left w:val="none" w:sz="0" w:space="0" w:color="auto"/>
                        <w:bottom w:val="none" w:sz="0" w:space="0" w:color="auto"/>
                        <w:right w:val="none" w:sz="0" w:space="0" w:color="auto"/>
                      </w:divBdr>
                      <w:divsChild>
                        <w:div w:id="1632710404">
                          <w:marLeft w:val="0"/>
                          <w:marRight w:val="0"/>
                          <w:marTop w:val="0"/>
                          <w:marBottom w:val="0"/>
                          <w:divBdr>
                            <w:top w:val="none" w:sz="0" w:space="0" w:color="auto"/>
                            <w:left w:val="none" w:sz="0" w:space="0" w:color="auto"/>
                            <w:bottom w:val="none" w:sz="0" w:space="0" w:color="auto"/>
                            <w:right w:val="none" w:sz="0" w:space="0" w:color="auto"/>
                          </w:divBdr>
                          <w:divsChild>
                            <w:div w:id="101340475">
                              <w:marLeft w:val="0"/>
                              <w:marRight w:val="0"/>
                              <w:marTop w:val="0"/>
                              <w:marBottom w:val="0"/>
                              <w:divBdr>
                                <w:top w:val="none" w:sz="0" w:space="0" w:color="auto"/>
                                <w:left w:val="none" w:sz="0" w:space="0" w:color="auto"/>
                                <w:bottom w:val="none" w:sz="0" w:space="0" w:color="auto"/>
                                <w:right w:val="none" w:sz="0" w:space="0" w:color="auto"/>
                              </w:divBdr>
                              <w:divsChild>
                                <w:div w:id="1549343272">
                                  <w:marLeft w:val="0"/>
                                  <w:marRight w:val="0"/>
                                  <w:marTop w:val="0"/>
                                  <w:marBottom w:val="0"/>
                                  <w:divBdr>
                                    <w:top w:val="none" w:sz="0" w:space="0" w:color="auto"/>
                                    <w:left w:val="none" w:sz="0" w:space="0" w:color="auto"/>
                                    <w:bottom w:val="none" w:sz="0" w:space="0" w:color="auto"/>
                                    <w:right w:val="none" w:sz="0" w:space="0" w:color="auto"/>
                                  </w:divBdr>
                                  <w:divsChild>
                                    <w:div w:id="346445325">
                                      <w:marLeft w:val="0"/>
                                      <w:marRight w:val="0"/>
                                      <w:marTop w:val="0"/>
                                      <w:marBottom w:val="0"/>
                                      <w:divBdr>
                                        <w:top w:val="none" w:sz="0" w:space="0" w:color="auto"/>
                                        <w:left w:val="none" w:sz="0" w:space="0" w:color="auto"/>
                                        <w:bottom w:val="none" w:sz="0" w:space="0" w:color="auto"/>
                                        <w:right w:val="none" w:sz="0" w:space="0" w:color="auto"/>
                                      </w:divBdr>
                                      <w:divsChild>
                                        <w:div w:id="760370523">
                                          <w:marLeft w:val="0"/>
                                          <w:marRight w:val="0"/>
                                          <w:marTop w:val="0"/>
                                          <w:marBottom w:val="0"/>
                                          <w:divBdr>
                                            <w:top w:val="none" w:sz="0" w:space="0" w:color="auto"/>
                                            <w:left w:val="none" w:sz="0" w:space="0" w:color="auto"/>
                                            <w:bottom w:val="none" w:sz="0" w:space="0" w:color="auto"/>
                                            <w:right w:val="none" w:sz="0" w:space="0" w:color="auto"/>
                                          </w:divBdr>
                                          <w:divsChild>
                                            <w:div w:id="466779619">
                                              <w:marLeft w:val="0"/>
                                              <w:marRight w:val="0"/>
                                              <w:marTop w:val="0"/>
                                              <w:marBottom w:val="0"/>
                                              <w:divBdr>
                                                <w:top w:val="none" w:sz="0" w:space="0" w:color="auto"/>
                                                <w:left w:val="none" w:sz="0" w:space="0" w:color="auto"/>
                                                <w:bottom w:val="none" w:sz="0" w:space="0" w:color="auto"/>
                                                <w:right w:val="none" w:sz="0" w:space="0" w:color="auto"/>
                                              </w:divBdr>
                                              <w:divsChild>
                                                <w:div w:id="509413567">
                                                  <w:marLeft w:val="0"/>
                                                  <w:marRight w:val="0"/>
                                                  <w:marTop w:val="0"/>
                                                  <w:marBottom w:val="0"/>
                                                  <w:divBdr>
                                                    <w:top w:val="single" w:sz="6" w:space="0" w:color="ABABAB"/>
                                                    <w:left w:val="single" w:sz="6" w:space="0" w:color="ABABAB"/>
                                                    <w:bottom w:val="none" w:sz="0" w:space="0" w:color="auto"/>
                                                    <w:right w:val="single" w:sz="6" w:space="0" w:color="ABABAB"/>
                                                  </w:divBdr>
                                                  <w:divsChild>
                                                    <w:div w:id="67313530">
                                                      <w:marLeft w:val="0"/>
                                                      <w:marRight w:val="0"/>
                                                      <w:marTop w:val="0"/>
                                                      <w:marBottom w:val="0"/>
                                                      <w:divBdr>
                                                        <w:top w:val="none" w:sz="0" w:space="0" w:color="auto"/>
                                                        <w:left w:val="none" w:sz="0" w:space="0" w:color="auto"/>
                                                        <w:bottom w:val="none" w:sz="0" w:space="0" w:color="auto"/>
                                                        <w:right w:val="none" w:sz="0" w:space="0" w:color="auto"/>
                                                      </w:divBdr>
                                                      <w:divsChild>
                                                        <w:div w:id="500969609">
                                                          <w:marLeft w:val="0"/>
                                                          <w:marRight w:val="0"/>
                                                          <w:marTop w:val="0"/>
                                                          <w:marBottom w:val="0"/>
                                                          <w:divBdr>
                                                            <w:top w:val="none" w:sz="0" w:space="0" w:color="auto"/>
                                                            <w:left w:val="none" w:sz="0" w:space="0" w:color="auto"/>
                                                            <w:bottom w:val="none" w:sz="0" w:space="0" w:color="auto"/>
                                                            <w:right w:val="none" w:sz="0" w:space="0" w:color="auto"/>
                                                          </w:divBdr>
                                                          <w:divsChild>
                                                            <w:div w:id="207231309">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483160576">
                                                                      <w:marLeft w:val="0"/>
                                                                      <w:marRight w:val="0"/>
                                                                      <w:marTop w:val="0"/>
                                                                      <w:marBottom w:val="0"/>
                                                                      <w:divBdr>
                                                                        <w:top w:val="none" w:sz="0" w:space="0" w:color="auto"/>
                                                                        <w:left w:val="none" w:sz="0" w:space="0" w:color="auto"/>
                                                                        <w:bottom w:val="none" w:sz="0" w:space="0" w:color="auto"/>
                                                                        <w:right w:val="none" w:sz="0" w:space="0" w:color="auto"/>
                                                                      </w:divBdr>
                                                                      <w:divsChild>
                                                                        <w:div w:id="1210646690">
                                                                          <w:marLeft w:val="0"/>
                                                                          <w:marRight w:val="0"/>
                                                                          <w:marTop w:val="0"/>
                                                                          <w:marBottom w:val="0"/>
                                                                          <w:divBdr>
                                                                            <w:top w:val="none" w:sz="0" w:space="0" w:color="auto"/>
                                                                            <w:left w:val="none" w:sz="0" w:space="0" w:color="auto"/>
                                                                            <w:bottom w:val="none" w:sz="0" w:space="0" w:color="auto"/>
                                                                            <w:right w:val="none" w:sz="0" w:space="0" w:color="auto"/>
                                                                          </w:divBdr>
                                                                          <w:divsChild>
                                                                            <w:div w:id="1512333990">
                                                                              <w:marLeft w:val="0"/>
                                                                              <w:marRight w:val="0"/>
                                                                              <w:marTop w:val="0"/>
                                                                              <w:marBottom w:val="0"/>
                                                                              <w:divBdr>
                                                                                <w:top w:val="none" w:sz="0" w:space="0" w:color="auto"/>
                                                                                <w:left w:val="none" w:sz="0" w:space="0" w:color="auto"/>
                                                                                <w:bottom w:val="none" w:sz="0" w:space="0" w:color="auto"/>
                                                                                <w:right w:val="none" w:sz="0" w:space="0" w:color="auto"/>
                                                                              </w:divBdr>
                                                                              <w:divsChild>
                                                                                <w:div w:id="809514654">
                                                                                  <w:marLeft w:val="-75"/>
                                                                                  <w:marRight w:val="0"/>
                                                                                  <w:marTop w:val="30"/>
                                                                                  <w:marBottom w:val="30"/>
                                                                                  <w:divBdr>
                                                                                    <w:top w:val="none" w:sz="0" w:space="0" w:color="auto"/>
                                                                                    <w:left w:val="none" w:sz="0" w:space="0" w:color="auto"/>
                                                                                    <w:bottom w:val="none" w:sz="0" w:space="0" w:color="auto"/>
                                                                                    <w:right w:val="none" w:sz="0" w:space="0" w:color="auto"/>
                                                                                  </w:divBdr>
                                                                                  <w:divsChild>
                                                                                    <w:div w:id="65999929">
                                                                                      <w:marLeft w:val="0"/>
                                                                                      <w:marRight w:val="0"/>
                                                                                      <w:marTop w:val="0"/>
                                                                                      <w:marBottom w:val="0"/>
                                                                                      <w:divBdr>
                                                                                        <w:top w:val="none" w:sz="0" w:space="0" w:color="auto"/>
                                                                                        <w:left w:val="none" w:sz="0" w:space="0" w:color="auto"/>
                                                                                        <w:bottom w:val="none" w:sz="0" w:space="0" w:color="auto"/>
                                                                                        <w:right w:val="none" w:sz="0" w:space="0" w:color="auto"/>
                                                                                      </w:divBdr>
                                                                                      <w:divsChild>
                                                                                        <w:div w:id="17964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dti.engagement@industry.gov.au" TargetMode="External"/><Relationship Id="rId26" Type="http://schemas.openxmlformats.org/officeDocument/2006/relationships/hyperlink" Target="https://business.gov.au/grants-and-programs/research-and-development-tax-incentive/assess-if-your-randd-activities-are-eligible/clinical-trials-determination-guide" TargetMode="External"/><Relationship Id="rId3" Type="http://schemas.openxmlformats.org/officeDocument/2006/relationships/customXml" Target="../customXml/item3.xml"/><Relationship Id="rId21" Type="http://schemas.openxmlformats.org/officeDocument/2006/relationships/hyperlink" Target="https://teams.microsoft.com/registration/QiCd6ePBE02mDiDTuzkXfA,pIsRgh52bUK-ts3ddZIwzg,2y4L0SxiWkOGSmk22cTUQw,-qA5fc22EEy8FJVFPcdrgQ,HwQitkbcYUyZNp8A-AjqgQ,szXGtBMXAEaVjvJfssChKg?mode=read&amp;tenantId=e99d2042-c1e3-4d13-a60e-20d3bb39177c"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dti.engagement@industry.gov.au" TargetMode="External"/><Relationship Id="rId25" Type="http://schemas.openxmlformats.org/officeDocument/2006/relationships/hyperlink" Target="https://www.legislation.gov.au/Details/F2022C0075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novationtax@ato.gov.au" TargetMode="External"/><Relationship Id="rId20" Type="http://schemas.openxmlformats.org/officeDocument/2006/relationships/hyperlink" Target="https://teams.microsoft.com/registration/QiCd6ePBE02mDiDTuzkXfA,pIsRgh52bUK-ts3ddZIwzg,2y4L0SxiWkOGSmk22cTUQw,Cd5083_0pUWi-_Yo-3RhTw,34dHG5rhXE-a0nx0uO5gyg,2uq2_6gvJUWgW2otIBP6Gw?mode=read&amp;tenantId=e99d2042-c1e3-4d13-a60e-20d3bb39177c" TargetMode="External"/><Relationship Id="rId29" Type="http://schemas.openxmlformats.org/officeDocument/2006/relationships/hyperlink" Target="https://www.digitalidentity.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usiness.gov.au/grants-and-programs/research-and-development-tax-incentive/latest-updates-to-the-rdti-content?mc_cid=e4e6e5a986&amp;mc_eid=afd1a2b7bc&amp;mc_cid=e4e6e5a986&amp;mc_eid=afd1a2b7bc" TargetMode="External"/><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digitalidentity.gov.au/" TargetMode="External"/><Relationship Id="rId23" Type="http://schemas.openxmlformats.org/officeDocument/2006/relationships/hyperlink" Target="https://business.gov.au/grants-and-programs/research-and-development-tax-incentive/assess-if-your-randd-activities-are-eligible" TargetMode="External"/><Relationship Id="rId28" Type="http://schemas.openxmlformats.org/officeDocument/2006/relationships/hyperlink" Target="mailto:rdti.engagement@industry.gov.au" TargetMode="External"/><Relationship Id="rId10" Type="http://schemas.openxmlformats.org/officeDocument/2006/relationships/endnotes" Target="endnotes.xml"/><Relationship Id="rId19" Type="http://schemas.openxmlformats.org/officeDocument/2006/relationships/hyperlink" Target="mailto:rdti.engagement@industry.gov.au" TargetMode="External"/><Relationship Id="rId31" Type="http://schemas.openxmlformats.org/officeDocument/2006/relationships/hyperlink" Target="https://www.abs.gov.au/statistics/classifications/australian-and-new-zealand-standard-research-classification-anzsrc/latest-rele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gov.au/grants-and-programs/research-and-development-tax-incentive/events-and-information-sessions/roundtable" TargetMode="External"/><Relationship Id="rId22" Type="http://schemas.openxmlformats.org/officeDocument/2006/relationships/hyperlink" Target="https://business.gov.au/grants-and-programs/research-and-development-tax-incentive/events-and-information-sessions/state-reference-groups" TargetMode="External"/><Relationship Id="rId27" Type="http://schemas.openxmlformats.org/officeDocument/2006/relationships/hyperlink" Target="https://business.gov.au/grants-and-programs/research-and-development-tax-incentive/assess-if-your-randd-activities-are-eligible" TargetMode="External"/><Relationship Id="rId30" Type="http://schemas.openxmlformats.org/officeDocument/2006/relationships/hyperlink" Target="https://www.legislation.gov.au/Details/F2022L003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116a9244-cef6-47ce-a9a5-088c9cf21292</TermId>
        </TermInfo>
      </Terms>
    </pe2555c81638466f9eb614edb9ecde52>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a36bd50b-1532-4c22-b385-5c082c960938">
      <Terms xmlns="http://schemas.microsoft.com/office/infopath/2007/PartnerControls">
        <TermInfo xmlns="http://schemas.microsoft.com/office/infopath/2007/PartnerControls">
          <TermName xmlns="http://schemas.microsoft.com/office/infopath/2007/PartnerControls">R＆D Tax Incentive</TermName>
          <TermId xmlns="http://schemas.microsoft.com/office/infopath/2007/PartnerControls">d34b02b7-fd4f-4e15-bd61-33c04d82916e</TermId>
        </TermInfo>
      </Terms>
    </adb9bed2e36e4a93af574aeb444da63e>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a36bd50b-1532-4c22-b385-5c082c960938">
      <Value>10</Value>
      <Value>40</Value>
      <Value>40022</Value>
      <Value>1493</Value>
      <Value>36882</Value>
    </TaxCatchAll>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e5a94374-c5c6-45f9-9ba5-263eb5e10d1f</TermId>
        </TermInfo>
      </Terms>
    </g7bcb40ba23249a78edca7d43a67c1c9>
    <_dlc_DocId xmlns="a36bd50b-1532-4c22-b385-5c082c960938">YZXQVS7QACYM-2114359073-10654</_dlc_DocId>
    <_dlc_DocIdUrl xmlns="a36bd50b-1532-4c22-b385-5c082c960938">
      <Url>https://dochub/div/ausindustry/programmesprojectstaskforces/rdti/_layouts/15/DocIdRedir.aspx?ID=YZXQVS7QACYM-2114359073-10654</Url>
      <Description>YZXQVS7QACYM-2114359073-10654</Description>
    </_dlc_DocIdUrl>
    <DocHub_MeetingDate xmlns="a36bd50b-1532-4c22-b385-5c082c9609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073702B1C25647A67EAEBFEAC27B4F" ma:contentTypeVersion="14" ma:contentTypeDescription="Create a new document." ma:contentTypeScope="" ma:versionID="0e223d007d41f81e815148558c42e2e0">
  <xsd:schema xmlns:xsd="http://www.w3.org/2001/XMLSchema" xmlns:xs="http://www.w3.org/2001/XMLSchema" xmlns:p="http://schemas.microsoft.com/office/2006/metadata/properties" xmlns:ns1="http://schemas.microsoft.com/sharepoint/v3" xmlns:ns2="a36bd50b-1532-4c22-b385-5c082c960938" xmlns:ns3="2a251b7e-61e4-4816-a71f-b295a9ad20fb" targetNamespace="http://schemas.microsoft.com/office/2006/metadata/properties" ma:root="true" ma:fieldsID="91a7d7539d00d76623a3e41964eeab3f" ns1:_="" ns2:_="" ns3:_="">
    <xsd:import namespace="http://schemas.microsoft.com/sharepoint/v3"/>
    <xsd:import namespace="a36bd50b-1532-4c22-b385-5c082c960938"/>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Meeting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MeetingDate" ma:index="23" nillable="true" ma:displayName="Meeting Date" ma:description="Date of the meeting (DD/MM/YYYY)" ma:format="DateOnly" ma:internalName="DocHub_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825D5-F887-4DDA-84BC-3792E6722217}">
  <ds:schemaRefs>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a251b7e-61e4-4816-a71f-b295a9ad20fb"/>
    <ds:schemaRef ds:uri="a36bd50b-1532-4c22-b385-5c082c960938"/>
    <ds:schemaRef ds:uri="http://www.w3.org/XML/1998/namespace"/>
  </ds:schemaRefs>
</ds:datastoreItem>
</file>

<file path=customXml/itemProps2.xml><?xml version="1.0" encoding="utf-8"?>
<ds:datastoreItem xmlns:ds="http://schemas.openxmlformats.org/officeDocument/2006/customXml" ds:itemID="{D088F2FE-04E4-4783-9F0C-43F25AA1F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27AD-FC73-449B-AF18-2E77193E8640}">
  <ds:schemaRefs>
    <ds:schemaRef ds:uri="http://schemas.microsoft.com/sharepoint/events"/>
  </ds:schemaRefs>
</ds:datastoreItem>
</file>

<file path=customXml/itemProps4.xml><?xml version="1.0" encoding="utf-8"?>
<ds:datastoreItem xmlns:ds="http://schemas.openxmlformats.org/officeDocument/2006/customXml" ds:itemID="{AFD9ADE0-CDFF-40ED-B543-72C58C473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7377</Words>
  <Characters>42055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49334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Tax Incentive Roundtable meeting summary 1 September 2022</dc:title>
  <dc:subject/>
  <dc:creator/>
  <cp:keywords/>
  <dc:description/>
  <cp:lastModifiedBy>Cooper, Colin</cp:lastModifiedBy>
  <cp:revision>12</cp:revision>
  <dcterms:created xsi:type="dcterms:W3CDTF">2022-09-25T23:45:00Z</dcterms:created>
  <dcterms:modified xsi:type="dcterms:W3CDTF">2022-09-27T05:10:00Z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0x0101000D073702B1C25647A67EAEBFEAC27B4F</vt:lpwstr>
  </property>
  <property fmtid="{D5CDD505-2E9C-101B-9397-08002B2CF9AE}" pid="3" name="_dlc_DocIdItemGuid">
    <vt:lpwstr>f6d6396f-8f17-415d-a933-e7ad2a83e34d</vt:lpwstr>
  </property>
  <property fmtid="{D5CDD505-2E9C-101B-9397-08002B2CF9AE}" pid="4" name="DocHub_Year">
    <vt:lpwstr>36882;#2022|4a777a70-2aa9-481e-a746-cca47d761c8e</vt:lpwstr>
  </property>
  <property fmtid="{D5CDD505-2E9C-101B-9397-08002B2CF9AE}" pid="5" name="DocHub_DocumentType">
    <vt:lpwstr>40;#Report|116a9244-cef6-47ce-a9a5-088c9cf21292</vt:lpwstr>
  </property>
  <property fmtid="{D5CDD505-2E9C-101B-9397-08002B2CF9AE}" pid="6" name="DocHub_SecurityClassification">
    <vt:lpwstr>40022;#OFFICIAL:Sensitive|11f6fb0b-52ce-4109-8f7f-521b2a62f692</vt:lpwstr>
  </property>
  <property fmtid="{D5CDD505-2E9C-101B-9397-08002B2CF9AE}" pid="7" name="DocHub_Keywords">
    <vt:lpwstr>1493;#R＆D Tax Incentive|d34b02b7-fd4f-4e15-bd61-33c04d82916e</vt:lpwstr>
  </property>
  <property fmtid="{D5CDD505-2E9C-101B-9397-08002B2CF9AE}" pid="8" name="DocHub_DSOSection">
    <vt:lpwstr>20844;#Stakeholder Engagement|07e4cd81-7a18-4e45-b3c4-b652921e6ecc</vt:lpwstr>
  </property>
  <property fmtid="{D5CDD505-2E9C-101B-9397-08002B2CF9AE}" pid="9" name="DocHub_WorkActivity">
    <vt:lpwstr>10;#Stakeholder Engagement|e5a94374-c5c6-45f9-9ba5-263eb5e10d1f</vt:lpwstr>
  </property>
  <property fmtid="{D5CDD505-2E9C-101B-9397-08002B2CF9AE}" pid="10" name="DocHub_EntityCustomer">
    <vt:lpwstr/>
  </property>
</Properties>
</file>