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B8BA" w14:textId="6CBC51BE" w:rsidR="005862E6" w:rsidRDefault="00B51EA8" w:rsidP="005862E6">
      <w:pPr>
        <w:rPr>
          <w:rFonts w:ascii="Segoe UI" w:hAnsi="Segoe UI" w:cs="Segoe UI"/>
          <w:color w:val="000000"/>
          <w:sz w:val="20"/>
          <w:szCs w:val="20"/>
        </w:rPr>
      </w:pPr>
      <w:r w:rsidRPr="00B51EA8"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611DF1F3" wp14:editId="0E57F5AE">
                <wp:extent cx="5002530" cy="1404620"/>
                <wp:effectExtent l="0" t="0" r="0" b="25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AF2D" w14:textId="7251AF93" w:rsidR="00B51EA8" w:rsidRPr="00487FD7" w:rsidRDefault="00B51EA8">
                            <w:pP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 w:rsidRPr="00487FD7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Changes to the R&amp;D Tax Incentive:</w:t>
                            </w:r>
                            <w:r w:rsidRPr="00487FD7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br/>
                            </w:r>
                            <w:r w:rsidRPr="00487FD7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Overview factsheet July 2021 (updated </w:t>
                            </w:r>
                            <w:r w:rsidR="00487FD7" w:rsidRPr="00487FD7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July</w:t>
                            </w:r>
                            <w:r w:rsidRPr="00487FD7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1DF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" filled="f" stroked="f">
                <v:textbox style="mso-fit-shape-to-text:t">
                  <w:txbxContent>
                    <w:p w14:paraId="0CA6AF2D" w14:textId="7251AF93" w:rsidR="00B51EA8" w:rsidRPr="00487FD7" w:rsidRDefault="00B51EA8">
                      <w:pPr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 w:rsidRPr="00487FD7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Changes to the R&amp;D Tax Incentive:</w:t>
                      </w:r>
                      <w:r w:rsidRPr="00487FD7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br/>
                      </w:r>
                      <w:r w:rsidRPr="00487FD7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Overview factsheet July 2021 (updated </w:t>
                      </w:r>
                      <w:r w:rsidR="00487FD7" w:rsidRPr="00487FD7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July</w:t>
                      </w:r>
                      <w:r w:rsidRPr="00487FD7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2023)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87DA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0F20631" wp14:editId="40252855">
            <wp:simplePos x="0" y="0"/>
            <wp:positionH relativeFrom="page">
              <wp:align>left</wp:align>
            </wp:positionH>
            <wp:positionV relativeFrom="page">
              <wp:posOffset>-79402</wp:posOffset>
            </wp:positionV>
            <wp:extent cx="7583170" cy="3517265"/>
            <wp:effectExtent l="0" t="0" r="0" b="698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F01D0" w14:textId="6C5AC4FE" w:rsidR="005862E6" w:rsidRDefault="005862E6" w:rsidP="005862E6">
      <w:pPr>
        <w:pStyle w:val="Heading1"/>
        <w:rPr>
          <w:rFonts w:ascii="Open Sans" w:hAnsi="Open Sans" w:cs="Open Sans"/>
        </w:rPr>
      </w:pPr>
      <w:r w:rsidRPr="005862E6">
        <w:rPr>
          <w:rFonts w:ascii="Open Sans" w:hAnsi="Open Sans" w:cs="Open Sans"/>
        </w:rPr>
        <w:t>R&amp;D Tax Incentive reforms introduced in the 2020-21 Budget</w:t>
      </w:r>
    </w:p>
    <w:p w14:paraId="065951A7" w14:textId="77777777" w:rsidR="005862E6" w:rsidRDefault="005862E6" w:rsidP="005862E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01E"/>
          <w:sz w:val="20"/>
          <w:szCs w:val="20"/>
        </w:rPr>
      </w:pPr>
    </w:p>
    <w:p w14:paraId="270383AB" w14:textId="47584BF4" w:rsidR="005862E6" w:rsidRPr="005862E6" w:rsidRDefault="005862E6" w:rsidP="005862E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20201E"/>
          <w:sz w:val="20"/>
          <w:szCs w:val="20"/>
        </w:rPr>
      </w:pPr>
      <w:r w:rsidRPr="005862E6">
        <w:rPr>
          <w:rFonts w:ascii="Open Sans" w:hAnsi="Open Sans" w:cs="Open Sans"/>
          <w:color w:val="20201E"/>
          <w:sz w:val="20"/>
          <w:szCs w:val="20"/>
        </w:rPr>
        <w:t xml:space="preserve">Changes to the R&amp;D Tax Incentive </w:t>
      </w:r>
      <w:r w:rsidR="00487FD7">
        <w:rPr>
          <w:rFonts w:ascii="Open Sans" w:hAnsi="Open Sans" w:cs="Open Sans"/>
          <w:color w:val="20201E"/>
          <w:sz w:val="20"/>
          <w:szCs w:val="20"/>
        </w:rPr>
        <w:t>were introduced</w:t>
      </w:r>
      <w:r w:rsidRPr="005862E6">
        <w:rPr>
          <w:rFonts w:ascii="Open Sans" w:hAnsi="Open Sans" w:cs="Open Sans"/>
          <w:color w:val="20201E"/>
          <w:sz w:val="20"/>
          <w:szCs w:val="20"/>
        </w:rPr>
        <w:t xml:space="preserve"> in </w:t>
      </w:r>
      <w:r w:rsidR="00487FD7">
        <w:rPr>
          <w:rFonts w:ascii="Open Sans" w:hAnsi="Open Sans" w:cs="Open Sans"/>
          <w:color w:val="20201E"/>
          <w:sz w:val="20"/>
          <w:szCs w:val="20"/>
        </w:rPr>
        <w:t xml:space="preserve">the </w:t>
      </w:r>
      <w:r w:rsidRPr="005862E6">
        <w:rPr>
          <w:rFonts w:ascii="Open Sans" w:hAnsi="Open Sans" w:cs="Open Sans"/>
          <w:color w:val="20201E"/>
          <w:sz w:val="20"/>
          <w:szCs w:val="20"/>
        </w:rPr>
        <w:t xml:space="preserve">2020-21 </w:t>
      </w:r>
      <w:hyperlink r:id="rId7" w:history="1">
        <w:r w:rsidRPr="005862E6">
          <w:rPr>
            <w:rStyle w:val="Hyperlink"/>
            <w:rFonts w:ascii="Open Sans" w:hAnsi="Open Sans" w:cs="Open Sans"/>
            <w:sz w:val="20"/>
            <w:szCs w:val="20"/>
          </w:rPr>
          <w:t>Budget Paper 2 “</w:t>
        </w:r>
        <w:proofErr w:type="spellStart"/>
        <w:r w:rsidRPr="005862E6">
          <w:rPr>
            <w:rStyle w:val="Hyperlink"/>
            <w:rFonts w:ascii="Open Sans" w:hAnsi="Open Sans" w:cs="Open Sans"/>
            <w:sz w:val="20"/>
            <w:szCs w:val="20"/>
          </w:rPr>
          <w:t>JobMaker</w:t>
        </w:r>
        <w:proofErr w:type="spellEnd"/>
        <w:r w:rsidRPr="005862E6">
          <w:rPr>
            <w:rStyle w:val="Hyperlink"/>
            <w:rFonts w:ascii="Open Sans" w:hAnsi="Open Sans" w:cs="Open Sans"/>
            <w:sz w:val="20"/>
            <w:szCs w:val="20"/>
          </w:rPr>
          <w:t xml:space="preserve"> Plan — Research and Development Tax Incentive”</w:t>
        </w:r>
      </w:hyperlink>
      <w:r w:rsidRPr="005862E6">
        <w:rPr>
          <w:rFonts w:ascii="Open Sans" w:hAnsi="Open Sans" w:cs="Open Sans"/>
          <w:color w:val="20201E"/>
          <w:sz w:val="20"/>
          <w:szCs w:val="20"/>
        </w:rPr>
        <w:t xml:space="preserve"> </w:t>
      </w:r>
      <w:r w:rsidR="00487FD7">
        <w:rPr>
          <w:rFonts w:ascii="Open Sans" w:hAnsi="Open Sans" w:cs="Open Sans"/>
          <w:color w:val="20201E"/>
          <w:sz w:val="20"/>
          <w:szCs w:val="20"/>
        </w:rPr>
        <w:t xml:space="preserve">and </w:t>
      </w:r>
      <w:r w:rsidRPr="005862E6">
        <w:rPr>
          <w:rFonts w:ascii="Open Sans" w:hAnsi="Open Sans" w:cs="Open Sans"/>
          <w:color w:val="20201E"/>
          <w:sz w:val="20"/>
          <w:szCs w:val="20"/>
        </w:rPr>
        <w:t xml:space="preserve">were legislated in the </w:t>
      </w:r>
      <w:hyperlink r:id="rId8" w:history="1">
        <w:r w:rsidRPr="005862E6">
          <w:rPr>
            <w:rStyle w:val="Hyperlink"/>
            <w:rFonts w:ascii="Open Sans" w:hAnsi="Open Sans" w:cs="Open Sans"/>
            <w:sz w:val="20"/>
            <w:szCs w:val="20"/>
          </w:rPr>
          <w:t>Treasury Laws Amendment (A Tax Plan for the COVID-19 Economic Recovery) Bill 2020</w:t>
        </w:r>
      </w:hyperlink>
      <w:r>
        <w:rPr>
          <w:rFonts w:ascii="Open Sans" w:hAnsi="Open Sans" w:cs="Open Sans"/>
          <w:color w:val="20201E"/>
          <w:sz w:val="20"/>
          <w:szCs w:val="20"/>
        </w:rPr>
        <w:t>.</w:t>
      </w:r>
    </w:p>
    <w:p w14:paraId="4CDF0499" w14:textId="77777777" w:rsidR="005862E6" w:rsidRDefault="005862E6" w:rsidP="005862E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01E"/>
          <w:sz w:val="20"/>
          <w:szCs w:val="20"/>
        </w:rPr>
      </w:pPr>
    </w:p>
    <w:p w14:paraId="6C8BF6B5" w14:textId="7625C8B2" w:rsidR="00287DAA" w:rsidRDefault="00287DAA" w:rsidP="00287DAA">
      <w:pPr>
        <w:pStyle w:val="Heading2"/>
        <w:rPr>
          <w:b/>
          <w:bCs/>
        </w:rPr>
      </w:pPr>
      <w:r w:rsidRPr="00287DAA">
        <w:rPr>
          <w:b/>
          <w:bCs/>
        </w:rPr>
        <w:t xml:space="preserve">Reforms </w:t>
      </w:r>
      <w:r w:rsidR="00487FD7">
        <w:rPr>
          <w:b/>
          <w:bCs/>
        </w:rPr>
        <w:t xml:space="preserve">that </w:t>
      </w:r>
      <w:r w:rsidRPr="00287DAA">
        <w:rPr>
          <w:b/>
          <w:bCs/>
        </w:rPr>
        <w:t>came into effect 1 January 2021</w:t>
      </w:r>
    </w:p>
    <w:p w14:paraId="78E10BC6" w14:textId="59BEB1C7" w:rsidR="00287DAA" w:rsidRPr="00287DAA" w:rsidRDefault="00287DAA" w:rsidP="00287D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87DAA" w:rsidRPr="00160F94" w14:paraId="648CC5AA" w14:textId="77777777" w:rsidTr="00936E78">
        <w:trPr>
          <w:cantSplit/>
          <w:tblHeader/>
        </w:trPr>
        <w:tc>
          <w:tcPr>
            <w:tcW w:w="5097" w:type="dxa"/>
            <w:shd w:val="clear" w:color="auto" w:fill="2F5496" w:themeFill="accent1" w:themeFillShade="BF"/>
          </w:tcPr>
          <w:p w14:paraId="23619ED7" w14:textId="018D03CB" w:rsidR="00287DAA" w:rsidRPr="00160F94" w:rsidRDefault="00287DAA" w:rsidP="004174BC">
            <w:pPr>
              <w:pStyle w:val="Heading2"/>
              <w:spacing w:before="120" w:after="120"/>
              <w:jc w:val="center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60F94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New feature</w:t>
            </w:r>
          </w:p>
        </w:tc>
        <w:tc>
          <w:tcPr>
            <w:tcW w:w="5097" w:type="dxa"/>
            <w:shd w:val="clear" w:color="auto" w:fill="E1E8F6"/>
          </w:tcPr>
          <w:p w14:paraId="73176BBA" w14:textId="68ED811E" w:rsidR="00287DAA" w:rsidRPr="00160F94" w:rsidRDefault="00287DAA" w:rsidP="004174BC">
            <w:pPr>
              <w:pStyle w:val="Heading2"/>
              <w:spacing w:before="120" w:after="120"/>
              <w:jc w:val="center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60F94">
              <w:rPr>
                <w:rFonts w:ascii="Open Sans" w:hAnsi="Open Sans" w:cs="Open Sans"/>
                <w:b/>
                <w:bCs/>
                <w:sz w:val="20"/>
                <w:szCs w:val="20"/>
              </w:rPr>
              <w:t>Previous feature</w:t>
            </w:r>
          </w:p>
        </w:tc>
      </w:tr>
      <w:tr w:rsidR="00F74A34" w:rsidRPr="00287DAA" w14:paraId="64DCE203" w14:textId="77777777" w:rsidTr="008C1B3C">
        <w:tc>
          <w:tcPr>
            <w:tcW w:w="5097" w:type="dxa"/>
            <w:shd w:val="clear" w:color="auto" w:fill="auto"/>
          </w:tcPr>
          <w:p w14:paraId="2EA12BDB" w14:textId="77777777" w:rsidR="00F74A34" w:rsidRPr="00D64BE9" w:rsidRDefault="00F74A34" w:rsidP="00F74A34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4BE9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IISA determinations</w:t>
            </w:r>
          </w:p>
        </w:tc>
        <w:tc>
          <w:tcPr>
            <w:tcW w:w="5097" w:type="dxa"/>
            <w:shd w:val="clear" w:color="auto" w:fill="auto"/>
          </w:tcPr>
          <w:p w14:paraId="06397226" w14:textId="73A8D285" w:rsidR="00F74A34" w:rsidRPr="00D64BE9" w:rsidRDefault="00F74A34" w:rsidP="00F74A34">
            <w:pPr>
              <w:pStyle w:val="Heading2"/>
              <w:spacing w:before="120" w:after="120"/>
              <w:jc w:val="center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87DAA" w:rsidRPr="00287DAA" w14:paraId="414BDAB3" w14:textId="77777777" w:rsidTr="008C1B3C">
        <w:tc>
          <w:tcPr>
            <w:tcW w:w="5097" w:type="dxa"/>
            <w:tcBorders>
              <w:bottom w:val="single" w:sz="6" w:space="0" w:color="auto"/>
            </w:tcBorders>
            <w:shd w:val="clear" w:color="auto" w:fill="auto"/>
          </w:tcPr>
          <w:p w14:paraId="08D76E80" w14:textId="65C00F6E" w:rsidR="00287DAA" w:rsidRPr="00287DAA" w:rsidRDefault="00287DAA" w:rsidP="00287DAA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287DAA">
              <w:rPr>
                <w:rFonts w:ascii="Open Sans" w:hAnsi="Open Sans" w:cs="Open Sans"/>
                <w:color w:val="21211F"/>
                <w:sz w:val="20"/>
                <w:szCs w:val="20"/>
              </w:rPr>
              <w:t>The Board of Industry Innovation and Science Australia (</w:t>
            </w:r>
            <w:r w:rsidR="008A32B3">
              <w:rPr>
                <w:rFonts w:ascii="Open Sans" w:hAnsi="Open Sans" w:cs="Open Sans"/>
                <w:color w:val="21211F"/>
                <w:sz w:val="20"/>
                <w:szCs w:val="20"/>
              </w:rPr>
              <w:t>the Board</w:t>
            </w:r>
            <w:r w:rsidRPr="00287DAA"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) may also make determinations about the circumstances and ways in which it will exercise its </w:t>
            </w:r>
            <w:proofErr w:type="gramStart"/>
            <w:r w:rsidRPr="00287DAA">
              <w:rPr>
                <w:rFonts w:ascii="Open Sans" w:hAnsi="Open Sans" w:cs="Open Sans"/>
                <w:color w:val="21211F"/>
                <w:sz w:val="20"/>
                <w:szCs w:val="20"/>
              </w:rPr>
              <w:t>powers, or</w:t>
            </w:r>
            <w:proofErr w:type="gramEnd"/>
            <w:r w:rsidRPr="00287DAA"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perform its functions or duties in relation to the R&amp;D Tax Incentive. These determinations are binding on the Board.</w:t>
            </w:r>
          </w:p>
        </w:tc>
        <w:tc>
          <w:tcPr>
            <w:tcW w:w="5097" w:type="dxa"/>
            <w:tcBorders>
              <w:bottom w:val="single" w:sz="6" w:space="0" w:color="auto"/>
            </w:tcBorders>
            <w:shd w:val="clear" w:color="auto" w:fill="E1E8F6"/>
          </w:tcPr>
          <w:p w14:paraId="4BB6DD12" w14:textId="2427C115" w:rsidR="00287DAA" w:rsidRPr="00287DAA" w:rsidRDefault="00287DAA" w:rsidP="00287DAA">
            <w:pPr>
              <w:pStyle w:val="Heading2"/>
              <w:outlineLvl w:val="1"/>
              <w:rPr>
                <w:rFonts w:ascii="Open Sans" w:hAnsi="Open Sans" w:cs="Open Sans"/>
                <w:sz w:val="20"/>
                <w:szCs w:val="20"/>
              </w:rPr>
            </w:pPr>
            <w:r w:rsidRPr="00287DAA">
              <w:rPr>
                <w:rFonts w:ascii="Open Sans" w:hAnsi="Open Sans" w:cs="Open Sans"/>
                <w:color w:val="auto"/>
                <w:sz w:val="20"/>
                <w:szCs w:val="20"/>
              </w:rPr>
              <w:t>No equivalent.</w:t>
            </w:r>
          </w:p>
        </w:tc>
      </w:tr>
      <w:tr w:rsidR="00F74A34" w:rsidRPr="00287DAA" w14:paraId="30796CE4" w14:textId="77777777" w:rsidTr="008C1B3C"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1507EC35" w14:textId="77777777" w:rsidR="00F74A34" w:rsidRPr="00D64BE9" w:rsidRDefault="00F74A34" w:rsidP="00F74A34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4BE9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Extensions of time</w:t>
            </w:r>
          </w:p>
        </w:tc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44CE1145" w14:textId="4DA6DA0C" w:rsidR="00F74A34" w:rsidRPr="00D64BE9" w:rsidRDefault="00F74A34" w:rsidP="00F74A34">
            <w:pPr>
              <w:pStyle w:val="Heading2"/>
              <w:spacing w:before="120" w:after="120"/>
              <w:jc w:val="center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87DAA" w:rsidRPr="00287DAA" w14:paraId="73BFF9AF" w14:textId="77777777" w:rsidTr="008C1B3C">
        <w:tc>
          <w:tcPr>
            <w:tcW w:w="5097" w:type="dxa"/>
            <w:tcBorders>
              <w:bottom w:val="single" w:sz="6" w:space="0" w:color="auto"/>
            </w:tcBorders>
            <w:shd w:val="clear" w:color="auto" w:fill="auto"/>
          </w:tcPr>
          <w:p w14:paraId="0DF2C602" w14:textId="39DEDA86" w:rsidR="00287DAA" w:rsidRPr="00287DAA" w:rsidRDefault="00287DAA" w:rsidP="00287D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287DAA">
              <w:rPr>
                <w:rFonts w:ascii="Open Sans" w:hAnsi="Open Sans" w:cs="Open Sans"/>
                <w:color w:val="21211F"/>
                <w:sz w:val="20"/>
                <w:szCs w:val="20"/>
              </w:rPr>
              <w:t>The Board’s ability to grant an extension of time is</w:t>
            </w:r>
          </w:p>
          <w:p w14:paraId="3D534517" w14:textId="389E56A0" w:rsidR="00287DAA" w:rsidRPr="00287DAA" w:rsidRDefault="00287DAA" w:rsidP="00287DAA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287DAA">
              <w:rPr>
                <w:rFonts w:ascii="Open Sans" w:hAnsi="Open Sans" w:cs="Open Sans"/>
                <w:color w:val="21211F"/>
                <w:sz w:val="20"/>
                <w:szCs w:val="20"/>
              </w:rPr>
              <w:t>subject to a cap of three months on the total extension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proofErr w:type="gramStart"/>
            <w:r w:rsidRPr="00287DAA">
              <w:rPr>
                <w:rFonts w:ascii="Open Sans" w:hAnsi="Open Sans" w:cs="Open Sans"/>
                <w:color w:val="21211F"/>
                <w:sz w:val="20"/>
                <w:szCs w:val="20"/>
              </w:rPr>
              <w:t>available, unless</w:t>
            </w:r>
            <w:proofErr w:type="gramEnd"/>
            <w:r w:rsidRPr="00287DAA"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the extension is granted to allow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287DAA">
              <w:rPr>
                <w:rFonts w:ascii="Open Sans" w:hAnsi="Open Sans" w:cs="Open Sans"/>
                <w:color w:val="21211F"/>
                <w:sz w:val="20"/>
                <w:szCs w:val="20"/>
              </w:rPr>
              <w:t>an applicant to wait for the outcome of a separate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287DAA">
              <w:rPr>
                <w:rFonts w:ascii="Open Sans" w:hAnsi="Open Sans" w:cs="Open Sans"/>
                <w:color w:val="21211F"/>
                <w:sz w:val="20"/>
                <w:szCs w:val="20"/>
              </w:rPr>
              <w:t>pending decision.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From 1 April 2022, the cap is 92 days.</w:t>
            </w:r>
          </w:p>
        </w:tc>
        <w:tc>
          <w:tcPr>
            <w:tcW w:w="5097" w:type="dxa"/>
            <w:tcBorders>
              <w:bottom w:val="single" w:sz="6" w:space="0" w:color="auto"/>
            </w:tcBorders>
            <w:shd w:val="clear" w:color="auto" w:fill="E1E8F6"/>
          </w:tcPr>
          <w:p w14:paraId="41FA53FB" w14:textId="141CDD7C" w:rsidR="00287DAA" w:rsidRPr="00287DAA" w:rsidRDefault="00287DAA" w:rsidP="00287DAA">
            <w:pPr>
              <w:pStyle w:val="Heading2"/>
              <w:outlineLvl w:val="1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287DAA">
              <w:rPr>
                <w:rFonts w:ascii="Open Sans" w:hAnsi="Open Sans" w:cs="Open Sans"/>
                <w:color w:val="auto"/>
                <w:sz w:val="20"/>
                <w:szCs w:val="20"/>
              </w:rPr>
              <w:t>The Board must grant extensions of time for</w:t>
            </w:r>
          </w:p>
          <w:p w14:paraId="3E8E4A2A" w14:textId="7DF840A3" w:rsidR="00287DAA" w:rsidRPr="00287DAA" w:rsidRDefault="00287DAA" w:rsidP="00287DAA">
            <w:pPr>
              <w:pStyle w:val="Heading2"/>
              <w:outlineLvl w:val="1"/>
              <w:rPr>
                <w:rFonts w:ascii="Open Sans" w:hAnsi="Open Sans" w:cs="Open Sans"/>
                <w:sz w:val="20"/>
                <w:szCs w:val="20"/>
              </w:rPr>
            </w:pPr>
            <w:r w:rsidRPr="00287DAA">
              <w:rPr>
                <w:rFonts w:ascii="Open Sans" w:hAnsi="Open Sans" w:cs="Open Sans"/>
                <w:color w:val="auto"/>
                <w:sz w:val="20"/>
                <w:szCs w:val="20"/>
              </w:rPr>
              <w:t>registrations and the provision of information of up to</w:t>
            </w: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</w:t>
            </w:r>
            <w:r w:rsidRPr="00287DAA">
              <w:rPr>
                <w:rFonts w:ascii="Open Sans" w:hAnsi="Open Sans" w:cs="Open Sans"/>
                <w:color w:val="auto"/>
                <w:sz w:val="20"/>
                <w:szCs w:val="20"/>
              </w:rPr>
              <w:t>14 days if it is necessary and may grant a longer period</w:t>
            </w: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</w:t>
            </w:r>
            <w:r w:rsidRPr="00287DAA">
              <w:rPr>
                <w:rFonts w:ascii="Open Sans" w:hAnsi="Open Sans" w:cs="Open Sans"/>
                <w:color w:val="auto"/>
                <w:sz w:val="20"/>
                <w:szCs w:val="20"/>
              </w:rPr>
              <w:t>if an applicant’s ability to meet the deadline is impaired</w:t>
            </w: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</w:t>
            </w:r>
            <w:r w:rsidRPr="00287DAA">
              <w:rPr>
                <w:rFonts w:ascii="Open Sans" w:hAnsi="Open Sans" w:cs="Open Sans"/>
                <w:color w:val="auto"/>
                <w:sz w:val="20"/>
                <w:szCs w:val="20"/>
              </w:rPr>
              <w:t>by events outside the applicant’s control.</w:t>
            </w:r>
          </w:p>
        </w:tc>
      </w:tr>
    </w:tbl>
    <w:p w14:paraId="57AD2287" w14:textId="51AA670F" w:rsidR="008A1E81" w:rsidRDefault="008A1E81" w:rsidP="008A1E81">
      <w:r>
        <w:br w:type="page"/>
      </w:r>
    </w:p>
    <w:p w14:paraId="3BCA64DA" w14:textId="56E10559" w:rsidR="00160F94" w:rsidRPr="00160F94" w:rsidRDefault="00160F94" w:rsidP="00160F94">
      <w:pPr>
        <w:pStyle w:val="Heading2"/>
        <w:rPr>
          <w:b/>
          <w:bCs/>
        </w:rPr>
      </w:pPr>
      <w:r w:rsidRPr="00160F94">
        <w:rPr>
          <w:b/>
          <w:bCs/>
        </w:rPr>
        <w:lastRenderedPageBreak/>
        <w:t>Reforms came into effect from the first income year commencing on or after 1</w:t>
      </w:r>
    </w:p>
    <w:p w14:paraId="1A4D1EE6" w14:textId="360E88F8" w:rsidR="004174BC" w:rsidRDefault="00160F94" w:rsidP="00160F94">
      <w:pPr>
        <w:pStyle w:val="Heading2"/>
        <w:rPr>
          <w:b/>
          <w:bCs/>
        </w:rPr>
      </w:pPr>
      <w:r w:rsidRPr="00160F94">
        <w:rPr>
          <w:b/>
          <w:bCs/>
        </w:rPr>
        <w:t>July 2021</w:t>
      </w:r>
      <w:r w:rsidR="008A32B3">
        <w:rPr>
          <w:b/>
          <w:bCs/>
        </w:rPr>
        <w:t xml:space="preserve"> (</w:t>
      </w:r>
      <w:r w:rsidRPr="00160F94">
        <w:rPr>
          <w:b/>
          <w:bCs/>
        </w:rPr>
        <w:t xml:space="preserve">administered by the Australian Tax </w:t>
      </w:r>
      <w:proofErr w:type="gramStart"/>
      <w:r w:rsidRPr="00160F94">
        <w:rPr>
          <w:b/>
          <w:bCs/>
        </w:rPr>
        <w:t>Office</w:t>
      </w:r>
      <w:r w:rsidR="008A32B3">
        <w:rPr>
          <w:b/>
          <w:bCs/>
        </w:rPr>
        <w:t>)</w:t>
      </w:r>
      <w:r w:rsidRPr="00160F94">
        <w:rPr>
          <w:b/>
          <w:bCs/>
        </w:rPr>
        <w:t>*</w:t>
      </w:r>
      <w:proofErr w:type="gramEnd"/>
    </w:p>
    <w:p w14:paraId="1144A46E" w14:textId="6DA73645" w:rsidR="003F61EF" w:rsidRPr="003A7EEF" w:rsidRDefault="003F61EF" w:rsidP="00287DAA">
      <w:pPr>
        <w:pStyle w:val="Heading2"/>
        <w:rPr>
          <w:rFonts w:ascii="Open Sans" w:hAnsi="Open Sans" w:cs="Open Sans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60F94" w:rsidRPr="00160F94" w14:paraId="6B498386" w14:textId="77777777" w:rsidTr="00F07AAC">
        <w:trPr>
          <w:cantSplit/>
          <w:tblHeader/>
        </w:trPr>
        <w:tc>
          <w:tcPr>
            <w:tcW w:w="5097" w:type="dxa"/>
            <w:shd w:val="clear" w:color="auto" w:fill="2F5496" w:themeFill="accent1" w:themeFillShade="BF"/>
          </w:tcPr>
          <w:p w14:paraId="3BBD8B2E" w14:textId="6E550A8C" w:rsidR="00160F94" w:rsidRPr="00160F94" w:rsidRDefault="00160F94" w:rsidP="00D4161C">
            <w:pPr>
              <w:pStyle w:val="Heading2"/>
              <w:spacing w:before="120" w:after="120"/>
              <w:jc w:val="center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60F94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New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law</w:t>
            </w:r>
          </w:p>
        </w:tc>
        <w:tc>
          <w:tcPr>
            <w:tcW w:w="5097" w:type="dxa"/>
            <w:shd w:val="clear" w:color="auto" w:fill="E1E8F6"/>
          </w:tcPr>
          <w:p w14:paraId="71913920" w14:textId="0B37700C" w:rsidR="00160F94" w:rsidRPr="00160F94" w:rsidRDefault="00160F94" w:rsidP="00D4161C">
            <w:pPr>
              <w:pStyle w:val="Heading2"/>
              <w:spacing w:before="120" w:after="120"/>
              <w:jc w:val="center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60F94">
              <w:rPr>
                <w:rFonts w:ascii="Open Sans" w:hAnsi="Open Sans" w:cs="Open Sans"/>
                <w:b/>
                <w:bCs/>
                <w:sz w:val="20"/>
                <w:szCs w:val="20"/>
              </w:rPr>
              <w:t>Previous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law</w:t>
            </w:r>
          </w:p>
        </w:tc>
      </w:tr>
      <w:tr w:rsidR="00F74A34" w:rsidRPr="00287DAA" w14:paraId="1ABCFB57" w14:textId="77777777" w:rsidTr="00F13013">
        <w:tc>
          <w:tcPr>
            <w:tcW w:w="5097" w:type="dxa"/>
            <w:shd w:val="clear" w:color="auto" w:fill="auto"/>
          </w:tcPr>
          <w:p w14:paraId="1364AA7E" w14:textId="77777777" w:rsidR="00F74A34" w:rsidRPr="00D64BE9" w:rsidRDefault="00F74A34" w:rsidP="00F74A34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4BE9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Expenditure threshold</w:t>
            </w:r>
          </w:p>
        </w:tc>
        <w:tc>
          <w:tcPr>
            <w:tcW w:w="5097" w:type="dxa"/>
            <w:shd w:val="clear" w:color="auto" w:fill="auto"/>
          </w:tcPr>
          <w:p w14:paraId="7E47921A" w14:textId="0E3E9EF4" w:rsidR="00F74A34" w:rsidRPr="00D64BE9" w:rsidRDefault="00F74A34" w:rsidP="00F74A34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60F94" w:rsidRPr="00287DAA" w14:paraId="35B0E35E" w14:textId="77777777" w:rsidTr="008C1B3C">
        <w:tc>
          <w:tcPr>
            <w:tcW w:w="5097" w:type="dxa"/>
            <w:shd w:val="clear" w:color="auto" w:fill="auto"/>
          </w:tcPr>
          <w:p w14:paraId="5199F848" w14:textId="77777777" w:rsidR="00160F94" w:rsidRPr="00160F94" w:rsidRDefault="00160F94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160F94">
              <w:rPr>
                <w:rFonts w:ascii="Open Sans" w:hAnsi="Open Sans" w:cs="Open Sans"/>
                <w:color w:val="21211F"/>
                <w:sz w:val="20"/>
                <w:szCs w:val="20"/>
              </w:rPr>
              <w:t>The R&amp;D expenditure threshold increased</w:t>
            </w:r>
          </w:p>
          <w:p w14:paraId="5F02F0E0" w14:textId="1AD6CDFB" w:rsidR="00160F94" w:rsidRPr="00287DAA" w:rsidRDefault="00160F94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160F94">
              <w:rPr>
                <w:rFonts w:ascii="Open Sans" w:hAnsi="Open Sans" w:cs="Open Sans"/>
                <w:color w:val="21211F"/>
                <w:sz w:val="20"/>
                <w:szCs w:val="20"/>
              </w:rPr>
              <w:t>to $150 million.</w:t>
            </w:r>
          </w:p>
        </w:tc>
        <w:tc>
          <w:tcPr>
            <w:tcW w:w="5097" w:type="dxa"/>
            <w:shd w:val="clear" w:color="auto" w:fill="E1E8F6"/>
          </w:tcPr>
          <w:p w14:paraId="25C779E6" w14:textId="77777777" w:rsidR="00160F94" w:rsidRPr="00160F94" w:rsidRDefault="00160F94" w:rsidP="003A7EEF">
            <w:pPr>
              <w:pStyle w:val="Heading2"/>
              <w:spacing w:after="40"/>
              <w:outlineLvl w:val="1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160F94">
              <w:rPr>
                <w:rFonts w:ascii="Open Sans" w:hAnsi="Open Sans" w:cs="Open Sans"/>
                <w:color w:val="auto"/>
                <w:sz w:val="20"/>
                <w:szCs w:val="20"/>
              </w:rPr>
              <w:t>The R&amp;D expenditure threshold applies to eliminate</w:t>
            </w:r>
          </w:p>
          <w:p w14:paraId="709C27BF" w14:textId="77777777" w:rsidR="00160F94" w:rsidRPr="00160F94" w:rsidRDefault="00160F94" w:rsidP="003A7EEF">
            <w:pPr>
              <w:pStyle w:val="Heading2"/>
              <w:spacing w:after="40"/>
              <w:outlineLvl w:val="1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160F94">
              <w:rPr>
                <w:rFonts w:ascii="Open Sans" w:hAnsi="Open Sans" w:cs="Open Sans"/>
                <w:color w:val="auto"/>
                <w:sz w:val="20"/>
                <w:szCs w:val="20"/>
              </w:rPr>
              <w:t>the incentive component of the R&amp;D tax offset</w:t>
            </w:r>
          </w:p>
          <w:p w14:paraId="31ADB742" w14:textId="77777777" w:rsidR="00160F94" w:rsidRPr="00160F94" w:rsidRDefault="00160F94" w:rsidP="003A7EEF">
            <w:pPr>
              <w:pStyle w:val="Heading2"/>
              <w:spacing w:after="40"/>
              <w:outlineLvl w:val="1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160F94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in relation to notional deductions </w:t>
            </w:r>
            <w:proofErr w:type="gramStart"/>
            <w:r w:rsidRPr="00160F94">
              <w:rPr>
                <w:rFonts w:ascii="Open Sans" w:hAnsi="Open Sans" w:cs="Open Sans"/>
                <w:color w:val="auto"/>
                <w:sz w:val="20"/>
                <w:szCs w:val="20"/>
              </w:rPr>
              <w:t>in excess of</w:t>
            </w:r>
            <w:proofErr w:type="gramEnd"/>
          </w:p>
          <w:p w14:paraId="0EDFAB07" w14:textId="705C35F7" w:rsidR="00160F94" w:rsidRPr="00287DAA" w:rsidRDefault="00160F94" w:rsidP="003A7EEF">
            <w:pPr>
              <w:pStyle w:val="Heading2"/>
              <w:spacing w:after="40"/>
              <w:outlineLvl w:val="1"/>
              <w:rPr>
                <w:rFonts w:ascii="Open Sans" w:hAnsi="Open Sans" w:cs="Open Sans"/>
                <w:sz w:val="20"/>
                <w:szCs w:val="20"/>
              </w:rPr>
            </w:pPr>
            <w:r w:rsidRPr="00160F94">
              <w:rPr>
                <w:rFonts w:ascii="Open Sans" w:hAnsi="Open Sans" w:cs="Open Sans"/>
                <w:color w:val="auto"/>
                <w:sz w:val="20"/>
                <w:szCs w:val="20"/>
              </w:rPr>
              <w:t>$100 million.</w:t>
            </w:r>
          </w:p>
        </w:tc>
      </w:tr>
      <w:tr w:rsidR="00D64BE9" w:rsidRPr="00D64BE9" w14:paraId="63819B46" w14:textId="77777777" w:rsidTr="008C1B3C">
        <w:tc>
          <w:tcPr>
            <w:tcW w:w="5097" w:type="dxa"/>
            <w:tcBorders>
              <w:bottom w:val="single" w:sz="6" w:space="0" w:color="auto"/>
            </w:tcBorders>
            <w:shd w:val="clear" w:color="auto" w:fill="auto"/>
          </w:tcPr>
          <w:p w14:paraId="0AED5431" w14:textId="66A95F0B" w:rsidR="00D64BE9" w:rsidRPr="00D64BE9" w:rsidRDefault="00D64BE9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The R&amp;D expenditure threshold is a permanent feature</w:t>
            </w:r>
            <w:r w:rsidR="008A32B3">
              <w:rPr>
                <w:rFonts w:ascii="Open Sans" w:hAnsi="Open Sans" w:cs="Open Sans"/>
                <w:color w:val="21211F"/>
                <w:sz w:val="20"/>
                <w:szCs w:val="20"/>
              </w:rPr>
              <w:t>.</w:t>
            </w:r>
          </w:p>
        </w:tc>
        <w:tc>
          <w:tcPr>
            <w:tcW w:w="5097" w:type="dxa"/>
            <w:tcBorders>
              <w:bottom w:val="single" w:sz="6" w:space="0" w:color="auto"/>
            </w:tcBorders>
            <w:shd w:val="clear" w:color="auto" w:fill="E1E8F6"/>
          </w:tcPr>
          <w:p w14:paraId="51185304" w14:textId="77777777" w:rsidR="00D64BE9" w:rsidRPr="00D64BE9" w:rsidRDefault="00D64BE9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The R&amp;D expenditure threshold is legislated to no</w:t>
            </w:r>
          </w:p>
          <w:p w14:paraId="4DC396EB" w14:textId="2D3597D2" w:rsidR="00D64BE9" w:rsidRPr="00D64BE9" w:rsidRDefault="00D64BE9" w:rsidP="003A7EEF">
            <w:pPr>
              <w:pStyle w:val="Heading2"/>
              <w:spacing w:after="40"/>
              <w:outlineLvl w:val="1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longer apply from 1July 2024.</w:t>
            </w:r>
          </w:p>
        </w:tc>
      </w:tr>
      <w:tr w:rsidR="00F74A34" w:rsidRPr="00287DAA" w14:paraId="0C095676" w14:textId="77777777" w:rsidTr="008C1B3C"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26C1E2C9" w14:textId="77777777" w:rsidR="00F74A34" w:rsidRPr="00D64BE9" w:rsidRDefault="00F74A34" w:rsidP="00F74A34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4BE9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R&amp;D Tax Offset for small R&amp;D entities</w:t>
            </w:r>
          </w:p>
        </w:tc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5E0F4CFC" w14:textId="789FD52C" w:rsidR="00F74A34" w:rsidRPr="00D64BE9" w:rsidRDefault="00F74A34" w:rsidP="00F74A34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60F94" w:rsidRPr="00287DAA" w14:paraId="2752315C" w14:textId="77777777" w:rsidTr="008C1B3C">
        <w:tc>
          <w:tcPr>
            <w:tcW w:w="5097" w:type="dxa"/>
            <w:tcBorders>
              <w:bottom w:val="single" w:sz="6" w:space="0" w:color="auto"/>
            </w:tcBorders>
            <w:shd w:val="clear" w:color="auto" w:fill="auto"/>
          </w:tcPr>
          <w:p w14:paraId="77E533C9" w14:textId="48DB176D" w:rsidR="00D64BE9" w:rsidRPr="00D64BE9" w:rsidRDefault="00D64BE9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R&amp;D entities with aggregated turnover of less than</w:t>
            </w:r>
          </w:p>
          <w:p w14:paraId="7B06302E" w14:textId="03E76DA3" w:rsidR="00160F94" w:rsidRPr="00D64BE9" w:rsidRDefault="00D64BE9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$20 million are generally entitled to an R&amp;D tax offset rate equal to their corporate tax rate plus an 18.5 per cent premium.</w:t>
            </w:r>
          </w:p>
        </w:tc>
        <w:tc>
          <w:tcPr>
            <w:tcW w:w="5097" w:type="dxa"/>
            <w:tcBorders>
              <w:bottom w:val="single" w:sz="6" w:space="0" w:color="auto"/>
            </w:tcBorders>
            <w:shd w:val="clear" w:color="auto" w:fill="E1E8F6"/>
          </w:tcPr>
          <w:p w14:paraId="302F94DC" w14:textId="0ECFA05C" w:rsidR="00D64BE9" w:rsidRPr="00D64BE9" w:rsidRDefault="00D64BE9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R&amp;D entities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with aggregated turnover of less than</w:t>
            </w:r>
          </w:p>
          <w:p w14:paraId="5B9968B1" w14:textId="5DB97EA2" w:rsidR="00160F94" w:rsidRPr="00D64BE9" w:rsidRDefault="00D64BE9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$20 million are generally entitled to an R&amp;D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tax offset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rate of 43.5 per cent.</w:t>
            </w:r>
          </w:p>
        </w:tc>
      </w:tr>
      <w:tr w:rsidR="00F74A34" w:rsidRPr="00287DAA" w14:paraId="4E9BC42E" w14:textId="77777777" w:rsidTr="008C1B3C"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60633085" w14:textId="77777777" w:rsidR="00F74A34" w:rsidRPr="003A7EEF" w:rsidRDefault="00F74A34" w:rsidP="00F74A34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 xml:space="preserve">R&amp;D Tax Offset for </w:t>
            </w:r>
            <w:r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large</w:t>
            </w:r>
            <w:r w:rsidRPr="003A7EEF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 xml:space="preserve"> R&amp;D entities</w:t>
            </w:r>
          </w:p>
        </w:tc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0DC16065" w14:textId="059C833B" w:rsidR="00F74A34" w:rsidRPr="003A7EEF" w:rsidRDefault="00F74A34" w:rsidP="00F74A34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D64BE9" w:rsidRPr="00287DAA" w14:paraId="1C380E52" w14:textId="77777777" w:rsidTr="008C1B3C">
        <w:tc>
          <w:tcPr>
            <w:tcW w:w="5097" w:type="dxa"/>
            <w:tcBorders>
              <w:bottom w:val="single" w:sz="6" w:space="0" w:color="auto"/>
            </w:tcBorders>
            <w:shd w:val="clear" w:color="auto" w:fill="auto"/>
          </w:tcPr>
          <w:p w14:paraId="2D5C62C8" w14:textId="0BDF60B0" w:rsidR="00D64BE9" w:rsidRPr="00D64BE9" w:rsidRDefault="00D64BE9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8A32B3">
              <w:rPr>
                <w:rFonts w:ascii="Open Sans" w:hAnsi="Open Sans" w:cs="Open Sans"/>
                <w:color w:val="21211F"/>
                <w:spacing w:val="-4"/>
                <w:sz w:val="20"/>
                <w:szCs w:val="20"/>
              </w:rPr>
              <w:t>R&amp;D entities with aggregated turnover of $20 million</w:t>
            </w: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or more are entitled to an R&amp;D tax offset</w:t>
            </w:r>
          </w:p>
          <w:p w14:paraId="5218AD30" w14:textId="22322972" w:rsidR="00D64BE9" w:rsidRPr="00287DAA" w:rsidRDefault="00D64BE9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equal to their corporate tax rate plus a premium based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on the level of their incremental R&amp;D</w:t>
            </w:r>
            <w:r w:rsidR="003A7EEF"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intensity </w:t>
            </w:r>
            <w:r w:rsidR="008A32B3"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(eligible R&amp;D expenditure divided by total business expenses) </w:t>
            </w: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for their</w:t>
            </w:r>
            <w:r w:rsidR="003A7EEF"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R&amp;D expenditure</w:t>
            </w:r>
            <w:r w:rsidR="003A7EEF"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under $150 million</w:t>
            </w:r>
            <w:r w:rsidRPr="00D64BE9">
              <w:rPr>
                <w:rFonts w:ascii="Open Sans" w:hAnsi="Open Sans" w:cs="Open Sans"/>
                <w:color w:val="21211F"/>
                <w:sz w:val="20"/>
                <w:szCs w:val="20"/>
              </w:rPr>
              <w:t>.</w:t>
            </w:r>
          </w:p>
        </w:tc>
        <w:tc>
          <w:tcPr>
            <w:tcW w:w="5097" w:type="dxa"/>
            <w:tcBorders>
              <w:bottom w:val="single" w:sz="6" w:space="0" w:color="auto"/>
            </w:tcBorders>
            <w:shd w:val="clear" w:color="auto" w:fill="E1E8F6"/>
          </w:tcPr>
          <w:p w14:paraId="2DB79340" w14:textId="6BD2D2D8" w:rsidR="003A7EEF" w:rsidRPr="003A7EEF" w:rsidRDefault="003A7EEF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R&amp;D entities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with aggregated turnover of</w:t>
            </w:r>
          </w:p>
          <w:p w14:paraId="7698CCEC" w14:textId="77777777" w:rsidR="003A7EEF" w:rsidRPr="003A7EEF" w:rsidRDefault="003A7EEF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$20 million or more are entitled to a non-refundable</w:t>
            </w:r>
          </w:p>
          <w:p w14:paraId="2E1CA6CF" w14:textId="5EFA6F4C" w:rsidR="00D64BE9" w:rsidRPr="003A7EEF" w:rsidRDefault="003A7EEF" w:rsidP="003A7EEF">
            <w:pPr>
              <w:pStyle w:val="Heading2"/>
              <w:spacing w:after="40"/>
              <w:outlineLvl w:val="1"/>
              <w:rPr>
                <w:rFonts w:ascii="Open Sans" w:eastAsiaTheme="minorHAnsi" w:hAnsi="Open Sans" w:cs="Open Sans"/>
                <w:color w:val="21211F"/>
                <w:sz w:val="20"/>
                <w:szCs w:val="20"/>
              </w:rPr>
            </w:pPr>
            <w:r w:rsidRPr="003A7EEF">
              <w:rPr>
                <w:rFonts w:ascii="Open Sans" w:eastAsiaTheme="minorHAnsi" w:hAnsi="Open Sans" w:cs="Open Sans"/>
                <w:color w:val="21211F"/>
                <w:sz w:val="20"/>
                <w:szCs w:val="20"/>
              </w:rPr>
              <w:t>R&amp;D tax offset at a rate of 38.5 per cent.</w:t>
            </w:r>
          </w:p>
        </w:tc>
      </w:tr>
      <w:tr w:rsidR="00F74A34" w:rsidRPr="00287DAA" w14:paraId="26E0B48E" w14:textId="77777777" w:rsidTr="008C1B3C"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21CF4E70" w14:textId="77777777" w:rsidR="00F74A34" w:rsidRPr="003A7EEF" w:rsidRDefault="00F74A34" w:rsidP="00F74A34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Schemes to obtain an R&amp;D tax benefit</w:t>
            </w:r>
          </w:p>
        </w:tc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2D8A1F54" w14:textId="7D222416" w:rsidR="00F74A34" w:rsidRPr="003A7EEF" w:rsidRDefault="00F74A34" w:rsidP="00F74A34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</w:p>
        </w:tc>
      </w:tr>
      <w:tr w:rsidR="00D64BE9" w:rsidRPr="00287DAA" w14:paraId="685702D4" w14:textId="77777777" w:rsidTr="008C1B3C">
        <w:tc>
          <w:tcPr>
            <w:tcW w:w="5097" w:type="dxa"/>
            <w:tcBorders>
              <w:bottom w:val="single" w:sz="6" w:space="0" w:color="auto"/>
            </w:tcBorders>
            <w:shd w:val="clear" w:color="auto" w:fill="auto"/>
          </w:tcPr>
          <w:p w14:paraId="3922D10A" w14:textId="77777777" w:rsidR="003A7EEF" w:rsidRPr="003A7EEF" w:rsidRDefault="003A7EEF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The Commissioner may also deny a tax benefit</w:t>
            </w:r>
          </w:p>
          <w:p w14:paraId="07BA40DB" w14:textId="77777777" w:rsidR="003A7EEF" w:rsidRPr="003A7EEF" w:rsidRDefault="003A7EEF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in the form of an amount of a refundable or</w:t>
            </w:r>
          </w:p>
          <w:p w14:paraId="0F56CB55" w14:textId="77777777" w:rsidR="003A7EEF" w:rsidRPr="003A7EEF" w:rsidRDefault="003A7EEF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non-refundable R&amp;D tax offset that an R&amp;D entity</w:t>
            </w:r>
          </w:p>
          <w:p w14:paraId="3CF72C93" w14:textId="0FC33115" w:rsidR="00D64BE9" w:rsidRPr="00287DAA" w:rsidRDefault="003A7EEF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seeks to obtain from a tax avoidance scheme.</w:t>
            </w:r>
          </w:p>
        </w:tc>
        <w:tc>
          <w:tcPr>
            <w:tcW w:w="5097" w:type="dxa"/>
            <w:tcBorders>
              <w:bottom w:val="single" w:sz="6" w:space="0" w:color="auto"/>
            </w:tcBorders>
            <w:shd w:val="clear" w:color="auto" w:fill="E1E8F6"/>
          </w:tcPr>
          <w:p w14:paraId="50DDCEE5" w14:textId="1DBD712C" w:rsidR="00D64BE9" w:rsidRPr="00287DAA" w:rsidRDefault="003A7EEF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The Commissioner may deny a tax benefit in the form of a deduction or notional deduction that an R&amp;D Entity seeks to obtain from a tax avoidance scheme.</w:t>
            </w:r>
          </w:p>
        </w:tc>
      </w:tr>
      <w:tr w:rsidR="00F74A34" w:rsidRPr="00287DAA" w14:paraId="41793188" w14:textId="77777777" w:rsidTr="008C1B3C"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3F989DCC" w14:textId="77777777" w:rsidR="00F74A34" w:rsidRPr="003A7EEF" w:rsidRDefault="00F74A34" w:rsidP="00F74A34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Uniform clawback rule</w:t>
            </w:r>
          </w:p>
        </w:tc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6D145E79" w14:textId="5944CDD1" w:rsidR="00F74A34" w:rsidRPr="003A7EEF" w:rsidRDefault="00F74A34" w:rsidP="00F74A34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8C1B3C" w:rsidRPr="00287DAA" w14:paraId="1E7DC897" w14:textId="77777777" w:rsidTr="008C1B3C">
        <w:trPr>
          <w:trHeight w:val="1481"/>
        </w:trPr>
        <w:tc>
          <w:tcPr>
            <w:tcW w:w="5097" w:type="dxa"/>
            <w:tcBorders>
              <w:bottom w:val="single" w:sz="6" w:space="0" w:color="auto"/>
            </w:tcBorders>
            <w:shd w:val="clear" w:color="auto" w:fill="auto"/>
          </w:tcPr>
          <w:p w14:paraId="617064D1" w14:textId="77777777" w:rsidR="008C1B3C" w:rsidRPr="003A7EEF" w:rsidRDefault="008C1B3C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Recoupment amounts and feedstock adjustments</w:t>
            </w:r>
          </w:p>
          <w:p w14:paraId="54DD6EF4" w14:textId="06185C2A" w:rsidR="008C1B3C" w:rsidRPr="00287DAA" w:rsidRDefault="008C1B3C" w:rsidP="008C1B3C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give rise to an amount of assessable income equal to the grossed-up value of the incentive component of associated amounts of R&amp;D tax offset.</w:t>
            </w:r>
          </w:p>
        </w:tc>
        <w:tc>
          <w:tcPr>
            <w:tcW w:w="5097" w:type="dxa"/>
            <w:tcBorders>
              <w:bottom w:val="single" w:sz="6" w:space="0" w:color="auto"/>
            </w:tcBorders>
            <w:shd w:val="clear" w:color="auto" w:fill="E1E8F6"/>
          </w:tcPr>
          <w:p w14:paraId="40519C92" w14:textId="77777777" w:rsidR="008C1B3C" w:rsidRPr="003A7EEF" w:rsidRDefault="008C1B3C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Recoupment amounts are subject to a standalone tax of 10 per cent.</w:t>
            </w:r>
          </w:p>
          <w:p w14:paraId="038EF5F1" w14:textId="6F9467A9" w:rsidR="008C1B3C" w:rsidRPr="003A7EEF" w:rsidRDefault="008C1B3C" w:rsidP="008C1B3C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One third of feedstock adjustments are included in an R&amp;D entity’s assessable income.</w:t>
            </w:r>
          </w:p>
        </w:tc>
      </w:tr>
      <w:tr w:rsidR="008C1B3C" w:rsidRPr="003A7EEF" w14:paraId="6C2A805E" w14:textId="77777777" w:rsidTr="008C1B3C"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65A7B" w14:textId="3DE322AA" w:rsidR="008C1B3C" w:rsidRPr="00287DAA" w:rsidRDefault="008C1B3C" w:rsidP="003A7EEF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An amount is included in the assessable income of the R&amp;D entity that received or is entitled to the R&amp;D tax offset in relation to a recoupment amount or feedstock revenue received by a related entity.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8F6"/>
          </w:tcPr>
          <w:p w14:paraId="5C427083" w14:textId="77777777" w:rsidR="008C1B3C" w:rsidRPr="003A7EEF" w:rsidRDefault="008C1B3C" w:rsidP="008C1B3C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In cases involving related entities, the entity receiving a recoupment is subject to recoupment tax.</w:t>
            </w:r>
          </w:p>
          <w:p w14:paraId="7BE34427" w14:textId="77777777" w:rsidR="008C1B3C" w:rsidRPr="003A7EEF" w:rsidRDefault="008C1B3C" w:rsidP="008C1B3C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In cases involving related entities, the R&amp;D entity</w:t>
            </w:r>
          </w:p>
          <w:p w14:paraId="6F09F5E0" w14:textId="58BA81F4" w:rsidR="008C1B3C" w:rsidRPr="003A7EEF" w:rsidRDefault="008C1B3C" w:rsidP="008C1B3C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entitled to the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R&amp;D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tax offset is subject to a 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>f</w:t>
            </w: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eedstock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adjustment if the related entity receives feedstock</w:t>
            </w:r>
            <w:r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 </w:t>
            </w:r>
            <w:r w:rsidRPr="003A7EEF">
              <w:rPr>
                <w:rFonts w:ascii="Open Sans" w:hAnsi="Open Sans" w:cs="Open Sans"/>
                <w:color w:val="21211F"/>
                <w:sz w:val="20"/>
                <w:szCs w:val="20"/>
              </w:rPr>
              <w:t>revenue.</w:t>
            </w:r>
          </w:p>
        </w:tc>
      </w:tr>
    </w:tbl>
    <w:p w14:paraId="4142B57F" w14:textId="66082571" w:rsidR="003A7EEF" w:rsidRPr="00160F94" w:rsidRDefault="003A7EEF" w:rsidP="003A7E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005490"/>
          <w:sz w:val="16"/>
          <w:szCs w:val="16"/>
        </w:rPr>
      </w:pPr>
    </w:p>
    <w:p w14:paraId="37399E7B" w14:textId="77777777" w:rsidR="003A7EEF" w:rsidRDefault="003A7EEF" w:rsidP="003A7EEF">
      <w:pPr>
        <w:autoSpaceDE w:val="0"/>
        <w:autoSpaceDN w:val="0"/>
        <w:adjustRightInd w:val="0"/>
        <w:spacing w:after="0" w:line="240" w:lineRule="auto"/>
        <w:rPr>
          <w:rFonts w:ascii="Gotham Medium" w:hAnsi="Gotham Medium" w:cs="Gotham Medium"/>
          <w:color w:val="21211F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A7EEF" w:rsidRPr="00160F94" w14:paraId="6FE40964" w14:textId="77777777" w:rsidTr="00F07AAC">
        <w:trPr>
          <w:cantSplit/>
          <w:tblHeader/>
        </w:trPr>
        <w:tc>
          <w:tcPr>
            <w:tcW w:w="5097" w:type="dxa"/>
            <w:shd w:val="clear" w:color="auto" w:fill="2F5496" w:themeFill="accent1" w:themeFillShade="BF"/>
          </w:tcPr>
          <w:p w14:paraId="258278A9" w14:textId="77777777" w:rsidR="003A7EEF" w:rsidRPr="00160F94" w:rsidRDefault="003A7EEF" w:rsidP="00D4161C">
            <w:pPr>
              <w:pStyle w:val="Heading2"/>
              <w:spacing w:before="120" w:after="120"/>
              <w:jc w:val="center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60F94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New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law</w:t>
            </w:r>
          </w:p>
        </w:tc>
        <w:tc>
          <w:tcPr>
            <w:tcW w:w="5097" w:type="dxa"/>
            <w:shd w:val="clear" w:color="auto" w:fill="E1E8F6"/>
          </w:tcPr>
          <w:p w14:paraId="195BC011" w14:textId="77777777" w:rsidR="003A7EEF" w:rsidRPr="00160F94" w:rsidRDefault="003A7EEF" w:rsidP="00D4161C">
            <w:pPr>
              <w:pStyle w:val="Heading2"/>
              <w:spacing w:before="120" w:after="120"/>
              <w:jc w:val="center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60F94">
              <w:rPr>
                <w:rFonts w:ascii="Open Sans" w:hAnsi="Open Sans" w:cs="Open Sans"/>
                <w:b/>
                <w:bCs/>
                <w:sz w:val="20"/>
                <w:szCs w:val="20"/>
              </w:rPr>
              <w:t>Previous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law</w:t>
            </w:r>
          </w:p>
        </w:tc>
      </w:tr>
      <w:tr w:rsidR="008C1B3C" w:rsidRPr="00287DAA" w14:paraId="03F157C9" w14:textId="77777777" w:rsidTr="004D6126">
        <w:tc>
          <w:tcPr>
            <w:tcW w:w="5097" w:type="dxa"/>
            <w:shd w:val="clear" w:color="auto" w:fill="auto"/>
          </w:tcPr>
          <w:p w14:paraId="5633B7A2" w14:textId="77777777" w:rsidR="008C1B3C" w:rsidRPr="00D64BE9" w:rsidRDefault="008C1B3C" w:rsidP="008C1B3C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Balancing adjustments for R&amp;D assets</w:t>
            </w:r>
          </w:p>
        </w:tc>
        <w:tc>
          <w:tcPr>
            <w:tcW w:w="5097" w:type="dxa"/>
            <w:shd w:val="clear" w:color="auto" w:fill="auto"/>
          </w:tcPr>
          <w:p w14:paraId="1A492A88" w14:textId="2A59E85B" w:rsidR="008C1B3C" w:rsidRPr="00D64BE9" w:rsidRDefault="008C1B3C" w:rsidP="00F74A34">
            <w:pPr>
              <w:pStyle w:val="Heading2"/>
              <w:spacing w:before="120" w:after="120"/>
              <w:jc w:val="center"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8C1B3C" w:rsidRPr="00287DAA" w14:paraId="4E482706" w14:textId="77777777" w:rsidTr="00F74A34">
        <w:tc>
          <w:tcPr>
            <w:tcW w:w="5097" w:type="dxa"/>
            <w:shd w:val="clear" w:color="auto" w:fill="auto"/>
          </w:tcPr>
          <w:p w14:paraId="4DAD3A7D" w14:textId="77777777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The R&amp;D entity’s assessable income is increased by</w:t>
            </w:r>
          </w:p>
          <w:p w14:paraId="09A9B796" w14:textId="77777777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an amount equal to the grossed-up value of the</w:t>
            </w:r>
          </w:p>
          <w:p w14:paraId="4EF4B7BA" w14:textId="77777777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incentive component of the associated amounts of</w:t>
            </w:r>
          </w:p>
          <w:p w14:paraId="03619503" w14:textId="1D394A4A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R&amp;D tax offset.</w:t>
            </w:r>
          </w:p>
        </w:tc>
        <w:tc>
          <w:tcPr>
            <w:tcW w:w="5097" w:type="dxa"/>
            <w:shd w:val="clear" w:color="auto" w:fill="E1E8F6"/>
          </w:tcPr>
          <w:p w14:paraId="255F262C" w14:textId="5D317038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For an R&amp;D asset held only for R&amp;D purposes where the balancing adjustment amount is included in the R&amp;D entity’s assessable income – the amount is generally increased by one third.</w:t>
            </w:r>
          </w:p>
        </w:tc>
      </w:tr>
      <w:tr w:rsidR="008C1B3C" w:rsidRPr="00D64BE9" w14:paraId="34E7D7D3" w14:textId="77777777" w:rsidTr="008C1B3C">
        <w:tc>
          <w:tcPr>
            <w:tcW w:w="5097" w:type="dxa"/>
            <w:tcBorders>
              <w:bottom w:val="single" w:sz="6" w:space="0" w:color="auto"/>
            </w:tcBorders>
            <w:shd w:val="clear" w:color="auto" w:fill="auto"/>
          </w:tcPr>
          <w:p w14:paraId="410DDE22" w14:textId="76F1B84B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</w:p>
        </w:tc>
        <w:tc>
          <w:tcPr>
            <w:tcW w:w="5097" w:type="dxa"/>
            <w:tcBorders>
              <w:bottom w:val="single" w:sz="6" w:space="0" w:color="auto"/>
            </w:tcBorders>
            <w:shd w:val="clear" w:color="auto" w:fill="E1E8F6"/>
          </w:tcPr>
          <w:p w14:paraId="2E064759" w14:textId="77777777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For an R&amp;D asset held partially for R&amp;D purposes</w:t>
            </w:r>
          </w:p>
          <w:p w14:paraId="41EBEF08" w14:textId="77777777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where the balancing adjustment amount is included</w:t>
            </w:r>
          </w:p>
          <w:p w14:paraId="133DED9C" w14:textId="77777777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in the R&amp;D entity’s assessable income – the R&amp;D</w:t>
            </w:r>
          </w:p>
          <w:p w14:paraId="49D13C22" w14:textId="77777777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component of the amount is generally increased by</w:t>
            </w:r>
          </w:p>
          <w:p w14:paraId="0AB09F9C" w14:textId="7AFCC29C" w:rsidR="008C1B3C" w:rsidRPr="00A549B8" w:rsidRDefault="008C1B3C" w:rsidP="00A549B8">
            <w:pPr>
              <w:pStyle w:val="Heading2"/>
              <w:spacing w:after="40"/>
              <w:outlineLvl w:val="1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one third.</w:t>
            </w:r>
          </w:p>
        </w:tc>
      </w:tr>
      <w:tr w:rsidR="008C1B3C" w:rsidRPr="00D64BE9" w14:paraId="10AC09AB" w14:textId="77777777" w:rsidTr="008C1B3C"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1A66F8B0" w14:textId="4057E39B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The R&amp;D entity is entitled to a deduction equal to the grossed-up value of the incentive component of the associated amounts of R&amp;D tax offset that would have been obtained if the R&amp;D component of the balancing adjustment amount was included in the calculation of the offset.</w:t>
            </w:r>
          </w:p>
        </w:tc>
        <w:tc>
          <w:tcPr>
            <w:tcW w:w="5097" w:type="dxa"/>
            <w:tcBorders>
              <w:top w:val="single" w:sz="6" w:space="0" w:color="auto"/>
            </w:tcBorders>
            <w:shd w:val="clear" w:color="auto" w:fill="E1E8F6"/>
          </w:tcPr>
          <w:p w14:paraId="7B5F4376" w14:textId="7E1BDF4B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For an R&amp;D asset held only for R&amp;D purposes where the balancing adjustment amount is allowed as a deduction – the deduction is included in the R&amp;D entity’s R&amp;D tax offset calculation.</w:t>
            </w:r>
          </w:p>
        </w:tc>
      </w:tr>
      <w:tr w:rsidR="008C1B3C" w:rsidRPr="00D64BE9" w14:paraId="6D1F0E7D" w14:textId="77777777" w:rsidTr="008C1B3C">
        <w:tc>
          <w:tcPr>
            <w:tcW w:w="5097" w:type="dxa"/>
            <w:tcBorders>
              <w:bottom w:val="single" w:sz="6" w:space="0" w:color="auto"/>
            </w:tcBorders>
            <w:shd w:val="clear" w:color="auto" w:fill="auto"/>
          </w:tcPr>
          <w:p w14:paraId="73B2DD93" w14:textId="77777777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</w:p>
        </w:tc>
        <w:tc>
          <w:tcPr>
            <w:tcW w:w="5097" w:type="dxa"/>
            <w:tcBorders>
              <w:bottom w:val="single" w:sz="6" w:space="0" w:color="auto"/>
            </w:tcBorders>
            <w:shd w:val="clear" w:color="auto" w:fill="E1E8F6"/>
          </w:tcPr>
          <w:p w14:paraId="1C280A4E" w14:textId="77777777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For an R&amp;D asset held partially for R&amp;D purposes</w:t>
            </w:r>
          </w:p>
          <w:p w14:paraId="2FEB3362" w14:textId="38CA542D" w:rsidR="008C1B3C" w:rsidRPr="00A549B8" w:rsidRDefault="008C1B3C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where the balancing adjustment amount is allowed as a deduction – the R&amp;D component of the amount is increased by one third or (for small R&amp;D entities) or one half.</w:t>
            </w:r>
          </w:p>
        </w:tc>
      </w:tr>
      <w:tr w:rsidR="00A549B8" w:rsidRPr="00D64BE9" w14:paraId="369C5E0D" w14:textId="77777777" w:rsidTr="008C1B3C"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3B089" w14:textId="1FB062E0" w:rsidR="00A549B8" w:rsidRPr="00A549B8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Similar amended rules apply to balancing adjustments for R&amp;D assets held by R&amp;D partnerships.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8F6"/>
          </w:tcPr>
          <w:p w14:paraId="6898525B" w14:textId="7E4B2487" w:rsidR="00A549B8" w:rsidRPr="00A549B8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Similar rules apply to balancing adjustments for R&amp;D assets held by R&amp;D partnerships.</w:t>
            </w:r>
          </w:p>
        </w:tc>
      </w:tr>
      <w:tr w:rsidR="00A549B8" w:rsidRPr="00D64BE9" w14:paraId="29DD4207" w14:textId="77777777" w:rsidTr="008C1B3C"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167C4" w14:textId="77777777" w:rsidR="00A549B8" w:rsidRPr="00A549B8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The transitional rules are amended in line with the</w:t>
            </w:r>
          </w:p>
          <w:p w14:paraId="7CB67A14" w14:textId="77777777" w:rsidR="00A549B8" w:rsidRPr="00A549B8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primary amendments but continue to apply to R&amp;D</w:t>
            </w:r>
          </w:p>
          <w:p w14:paraId="7F765416" w14:textId="77777777" w:rsidR="00A549B8" w:rsidRPr="00A549B8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assets acquired before the introduction of the R&amp;D</w:t>
            </w:r>
          </w:p>
          <w:p w14:paraId="314D1CC0" w14:textId="7984D5E3" w:rsidR="00A549B8" w:rsidRPr="00A549B8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Tax Incentive in 2011.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  <w:shd w:val="clear" w:color="auto" w:fill="E1E8F6"/>
          </w:tcPr>
          <w:p w14:paraId="7BDABFF6" w14:textId="2D10A9EA" w:rsidR="00A549B8" w:rsidRPr="00A549B8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Transitional rules apply to R&amp;D assets acquired before the introduction of the R&amp;D Tax Incentive</w:t>
            </w:r>
          </w:p>
          <w:p w14:paraId="7654AF7D" w14:textId="12033662" w:rsidR="00A549B8" w:rsidRPr="00A549B8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color w:val="21211F"/>
                <w:sz w:val="20"/>
                <w:szCs w:val="20"/>
              </w:rPr>
              <w:t>in 2011.</w:t>
            </w:r>
          </w:p>
        </w:tc>
      </w:tr>
      <w:tr w:rsidR="008C1B3C" w:rsidRPr="00287DAA" w14:paraId="2D8740BA" w14:textId="77777777" w:rsidTr="008C1B3C"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307B69F2" w14:textId="77777777" w:rsidR="008C1B3C" w:rsidRPr="00A549B8" w:rsidRDefault="008C1B3C" w:rsidP="008C1B3C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 w:rsidRPr="00A549B8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Transparency of R&amp;D claimants and activities</w:t>
            </w:r>
          </w:p>
        </w:tc>
        <w:tc>
          <w:tcPr>
            <w:tcW w:w="5097" w:type="dxa"/>
            <w:tcBorders>
              <w:top w:val="single" w:sz="6" w:space="0" w:color="auto"/>
            </w:tcBorders>
            <w:shd w:val="clear" w:color="auto" w:fill="auto"/>
          </w:tcPr>
          <w:p w14:paraId="3D4F7D50" w14:textId="21BED198" w:rsidR="008C1B3C" w:rsidRPr="00A549B8" w:rsidRDefault="008C1B3C" w:rsidP="008C1B3C">
            <w:pPr>
              <w:pStyle w:val="Heading2"/>
              <w:spacing w:before="120" w:after="120"/>
              <w:outlineLvl w:val="1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7EEF" w:rsidRPr="00287DAA" w14:paraId="08E6A1D6" w14:textId="77777777" w:rsidTr="008C1B3C">
        <w:tc>
          <w:tcPr>
            <w:tcW w:w="5097" w:type="dxa"/>
            <w:tcBorders>
              <w:bottom w:val="single" w:sz="6" w:space="0" w:color="auto"/>
            </w:tcBorders>
            <w:shd w:val="clear" w:color="auto" w:fill="auto"/>
          </w:tcPr>
          <w:p w14:paraId="75103B8A" w14:textId="40AC5C08" w:rsidR="00A549B8" w:rsidRPr="008A32B3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8A32B3">
              <w:rPr>
                <w:rFonts w:ascii="Open Sans" w:hAnsi="Open Sans" w:cs="Open Sans"/>
                <w:color w:val="21211F"/>
                <w:sz w:val="20"/>
                <w:szCs w:val="20"/>
              </w:rPr>
              <w:t xml:space="preserve">As soon as practicable after the period of two </w:t>
            </w:r>
          </w:p>
          <w:p w14:paraId="0AC903DD" w14:textId="77777777" w:rsidR="00A549B8" w:rsidRPr="008A32B3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8A32B3">
              <w:rPr>
                <w:rFonts w:ascii="Open Sans" w:hAnsi="Open Sans" w:cs="Open Sans"/>
                <w:color w:val="21211F"/>
                <w:sz w:val="20"/>
                <w:szCs w:val="20"/>
              </w:rPr>
              <w:t>years following the end of the financial year, the</w:t>
            </w:r>
          </w:p>
          <w:p w14:paraId="5CA5E9F5" w14:textId="77777777" w:rsidR="00A549B8" w:rsidRPr="008A32B3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8A32B3">
              <w:rPr>
                <w:rFonts w:ascii="Open Sans" w:hAnsi="Open Sans" w:cs="Open Sans"/>
                <w:color w:val="21211F"/>
                <w:sz w:val="20"/>
                <w:szCs w:val="20"/>
              </w:rPr>
              <w:t>Commissioner must publish information about the</w:t>
            </w:r>
          </w:p>
          <w:p w14:paraId="5C92D10A" w14:textId="28A4D5CC" w:rsidR="003A7EEF" w:rsidRPr="008A32B3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8A32B3">
              <w:rPr>
                <w:rFonts w:ascii="Open Sans" w:hAnsi="Open Sans" w:cs="Open Sans"/>
                <w:color w:val="21211F"/>
                <w:sz w:val="20"/>
                <w:szCs w:val="20"/>
              </w:rPr>
              <w:t>R&amp;D entities that have claimed notional deductions for R&amp;D activities, including the amount claimed.</w:t>
            </w:r>
          </w:p>
        </w:tc>
        <w:tc>
          <w:tcPr>
            <w:tcW w:w="5097" w:type="dxa"/>
            <w:tcBorders>
              <w:bottom w:val="single" w:sz="6" w:space="0" w:color="auto"/>
            </w:tcBorders>
            <w:shd w:val="clear" w:color="auto" w:fill="E1E8F6"/>
          </w:tcPr>
          <w:p w14:paraId="17BEAC59" w14:textId="28F913E3" w:rsidR="003A7EEF" w:rsidRPr="008A32B3" w:rsidRDefault="00A549B8" w:rsidP="00A549B8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21211F"/>
                <w:sz w:val="20"/>
                <w:szCs w:val="20"/>
              </w:rPr>
            </w:pPr>
            <w:r w:rsidRPr="008A32B3">
              <w:rPr>
                <w:rFonts w:ascii="Open Sans" w:hAnsi="Open Sans" w:cs="Open Sans"/>
                <w:color w:val="21211F"/>
                <w:sz w:val="20"/>
                <w:szCs w:val="20"/>
              </w:rPr>
              <w:t>No equivalent.</w:t>
            </w:r>
          </w:p>
        </w:tc>
      </w:tr>
    </w:tbl>
    <w:p w14:paraId="27135959" w14:textId="77777777" w:rsidR="00F74A34" w:rsidRDefault="00F74A34" w:rsidP="0040763D">
      <w:pPr>
        <w:autoSpaceDE w:val="0"/>
        <w:autoSpaceDN w:val="0"/>
        <w:adjustRightInd w:val="0"/>
        <w:spacing w:before="40" w:after="0" w:line="240" w:lineRule="auto"/>
        <w:rPr>
          <w:rFonts w:ascii="Open Sans" w:hAnsi="Open Sans" w:cs="Open Sans"/>
          <w:color w:val="21211F"/>
          <w:sz w:val="18"/>
          <w:szCs w:val="18"/>
        </w:rPr>
      </w:pPr>
    </w:p>
    <w:p w14:paraId="6DE85883" w14:textId="5261F322" w:rsidR="003A7EEF" w:rsidRPr="0040763D" w:rsidRDefault="0040763D" w:rsidP="0040763D">
      <w:pPr>
        <w:autoSpaceDE w:val="0"/>
        <w:autoSpaceDN w:val="0"/>
        <w:adjustRightInd w:val="0"/>
        <w:spacing w:before="40" w:after="0" w:line="240" w:lineRule="auto"/>
        <w:rPr>
          <w:rFonts w:ascii="Open Sans" w:hAnsi="Open Sans" w:cs="Open Sans"/>
          <w:color w:val="21211F"/>
          <w:sz w:val="20"/>
          <w:szCs w:val="20"/>
        </w:rPr>
      </w:pPr>
      <w:r w:rsidRPr="0040763D">
        <w:rPr>
          <w:rFonts w:ascii="Open Sans" w:hAnsi="Open Sans" w:cs="Open Sans"/>
          <w:color w:val="21211F"/>
          <w:sz w:val="18"/>
          <w:szCs w:val="18"/>
        </w:rPr>
        <w:t>* Note: Changes to how you claim the incentives we</w:t>
      </w:r>
      <w:r w:rsidR="008A32B3">
        <w:rPr>
          <w:rFonts w:ascii="Open Sans" w:hAnsi="Open Sans" w:cs="Open Sans"/>
          <w:color w:val="21211F"/>
          <w:sz w:val="18"/>
          <w:szCs w:val="18"/>
        </w:rPr>
        <w:t>re</w:t>
      </w:r>
      <w:r w:rsidRPr="0040763D">
        <w:rPr>
          <w:rFonts w:ascii="Open Sans" w:hAnsi="Open Sans" w:cs="Open Sans"/>
          <w:color w:val="21211F"/>
          <w:sz w:val="18"/>
          <w:szCs w:val="18"/>
        </w:rPr>
        <w:t xml:space="preserve"> included in company tax return and R&amp;D schedule instructions from 2021/ 22. Updates on these changes will be made available through the </w:t>
      </w:r>
      <w:hyperlink r:id="rId9" w:anchor="Changessince1July2021" w:history="1">
        <w:r w:rsidRPr="0040763D">
          <w:rPr>
            <w:rStyle w:val="Hyperlink"/>
            <w:rFonts w:ascii="Open Sans" w:hAnsi="Open Sans" w:cs="Open Sans"/>
            <w:sz w:val="18"/>
            <w:szCs w:val="18"/>
          </w:rPr>
          <w:t>Australian Taxation Office website</w:t>
        </w:r>
      </w:hyperlink>
      <w:r w:rsidRPr="0040763D">
        <w:rPr>
          <w:rFonts w:ascii="Open Sans" w:hAnsi="Open Sans" w:cs="Open Sans"/>
          <w:color w:val="21211F"/>
          <w:sz w:val="18"/>
          <w:szCs w:val="18"/>
        </w:rPr>
        <w:t>.</w:t>
      </w:r>
    </w:p>
    <w:p w14:paraId="74A4F383" w14:textId="0B232910" w:rsidR="0040763D" w:rsidRDefault="0040763D" w:rsidP="004076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5F4B63F1" w14:textId="16E83C9D" w:rsidR="0040763D" w:rsidRPr="0040763D" w:rsidRDefault="0040763D" w:rsidP="0040763D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40763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Information and support</w:t>
      </w:r>
    </w:p>
    <w:p w14:paraId="6A4610C8" w14:textId="77777777" w:rsidR="0040763D" w:rsidRDefault="0040763D" w:rsidP="004076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1CFEA8A4" w14:textId="2948926C" w:rsidR="0040763D" w:rsidRDefault="0040763D" w:rsidP="0040763D">
      <w:pPr>
        <w:autoSpaceDE w:val="0"/>
        <w:autoSpaceDN w:val="0"/>
        <w:adjustRightInd w:val="0"/>
        <w:spacing w:after="12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40763D">
        <w:rPr>
          <w:rFonts w:ascii="Open Sans" w:hAnsi="Open Sans" w:cs="Open Sans"/>
          <w:color w:val="000000"/>
          <w:sz w:val="20"/>
          <w:szCs w:val="20"/>
        </w:rPr>
        <w:t>The R&amp;DTI is jointly administered by the Department of Industry, Science and Resources and the Australian Taxation Office.</w:t>
      </w:r>
    </w:p>
    <w:p w14:paraId="70986934" w14:textId="0B2A7D08" w:rsidR="0040763D" w:rsidRPr="0040763D" w:rsidRDefault="0040763D" w:rsidP="0040763D">
      <w:pPr>
        <w:autoSpaceDE w:val="0"/>
        <w:autoSpaceDN w:val="0"/>
        <w:adjustRightInd w:val="0"/>
        <w:spacing w:after="12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40763D">
        <w:rPr>
          <w:rFonts w:ascii="Open Sans" w:hAnsi="Open Sans" w:cs="Open Sans"/>
          <w:color w:val="000000"/>
          <w:sz w:val="20"/>
          <w:szCs w:val="20"/>
        </w:rPr>
        <w:t xml:space="preserve">For helpful guidance on interpreting the legislation and keeping records visit </w:t>
      </w:r>
      <w:hyperlink r:id="rId10" w:history="1">
        <w:r w:rsidRPr="0040763D">
          <w:rPr>
            <w:rStyle w:val="Hyperlink"/>
            <w:rFonts w:ascii="Open Sans" w:hAnsi="Open Sans" w:cs="Open Sans"/>
            <w:sz w:val="20"/>
            <w:szCs w:val="20"/>
          </w:rPr>
          <w:t>business.gov.au/rdti</w:t>
        </w:r>
      </w:hyperlink>
      <w:r w:rsidRPr="0040763D">
        <w:rPr>
          <w:rFonts w:ascii="Open Sans" w:hAnsi="Open Sans" w:cs="Open Sans"/>
          <w:color w:val="000000"/>
          <w:sz w:val="20"/>
          <w:szCs w:val="20"/>
        </w:rPr>
        <w:t xml:space="preserve"> or phone 132846.</w:t>
      </w:r>
    </w:p>
    <w:p w14:paraId="51DA5D86" w14:textId="50D2C5D6" w:rsidR="003A7EEF" w:rsidRPr="003A7EEF" w:rsidRDefault="0040763D" w:rsidP="00B51EA8">
      <w:pPr>
        <w:autoSpaceDE w:val="0"/>
        <w:autoSpaceDN w:val="0"/>
        <w:adjustRightInd w:val="0"/>
        <w:spacing w:after="120" w:line="240" w:lineRule="auto"/>
        <w:rPr>
          <w:rFonts w:ascii="Open Sans" w:hAnsi="Open Sans" w:cs="Open Sans"/>
          <w:color w:val="21211F"/>
          <w:sz w:val="20"/>
          <w:szCs w:val="20"/>
        </w:rPr>
      </w:pPr>
      <w:r w:rsidRPr="0040763D">
        <w:rPr>
          <w:rFonts w:ascii="Open Sans" w:hAnsi="Open Sans" w:cs="Open Sans"/>
          <w:color w:val="000000"/>
          <w:sz w:val="20"/>
          <w:szCs w:val="20"/>
        </w:rPr>
        <w:t xml:space="preserve">For R&amp;D entity and expenditure information visit </w:t>
      </w:r>
      <w:hyperlink r:id="rId11" w:history="1">
        <w:r w:rsidRPr="0040763D">
          <w:rPr>
            <w:rStyle w:val="Hyperlink"/>
            <w:rFonts w:ascii="Open Sans" w:hAnsi="Open Sans" w:cs="Open Sans"/>
            <w:sz w:val="20"/>
            <w:szCs w:val="20"/>
          </w:rPr>
          <w:t>ato.gov.au/rdti</w:t>
        </w:r>
      </w:hyperlink>
      <w:r w:rsidRPr="0040763D">
        <w:rPr>
          <w:rFonts w:ascii="Open Sans" w:hAnsi="Open Sans" w:cs="Open Sans"/>
          <w:color w:val="000000"/>
          <w:sz w:val="20"/>
          <w:szCs w:val="20"/>
        </w:rPr>
        <w:t>.</w:t>
      </w:r>
    </w:p>
    <w:sectPr w:rsidR="003A7EEF" w:rsidRPr="003A7EEF" w:rsidSect="005862E6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6993" w14:textId="77777777" w:rsidR="004174BC" w:rsidRDefault="004174BC" w:rsidP="004174BC">
      <w:pPr>
        <w:spacing w:after="0" w:line="240" w:lineRule="auto"/>
      </w:pPr>
      <w:r>
        <w:separator/>
      </w:r>
    </w:p>
  </w:endnote>
  <w:endnote w:type="continuationSeparator" w:id="0">
    <w:p w14:paraId="4A96CDFB" w14:textId="77777777" w:rsidR="004174BC" w:rsidRDefault="004174BC" w:rsidP="0041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1226" w14:textId="0EA16A6A" w:rsidR="004174BC" w:rsidRDefault="004174BC">
    <w:pPr>
      <w:pStyle w:val="Footer"/>
    </w:pPr>
  </w:p>
  <w:p w14:paraId="0ED568C3" w14:textId="3673916B" w:rsidR="004174BC" w:rsidRPr="004174BC" w:rsidRDefault="004174BC" w:rsidP="004174BC">
    <w:pPr>
      <w:pStyle w:val="Footer"/>
      <w:jc w:val="right"/>
      <w:rPr>
        <w:rFonts w:ascii="Open Sans" w:hAnsi="Open Sans" w:cs="Open Sans"/>
        <w:b/>
        <w:bCs/>
        <w:sz w:val="18"/>
        <w:szCs w:val="18"/>
      </w:rPr>
    </w:pPr>
    <w:r w:rsidRPr="004174BC">
      <w:rPr>
        <w:rFonts w:ascii="Open Sans" w:hAnsi="Open Sans" w:cs="Open Sans"/>
        <w:b/>
        <w:bCs/>
        <w:sz w:val="18"/>
        <w:szCs w:val="18"/>
      </w:rPr>
      <w:t>business.gov.au | call 13 28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EACB" w14:textId="77777777" w:rsidR="004174BC" w:rsidRDefault="004174BC" w:rsidP="004174BC">
      <w:pPr>
        <w:spacing w:after="0" w:line="240" w:lineRule="auto"/>
      </w:pPr>
      <w:r>
        <w:separator/>
      </w:r>
    </w:p>
  </w:footnote>
  <w:footnote w:type="continuationSeparator" w:id="0">
    <w:p w14:paraId="0F99C624" w14:textId="77777777" w:rsidR="004174BC" w:rsidRDefault="004174BC" w:rsidP="00417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6"/>
    <w:rsid w:val="00160F94"/>
    <w:rsid w:val="001F5F53"/>
    <w:rsid w:val="00287DAA"/>
    <w:rsid w:val="002D6B77"/>
    <w:rsid w:val="003A7EEF"/>
    <w:rsid w:val="003F61EF"/>
    <w:rsid w:val="0040763D"/>
    <w:rsid w:val="004174BC"/>
    <w:rsid w:val="00487FD7"/>
    <w:rsid w:val="005862E6"/>
    <w:rsid w:val="007250B1"/>
    <w:rsid w:val="008A1E81"/>
    <w:rsid w:val="008A32B3"/>
    <w:rsid w:val="008C1B3C"/>
    <w:rsid w:val="00936E78"/>
    <w:rsid w:val="00A06F48"/>
    <w:rsid w:val="00A549B8"/>
    <w:rsid w:val="00B51EA8"/>
    <w:rsid w:val="00C10FDB"/>
    <w:rsid w:val="00D64BE9"/>
    <w:rsid w:val="00F07AAC"/>
    <w:rsid w:val="00F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1A60CE"/>
  <w15:chartTrackingRefBased/>
  <w15:docId w15:val="{D75BB232-D143-40C7-A2C8-87A8D49B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6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E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87D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8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BC"/>
  </w:style>
  <w:style w:type="paragraph" w:styleId="Footer">
    <w:name w:val="footer"/>
    <w:basedOn w:val="Normal"/>
    <w:link w:val="FooterChar"/>
    <w:uiPriority w:val="99"/>
    <w:unhideWhenUsed/>
    <w:rsid w:val="00417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BC"/>
  </w:style>
  <w:style w:type="character" w:styleId="FollowedHyperlink">
    <w:name w:val="FollowedHyperlink"/>
    <w:basedOn w:val="DefaultParagraphFont"/>
    <w:uiPriority w:val="99"/>
    <w:semiHidden/>
    <w:unhideWhenUsed/>
    <w:rsid w:val="008A32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C2021C0027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hive.budget.gov.au/2020-21/index.ht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to.gov.au/Business/Research-and-development-tax-incentive/?=redirected_RDT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usiness.gov.au/grants-and-programs/research-and-development-tax-incentive/assess-if-your-randd-activities-are-eligible/clinical-trials-determination-gui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to.gov.au/business/research-and-development-tax-incentive/about-the-r-d-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1047</Words>
  <Characters>5974</Characters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R&amp;D Tax Incentive reforms introduced in the 2020-21 Budget</vt:lpstr>
    </vt:vector>
  </TitlesOfParts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R&amp;D Tax Incentive reforms introduced in the 2020-21 Budget</dc:title>
  <dc:subject/>
  <cp:keywords/>
  <dc:description/>
  <dcterms:created xsi:type="dcterms:W3CDTF">2023-05-17T05:17:00Z</dcterms:created>
  <dcterms:modified xsi:type="dcterms:W3CDTF">2023-06-29T02:03:00Z</dcterms:modified>
</cp:coreProperties>
</file>