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5CE67" w14:textId="4E333CBC" w:rsidR="00C57DFB" w:rsidRPr="00C57DFB" w:rsidRDefault="00C57DFB" w:rsidP="00C57DFB">
      <w:pPr>
        <w:pStyle w:val="Heading3Appendix"/>
        <w:numPr>
          <w:ilvl w:val="0"/>
          <w:numId w:val="0"/>
        </w:numPr>
        <w:ind w:left="33"/>
        <w:rPr>
          <w:b/>
          <w:bCs w:val="0"/>
          <w:sz w:val="40"/>
          <w:szCs w:val="40"/>
        </w:rPr>
      </w:pPr>
      <w:r w:rsidRPr="00C57DFB">
        <w:rPr>
          <w:b/>
          <w:bCs w:val="0"/>
          <w:sz w:val="40"/>
          <w:szCs w:val="40"/>
        </w:rPr>
        <w:t>Schools Pathways Program open competitive grant opportunity Key Performance Indicators</w:t>
      </w:r>
      <w:r w:rsidR="00965686">
        <w:rPr>
          <w:b/>
          <w:bCs w:val="0"/>
          <w:sz w:val="40"/>
          <w:szCs w:val="40"/>
        </w:rPr>
        <w:t xml:space="preserve"> and Reporting Data</w:t>
      </w:r>
    </w:p>
    <w:p w14:paraId="571E59F4" w14:textId="77777777" w:rsidR="00520046" w:rsidRPr="00965686" w:rsidRDefault="00520046" w:rsidP="00965686">
      <w:pPr>
        <w:pStyle w:val="Heading2"/>
      </w:pPr>
      <w:r w:rsidRPr="00965686">
        <w:t>Key Performance Indicators</w:t>
      </w:r>
    </w:p>
    <w:p w14:paraId="426DBF08" w14:textId="77777777" w:rsidR="00520046" w:rsidRDefault="00520046" w:rsidP="00520046">
      <w:pPr>
        <w:rPr>
          <w:rFonts w:ascii="Arial" w:hAnsi="Arial" w:cs="Arial"/>
          <w:sz w:val="20"/>
          <w:szCs w:val="20"/>
        </w:rPr>
      </w:pPr>
      <w:r w:rsidRPr="00CF5ED6">
        <w:rPr>
          <w:rFonts w:ascii="Arial" w:hAnsi="Arial" w:cs="Arial"/>
          <w:sz w:val="20"/>
          <w:szCs w:val="20"/>
        </w:rPr>
        <w:t xml:space="preserve">When completing your application for grant funding you </w:t>
      </w:r>
      <w:r>
        <w:rPr>
          <w:rFonts w:ascii="Arial" w:hAnsi="Arial" w:cs="Arial"/>
          <w:sz w:val="20"/>
          <w:szCs w:val="20"/>
        </w:rPr>
        <w:t xml:space="preserve">must </w:t>
      </w:r>
      <w:r w:rsidRPr="00CF5ED6">
        <w:rPr>
          <w:rFonts w:ascii="Arial" w:hAnsi="Arial" w:cs="Arial"/>
          <w:sz w:val="20"/>
          <w:szCs w:val="20"/>
        </w:rPr>
        <w:t xml:space="preserve">identify </w:t>
      </w:r>
      <w:r w:rsidRPr="00C57DFB">
        <w:rPr>
          <w:rFonts w:ascii="Arial" w:hAnsi="Arial" w:cs="Arial"/>
          <w:sz w:val="20"/>
          <w:szCs w:val="20"/>
        </w:rPr>
        <w:t xml:space="preserve">the Key Performance Indicators (KPIs) you will use to demonstrate </w:t>
      </w:r>
      <w:r w:rsidRPr="00CF5ED6">
        <w:rPr>
          <w:rFonts w:ascii="Arial" w:hAnsi="Arial" w:cs="Arial"/>
          <w:sz w:val="20"/>
          <w:szCs w:val="20"/>
        </w:rPr>
        <w:t xml:space="preserve">how </w:t>
      </w:r>
      <w:r>
        <w:rPr>
          <w:rFonts w:ascii="Arial" w:hAnsi="Arial" w:cs="Arial"/>
          <w:sz w:val="20"/>
          <w:szCs w:val="20"/>
        </w:rPr>
        <w:t>your project</w:t>
      </w:r>
      <w:r w:rsidRPr="00CF5ED6">
        <w:rPr>
          <w:rFonts w:ascii="Arial" w:hAnsi="Arial" w:cs="Arial"/>
          <w:sz w:val="20"/>
          <w:szCs w:val="20"/>
        </w:rPr>
        <w:t xml:space="preserve"> activities will </w:t>
      </w:r>
      <w:r>
        <w:rPr>
          <w:rFonts w:ascii="Arial" w:hAnsi="Arial" w:cs="Arial"/>
          <w:sz w:val="20"/>
          <w:szCs w:val="20"/>
        </w:rPr>
        <w:t>meet the</w:t>
      </w:r>
      <w:r w:rsidRPr="00CF5ED6">
        <w:rPr>
          <w:rFonts w:ascii="Arial" w:hAnsi="Arial" w:cs="Arial"/>
          <w:sz w:val="20"/>
          <w:szCs w:val="20"/>
        </w:rPr>
        <w:t xml:space="preserve"> objectives and outcomes of the grant opportunity</w:t>
      </w:r>
      <w:r>
        <w:rPr>
          <w:rFonts w:ascii="Arial" w:hAnsi="Arial" w:cs="Arial"/>
          <w:sz w:val="20"/>
          <w:szCs w:val="20"/>
        </w:rPr>
        <w:t xml:space="preserve">. </w:t>
      </w:r>
    </w:p>
    <w:p w14:paraId="07466423" w14:textId="6D0C62CD" w:rsidR="00520046" w:rsidRPr="00CF5ED6" w:rsidRDefault="00520046" w:rsidP="00520046">
      <w:pPr>
        <w:rPr>
          <w:rFonts w:ascii="Arial" w:hAnsi="Arial" w:cs="Arial"/>
          <w:sz w:val="20"/>
          <w:szCs w:val="20"/>
        </w:rPr>
      </w:pPr>
      <w:r>
        <w:rPr>
          <w:rFonts w:ascii="Arial" w:hAnsi="Arial" w:cs="Arial"/>
          <w:sz w:val="20"/>
          <w:szCs w:val="20"/>
        </w:rPr>
        <w:t xml:space="preserve">In preparing your application you should consider the </w:t>
      </w:r>
      <w:r w:rsidR="0004588F">
        <w:rPr>
          <w:rFonts w:ascii="Arial" w:hAnsi="Arial" w:cs="Arial"/>
          <w:sz w:val="20"/>
          <w:szCs w:val="20"/>
        </w:rPr>
        <w:t>KPIs</w:t>
      </w:r>
      <w:r>
        <w:rPr>
          <w:rFonts w:ascii="Arial" w:hAnsi="Arial" w:cs="Arial"/>
          <w:sz w:val="20"/>
          <w:szCs w:val="20"/>
        </w:rPr>
        <w:t xml:space="preserve"> listed against </w:t>
      </w:r>
      <w:r w:rsidRPr="00CF5ED6">
        <w:rPr>
          <w:rFonts w:ascii="Arial" w:hAnsi="Arial" w:cs="Arial"/>
          <w:sz w:val="20"/>
          <w:szCs w:val="20"/>
        </w:rPr>
        <w:t xml:space="preserve">each grant </w:t>
      </w:r>
      <w:r w:rsidR="00E52A54" w:rsidRPr="00CF5ED6">
        <w:rPr>
          <w:rFonts w:ascii="Arial" w:hAnsi="Arial" w:cs="Arial"/>
          <w:sz w:val="20"/>
          <w:szCs w:val="20"/>
        </w:rPr>
        <w:t>opportunity</w:t>
      </w:r>
      <w:r>
        <w:rPr>
          <w:rFonts w:ascii="Arial" w:hAnsi="Arial" w:cs="Arial"/>
          <w:sz w:val="20"/>
          <w:szCs w:val="20"/>
        </w:rPr>
        <w:t xml:space="preserve"> outcome</w:t>
      </w:r>
      <w:r w:rsidRPr="00CF5ED6">
        <w:rPr>
          <w:rFonts w:ascii="Arial" w:hAnsi="Arial" w:cs="Arial"/>
          <w:sz w:val="20"/>
          <w:szCs w:val="20"/>
        </w:rPr>
        <w:t xml:space="preserve">. </w:t>
      </w:r>
      <w:r>
        <w:rPr>
          <w:rFonts w:ascii="Arial" w:hAnsi="Arial" w:cs="Arial"/>
          <w:sz w:val="20"/>
          <w:szCs w:val="20"/>
        </w:rPr>
        <w:t>T</w:t>
      </w:r>
      <w:r w:rsidRPr="00124978">
        <w:rPr>
          <w:rFonts w:ascii="Arial" w:hAnsi="Arial" w:cs="Arial"/>
          <w:sz w:val="20"/>
          <w:szCs w:val="20"/>
        </w:rPr>
        <w:t>able</w:t>
      </w:r>
      <w:r>
        <w:rPr>
          <w:rFonts w:ascii="Arial" w:hAnsi="Arial" w:cs="Arial"/>
          <w:sz w:val="20"/>
          <w:szCs w:val="20"/>
        </w:rPr>
        <w:t xml:space="preserve"> 1 below lists the </w:t>
      </w:r>
      <w:r w:rsidRPr="00CF5ED6">
        <w:rPr>
          <w:rFonts w:ascii="Arial" w:hAnsi="Arial" w:cs="Arial"/>
          <w:sz w:val="20"/>
          <w:szCs w:val="20"/>
        </w:rPr>
        <w:t xml:space="preserve">grant opportunity outcomes, </w:t>
      </w:r>
      <w:r>
        <w:rPr>
          <w:rFonts w:ascii="Arial" w:hAnsi="Arial" w:cs="Arial"/>
          <w:sz w:val="20"/>
          <w:szCs w:val="20"/>
        </w:rPr>
        <w:t>K</w:t>
      </w:r>
      <w:r w:rsidR="0004588F">
        <w:rPr>
          <w:rFonts w:ascii="Arial" w:hAnsi="Arial" w:cs="Arial"/>
          <w:sz w:val="20"/>
          <w:szCs w:val="20"/>
        </w:rPr>
        <w:t xml:space="preserve">PIs, </w:t>
      </w:r>
      <w:r w:rsidRPr="00E96758">
        <w:rPr>
          <w:rFonts w:ascii="Arial" w:hAnsi="Arial" w:cs="Arial"/>
          <w:sz w:val="20"/>
          <w:szCs w:val="20"/>
        </w:rPr>
        <w:t>definition</w:t>
      </w:r>
      <w:r>
        <w:rPr>
          <w:rFonts w:ascii="Arial" w:hAnsi="Arial" w:cs="Arial"/>
          <w:sz w:val="20"/>
          <w:szCs w:val="20"/>
        </w:rPr>
        <w:t>s</w:t>
      </w:r>
      <w:r w:rsidRPr="00E96758">
        <w:rPr>
          <w:rFonts w:ascii="Arial" w:hAnsi="Arial" w:cs="Arial"/>
          <w:sz w:val="20"/>
          <w:szCs w:val="20"/>
        </w:rPr>
        <w:t xml:space="preserve"> and explanation</w:t>
      </w:r>
      <w:r>
        <w:rPr>
          <w:rFonts w:ascii="Arial" w:hAnsi="Arial" w:cs="Arial"/>
          <w:sz w:val="20"/>
          <w:szCs w:val="20"/>
        </w:rPr>
        <w:t>s</w:t>
      </w:r>
      <w:r w:rsidRPr="00CF5ED6">
        <w:rPr>
          <w:rFonts w:ascii="Arial" w:hAnsi="Arial" w:cs="Arial"/>
          <w:sz w:val="20"/>
          <w:szCs w:val="20"/>
        </w:rPr>
        <w:t xml:space="preserve">. </w:t>
      </w:r>
    </w:p>
    <w:p w14:paraId="327C381B" w14:textId="05C5780B" w:rsidR="00520046" w:rsidRDefault="00520046" w:rsidP="00520046">
      <w:pPr>
        <w:rPr>
          <w:rFonts w:ascii="Arial" w:hAnsi="Arial" w:cs="Arial"/>
          <w:sz w:val="20"/>
          <w:szCs w:val="20"/>
        </w:rPr>
      </w:pPr>
      <w:r>
        <w:rPr>
          <w:rFonts w:ascii="Arial" w:hAnsi="Arial" w:cs="Arial"/>
          <w:sz w:val="20"/>
          <w:szCs w:val="20"/>
        </w:rPr>
        <w:t>Every project must report against each outcome. You are not required to report against every K</w:t>
      </w:r>
      <w:r w:rsidR="0004588F">
        <w:rPr>
          <w:rFonts w:ascii="Arial" w:hAnsi="Arial" w:cs="Arial"/>
          <w:sz w:val="20"/>
          <w:szCs w:val="20"/>
        </w:rPr>
        <w:t>PI</w:t>
      </w:r>
      <w:r>
        <w:rPr>
          <w:rFonts w:ascii="Arial" w:hAnsi="Arial" w:cs="Arial"/>
          <w:sz w:val="20"/>
          <w:szCs w:val="20"/>
        </w:rPr>
        <w:t>. Some K</w:t>
      </w:r>
      <w:r w:rsidR="0004588F">
        <w:rPr>
          <w:rFonts w:ascii="Arial" w:hAnsi="Arial" w:cs="Arial"/>
          <w:sz w:val="20"/>
          <w:szCs w:val="20"/>
        </w:rPr>
        <w:t xml:space="preserve">PIs </w:t>
      </w:r>
      <w:r>
        <w:rPr>
          <w:rFonts w:ascii="Arial" w:hAnsi="Arial" w:cs="Arial"/>
          <w:sz w:val="20"/>
          <w:szCs w:val="20"/>
        </w:rPr>
        <w:t>are mandatory and some you choose based on your specific project activities. The K</w:t>
      </w:r>
      <w:r w:rsidR="0004588F">
        <w:rPr>
          <w:rFonts w:ascii="Arial" w:hAnsi="Arial" w:cs="Arial"/>
          <w:sz w:val="20"/>
          <w:szCs w:val="20"/>
        </w:rPr>
        <w:t xml:space="preserve">PIs </w:t>
      </w:r>
      <w:r>
        <w:rPr>
          <w:rFonts w:ascii="Arial" w:hAnsi="Arial" w:cs="Arial"/>
          <w:sz w:val="20"/>
          <w:szCs w:val="20"/>
        </w:rPr>
        <w:t xml:space="preserve">you choose should be proportionate to the amount of grant funding you are seeking and the activities </w:t>
      </w:r>
      <w:proofErr w:type="gramStart"/>
      <w:r>
        <w:rPr>
          <w:rFonts w:ascii="Arial" w:hAnsi="Arial" w:cs="Arial"/>
          <w:sz w:val="20"/>
          <w:szCs w:val="20"/>
        </w:rPr>
        <w:t>you</w:t>
      </w:r>
      <w:proofErr w:type="gramEnd"/>
      <w:r>
        <w:rPr>
          <w:rFonts w:ascii="Arial" w:hAnsi="Arial" w:cs="Arial"/>
          <w:sz w:val="20"/>
          <w:szCs w:val="20"/>
        </w:rPr>
        <w:t xml:space="preserve"> area undertaking.</w:t>
      </w:r>
    </w:p>
    <w:p w14:paraId="62812FC9" w14:textId="77777777" w:rsidR="00520046" w:rsidRDefault="00520046" w:rsidP="00520046">
      <w:pPr>
        <w:rPr>
          <w:rFonts w:ascii="Arial" w:hAnsi="Arial" w:cs="Arial"/>
          <w:sz w:val="20"/>
          <w:szCs w:val="20"/>
        </w:rPr>
      </w:pPr>
      <w:r>
        <w:rPr>
          <w:rFonts w:ascii="Arial" w:hAnsi="Arial" w:cs="Arial"/>
          <w:sz w:val="20"/>
          <w:szCs w:val="20"/>
        </w:rPr>
        <w:t>A project is required to report against each outcome, and at minimum must collect data towards the following KPIs for each outcome as outlined below :</w:t>
      </w:r>
    </w:p>
    <w:p w14:paraId="111312E8" w14:textId="77777777" w:rsidR="00520046" w:rsidRDefault="00520046" w:rsidP="00520046">
      <w:pPr>
        <w:pStyle w:val="ListParagraph"/>
        <w:numPr>
          <w:ilvl w:val="0"/>
          <w:numId w:val="5"/>
        </w:numPr>
        <w:rPr>
          <w:rFonts w:ascii="Arial" w:hAnsi="Arial" w:cs="Arial"/>
          <w:sz w:val="20"/>
          <w:szCs w:val="20"/>
        </w:rPr>
      </w:pPr>
      <w:r>
        <w:rPr>
          <w:rFonts w:ascii="Arial" w:hAnsi="Arial" w:cs="Arial"/>
          <w:sz w:val="20"/>
          <w:szCs w:val="20"/>
        </w:rPr>
        <w:t>Outcome one: all KPIs listed under this outcome.</w:t>
      </w:r>
    </w:p>
    <w:p w14:paraId="23C8FC70" w14:textId="77777777" w:rsidR="00520046" w:rsidRPr="00CF5ED6" w:rsidRDefault="00520046" w:rsidP="00520046">
      <w:pPr>
        <w:pStyle w:val="ListParagraph"/>
        <w:numPr>
          <w:ilvl w:val="0"/>
          <w:numId w:val="5"/>
        </w:numPr>
        <w:rPr>
          <w:rFonts w:ascii="Arial" w:hAnsi="Arial" w:cs="Arial"/>
          <w:sz w:val="20"/>
          <w:szCs w:val="20"/>
        </w:rPr>
      </w:pPr>
      <w:r>
        <w:rPr>
          <w:rFonts w:ascii="Arial" w:hAnsi="Arial" w:cs="Arial"/>
          <w:sz w:val="20"/>
          <w:szCs w:val="20"/>
        </w:rPr>
        <w:t xml:space="preserve">Outcome two: all KPIs </w:t>
      </w:r>
      <w:r w:rsidRPr="00D832B3">
        <w:rPr>
          <w:rFonts w:ascii="Arial" w:hAnsi="Arial" w:cs="Arial"/>
          <w:sz w:val="20"/>
          <w:szCs w:val="20"/>
        </w:rPr>
        <w:t>listed under this outcome.</w:t>
      </w:r>
    </w:p>
    <w:p w14:paraId="70892A54" w14:textId="77777777" w:rsidR="00520046" w:rsidRPr="00D832B3" w:rsidRDefault="00520046" w:rsidP="00520046">
      <w:pPr>
        <w:pStyle w:val="ListParagraph"/>
        <w:numPr>
          <w:ilvl w:val="0"/>
          <w:numId w:val="5"/>
        </w:numPr>
        <w:rPr>
          <w:rFonts w:ascii="Arial" w:hAnsi="Arial" w:cs="Arial"/>
          <w:sz w:val="20"/>
          <w:szCs w:val="20"/>
        </w:rPr>
      </w:pPr>
      <w:r w:rsidRPr="00D832B3">
        <w:rPr>
          <w:rFonts w:ascii="Arial" w:hAnsi="Arial" w:cs="Arial"/>
          <w:sz w:val="20"/>
          <w:szCs w:val="20"/>
        </w:rPr>
        <w:t>Outcome three</w:t>
      </w:r>
      <w:r>
        <w:rPr>
          <w:rFonts w:ascii="Arial" w:hAnsi="Arial" w:cs="Arial"/>
          <w:sz w:val="20"/>
          <w:szCs w:val="20"/>
        </w:rPr>
        <w:t xml:space="preserve">: </w:t>
      </w:r>
      <w:r>
        <w:rPr>
          <w:rFonts w:ascii="Arial" w:hAnsi="Arial" w:cs="Arial"/>
          <w:sz w:val="20"/>
          <w:szCs w:val="20"/>
        </w:rPr>
        <w:tab/>
      </w:r>
      <w:r w:rsidRPr="00D832B3">
        <w:rPr>
          <w:rFonts w:ascii="Arial" w:hAnsi="Arial" w:cs="Arial"/>
          <w:sz w:val="20"/>
          <w:szCs w:val="20"/>
        </w:rPr>
        <w:t xml:space="preserve">KPI 3.1 </w:t>
      </w:r>
      <w:r w:rsidRPr="00CF5ED6">
        <w:rPr>
          <w:rFonts w:ascii="Arial" w:hAnsi="Arial" w:cs="Arial"/>
          <w:sz w:val="20"/>
          <w:szCs w:val="20"/>
        </w:rPr>
        <w:t>and at least one other KPI listed under this outcome</w:t>
      </w:r>
    </w:p>
    <w:p w14:paraId="5929C9F5" w14:textId="77777777" w:rsidR="00520046" w:rsidRPr="00CF5ED6" w:rsidRDefault="00520046" w:rsidP="00520046">
      <w:pPr>
        <w:pStyle w:val="ListParagraph"/>
        <w:numPr>
          <w:ilvl w:val="0"/>
          <w:numId w:val="5"/>
        </w:numPr>
        <w:rPr>
          <w:rFonts w:ascii="Arial" w:hAnsi="Arial" w:cs="Arial"/>
          <w:sz w:val="20"/>
          <w:szCs w:val="20"/>
        </w:rPr>
      </w:pPr>
      <w:r w:rsidRPr="00D832B3">
        <w:rPr>
          <w:rFonts w:ascii="Arial" w:hAnsi="Arial" w:cs="Arial"/>
          <w:sz w:val="20"/>
          <w:szCs w:val="20"/>
        </w:rPr>
        <w:t>Outcome four</w:t>
      </w:r>
      <w:r>
        <w:rPr>
          <w:rFonts w:ascii="Arial" w:hAnsi="Arial" w:cs="Arial"/>
          <w:sz w:val="20"/>
          <w:szCs w:val="20"/>
        </w:rPr>
        <w:t xml:space="preserve">: </w:t>
      </w:r>
      <w:r w:rsidRPr="00D832B3">
        <w:rPr>
          <w:rFonts w:ascii="Arial" w:hAnsi="Arial" w:cs="Arial"/>
          <w:sz w:val="20"/>
          <w:szCs w:val="20"/>
        </w:rPr>
        <w:t>all KPIs listed under this outcome.</w:t>
      </w:r>
    </w:p>
    <w:p w14:paraId="33359625" w14:textId="77777777" w:rsidR="00520046" w:rsidRPr="00D832B3" w:rsidRDefault="00520046" w:rsidP="00520046">
      <w:pPr>
        <w:pStyle w:val="ListParagraph"/>
        <w:numPr>
          <w:ilvl w:val="0"/>
          <w:numId w:val="5"/>
        </w:numPr>
        <w:rPr>
          <w:rFonts w:ascii="Arial" w:hAnsi="Arial" w:cs="Arial"/>
          <w:sz w:val="20"/>
          <w:szCs w:val="20"/>
        </w:rPr>
      </w:pPr>
      <w:r w:rsidRPr="00D832B3">
        <w:rPr>
          <w:rFonts w:ascii="Arial" w:hAnsi="Arial" w:cs="Arial"/>
          <w:sz w:val="20"/>
          <w:szCs w:val="20"/>
        </w:rPr>
        <w:t>Outcome five</w:t>
      </w:r>
      <w:r>
        <w:rPr>
          <w:rFonts w:ascii="Arial" w:hAnsi="Arial" w:cs="Arial"/>
          <w:sz w:val="20"/>
          <w:szCs w:val="20"/>
        </w:rPr>
        <w:t>:</w:t>
      </w:r>
      <w:r w:rsidRPr="00D832B3">
        <w:rPr>
          <w:rFonts w:ascii="Arial" w:hAnsi="Arial" w:cs="Arial"/>
          <w:sz w:val="20"/>
          <w:szCs w:val="20"/>
        </w:rPr>
        <w:t xml:space="preserve"> KPIs 5.1</w:t>
      </w:r>
      <w:r w:rsidRPr="00CF5ED6">
        <w:rPr>
          <w:rFonts w:ascii="Arial" w:hAnsi="Arial" w:cs="Arial"/>
          <w:sz w:val="20"/>
          <w:szCs w:val="20"/>
        </w:rPr>
        <w:t xml:space="preserve"> and at least one other KPI listed under this outcome</w:t>
      </w:r>
    </w:p>
    <w:p w14:paraId="29CDD0A0" w14:textId="77777777" w:rsidR="00520046" w:rsidRPr="00CF5ED6" w:rsidRDefault="00520046" w:rsidP="00520046">
      <w:pPr>
        <w:pStyle w:val="ListParagraph"/>
        <w:numPr>
          <w:ilvl w:val="0"/>
          <w:numId w:val="5"/>
        </w:numPr>
        <w:rPr>
          <w:rFonts w:ascii="Arial" w:hAnsi="Arial" w:cs="Arial"/>
          <w:sz w:val="20"/>
          <w:szCs w:val="20"/>
        </w:rPr>
      </w:pPr>
      <w:r w:rsidRPr="008F1075">
        <w:rPr>
          <w:rFonts w:ascii="Arial" w:hAnsi="Arial" w:cs="Arial"/>
          <w:sz w:val="20"/>
          <w:szCs w:val="20"/>
        </w:rPr>
        <w:t xml:space="preserve">Outcome </w:t>
      </w:r>
      <w:r>
        <w:rPr>
          <w:rFonts w:ascii="Arial" w:hAnsi="Arial" w:cs="Arial"/>
          <w:sz w:val="20"/>
          <w:szCs w:val="20"/>
        </w:rPr>
        <w:t>six:</w:t>
      </w:r>
      <w:r w:rsidRPr="008F1075">
        <w:rPr>
          <w:rFonts w:ascii="Arial" w:hAnsi="Arial" w:cs="Arial"/>
          <w:sz w:val="20"/>
          <w:szCs w:val="20"/>
        </w:rPr>
        <w:t xml:space="preserve"> </w:t>
      </w:r>
      <w:r>
        <w:rPr>
          <w:rFonts w:ascii="Arial" w:hAnsi="Arial" w:cs="Arial"/>
          <w:sz w:val="20"/>
          <w:szCs w:val="20"/>
        </w:rPr>
        <w:t>all KPIs listed under this outcome.</w:t>
      </w:r>
    </w:p>
    <w:p w14:paraId="354A6346" w14:textId="34015E84" w:rsidR="00965686" w:rsidRPr="00965686" w:rsidRDefault="00520046" w:rsidP="00520046">
      <w:pPr>
        <w:rPr>
          <w:rFonts w:ascii="Arial" w:hAnsi="Arial" w:cs="Arial"/>
          <w:sz w:val="20"/>
          <w:szCs w:val="20"/>
        </w:rPr>
      </w:pPr>
      <w:r w:rsidRPr="00CF5ED6">
        <w:rPr>
          <w:rFonts w:ascii="Arial" w:hAnsi="Arial" w:cs="Arial"/>
          <w:sz w:val="20"/>
          <w:szCs w:val="20"/>
        </w:rPr>
        <w:t xml:space="preserve">During each progress </w:t>
      </w:r>
      <w:r w:rsidRPr="00A54690">
        <w:rPr>
          <w:rFonts w:ascii="Arial" w:hAnsi="Arial" w:cs="Arial"/>
          <w:sz w:val="20"/>
          <w:szCs w:val="20"/>
        </w:rPr>
        <w:t xml:space="preserve">report </w:t>
      </w:r>
      <w:r>
        <w:rPr>
          <w:rFonts w:ascii="Arial" w:hAnsi="Arial" w:cs="Arial"/>
          <w:sz w:val="20"/>
          <w:szCs w:val="20"/>
        </w:rPr>
        <w:t xml:space="preserve">a </w:t>
      </w:r>
      <w:r w:rsidRPr="00CF5ED6">
        <w:rPr>
          <w:rFonts w:ascii="Arial" w:hAnsi="Arial" w:cs="Arial"/>
          <w:sz w:val="20"/>
          <w:szCs w:val="20"/>
        </w:rPr>
        <w:t>grant</w:t>
      </w:r>
      <w:r>
        <w:rPr>
          <w:rFonts w:ascii="Arial" w:hAnsi="Arial" w:cs="Arial"/>
          <w:sz w:val="20"/>
          <w:szCs w:val="20"/>
        </w:rPr>
        <w:t>ee</w:t>
      </w:r>
      <w:r w:rsidRPr="00D832B3">
        <w:rPr>
          <w:rFonts w:ascii="Arial" w:hAnsi="Arial" w:cs="Arial"/>
          <w:sz w:val="20"/>
          <w:szCs w:val="20"/>
        </w:rPr>
        <w:t xml:space="preserve"> </w:t>
      </w:r>
      <w:r w:rsidRPr="00CF5ED6">
        <w:rPr>
          <w:rFonts w:ascii="Arial" w:hAnsi="Arial" w:cs="Arial"/>
          <w:sz w:val="20"/>
          <w:szCs w:val="20"/>
        </w:rPr>
        <w:t>must provide</w:t>
      </w:r>
      <w:r>
        <w:rPr>
          <w:rFonts w:ascii="Arial" w:hAnsi="Arial" w:cs="Arial"/>
          <w:sz w:val="20"/>
          <w:szCs w:val="20"/>
        </w:rPr>
        <w:t xml:space="preserve"> </w:t>
      </w:r>
      <w:r w:rsidRPr="00CF5ED6">
        <w:rPr>
          <w:rFonts w:ascii="Arial" w:hAnsi="Arial" w:cs="Arial"/>
          <w:sz w:val="20"/>
          <w:szCs w:val="20"/>
        </w:rPr>
        <w:t xml:space="preserve">updated data for each KPI that is identified in their grant agreement. A definition and explanation of how each KPI is </w:t>
      </w:r>
      <w:r w:rsidRPr="00D832B3">
        <w:rPr>
          <w:rFonts w:ascii="Arial" w:hAnsi="Arial" w:cs="Arial"/>
          <w:sz w:val="20"/>
          <w:szCs w:val="20"/>
        </w:rPr>
        <w:t xml:space="preserve">to be collected is provided in </w:t>
      </w:r>
      <w:r>
        <w:rPr>
          <w:rFonts w:ascii="Arial" w:hAnsi="Arial" w:cs="Arial"/>
          <w:sz w:val="20"/>
          <w:szCs w:val="20"/>
        </w:rPr>
        <w:t>T</w:t>
      </w:r>
      <w:r w:rsidRPr="00D832B3">
        <w:rPr>
          <w:rFonts w:ascii="Arial" w:hAnsi="Arial" w:cs="Arial"/>
          <w:sz w:val="20"/>
          <w:szCs w:val="20"/>
        </w:rPr>
        <w:t xml:space="preserve">able </w:t>
      </w:r>
      <w:r w:rsidRPr="00CF5ED6">
        <w:rPr>
          <w:rFonts w:ascii="Arial" w:hAnsi="Arial" w:cs="Arial"/>
          <w:sz w:val="20"/>
          <w:szCs w:val="20"/>
        </w:rPr>
        <w:t xml:space="preserve">1 and must be followed. </w:t>
      </w:r>
    </w:p>
    <w:tbl>
      <w:tblPr>
        <w:tblStyle w:val="TableGrid1"/>
        <w:tblW w:w="9923" w:type="dxa"/>
        <w:tblInd w:w="-572" w:type="dxa"/>
        <w:tblLook w:val="04A0" w:firstRow="1" w:lastRow="0" w:firstColumn="1" w:lastColumn="0" w:noHBand="0" w:noVBand="1"/>
      </w:tblPr>
      <w:tblGrid>
        <w:gridCol w:w="2552"/>
        <w:gridCol w:w="3402"/>
        <w:gridCol w:w="3969"/>
      </w:tblGrid>
      <w:tr w:rsidR="00520046" w:rsidRPr="00E27305" w14:paraId="7FE0E984" w14:textId="77777777" w:rsidTr="008633F4">
        <w:trPr>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18329A1" w14:textId="77777777" w:rsidR="00520046" w:rsidRPr="00E27305" w:rsidRDefault="00520046" w:rsidP="008633F4">
            <w:pPr>
              <w:rPr>
                <w:rFonts w:ascii="Arial" w:hAnsi="Arial" w:cs="Arial"/>
                <w:b/>
                <w:szCs w:val="20"/>
              </w:rPr>
            </w:pPr>
            <w:r>
              <w:rPr>
                <w:rFonts w:ascii="Arial" w:hAnsi="Arial" w:cs="Arial"/>
                <w:b/>
                <w:szCs w:val="20"/>
              </w:rPr>
              <w:t>Table 1: Schools Pathways Program Open Competitive Grant Opportunity Outcomes and Key Performance Indicators</w:t>
            </w:r>
          </w:p>
        </w:tc>
      </w:tr>
      <w:tr w:rsidR="00520046" w:rsidRPr="00E27305" w14:paraId="57478C1C" w14:textId="77777777" w:rsidTr="008633F4">
        <w:trPr>
          <w:tblHeader/>
        </w:trPr>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6B5999" w14:textId="77777777" w:rsidR="00520046" w:rsidRPr="00CF5ED6" w:rsidRDefault="00520046" w:rsidP="008633F4">
            <w:pPr>
              <w:rPr>
                <w:rFonts w:ascii="Arial" w:hAnsi="Arial" w:cs="Arial"/>
                <w:b/>
                <w:szCs w:val="20"/>
              </w:rPr>
            </w:pPr>
            <w:r w:rsidRPr="00CF5ED6">
              <w:rPr>
                <w:rFonts w:ascii="Arial" w:hAnsi="Arial" w:cs="Arial"/>
                <w:b/>
                <w:szCs w:val="20"/>
              </w:rPr>
              <w:t>Outcome</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592B1C" w14:textId="77777777" w:rsidR="00520046" w:rsidRPr="00CF5ED6" w:rsidRDefault="00520046" w:rsidP="008633F4">
            <w:pPr>
              <w:rPr>
                <w:rFonts w:ascii="Arial" w:hAnsi="Arial" w:cs="Arial"/>
                <w:b/>
                <w:szCs w:val="20"/>
              </w:rPr>
            </w:pPr>
            <w:r w:rsidRPr="00CF5ED6">
              <w:rPr>
                <w:rFonts w:ascii="Arial" w:hAnsi="Arial" w:cs="Arial"/>
                <w:b/>
                <w:szCs w:val="20"/>
              </w:rPr>
              <w:t>Key Performance Indicator</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tcPr>
          <w:p w14:paraId="46D793A2" w14:textId="77777777" w:rsidR="00520046" w:rsidRPr="00CF5ED6" w:rsidRDefault="00520046" w:rsidP="008633F4">
            <w:pPr>
              <w:rPr>
                <w:rFonts w:ascii="Arial" w:hAnsi="Arial" w:cs="Arial"/>
                <w:b/>
                <w:szCs w:val="20"/>
              </w:rPr>
            </w:pPr>
            <w:r w:rsidRPr="00CF5ED6">
              <w:rPr>
                <w:rFonts w:ascii="Arial" w:hAnsi="Arial" w:cs="Arial"/>
                <w:b/>
                <w:szCs w:val="20"/>
              </w:rPr>
              <w:t>Definition</w:t>
            </w:r>
          </w:p>
        </w:tc>
      </w:tr>
      <w:tr w:rsidR="00520046" w:rsidRPr="00E27305" w14:paraId="13CAC864" w14:textId="77777777" w:rsidTr="008633F4">
        <w:tc>
          <w:tcPr>
            <w:tcW w:w="2552" w:type="dxa"/>
            <w:vMerge w:val="restart"/>
            <w:tcBorders>
              <w:top w:val="single" w:sz="4" w:space="0" w:color="auto"/>
              <w:left w:val="single" w:sz="4" w:space="0" w:color="auto"/>
              <w:bottom w:val="single" w:sz="4" w:space="0" w:color="auto"/>
              <w:right w:val="single" w:sz="4" w:space="0" w:color="auto"/>
            </w:tcBorders>
          </w:tcPr>
          <w:p w14:paraId="6ED6FB57" w14:textId="77777777" w:rsidR="00520046" w:rsidRPr="00CF5ED6" w:rsidRDefault="00520046" w:rsidP="008633F4">
            <w:pPr>
              <w:rPr>
                <w:rFonts w:ascii="Arial" w:hAnsi="Arial" w:cs="Arial"/>
                <w:sz w:val="20"/>
                <w:szCs w:val="20"/>
              </w:rPr>
            </w:pPr>
            <w:r w:rsidRPr="00CF5ED6">
              <w:rPr>
                <w:rFonts w:ascii="Arial" w:hAnsi="Arial" w:cs="Arial"/>
                <w:b/>
                <w:sz w:val="20"/>
                <w:szCs w:val="20"/>
              </w:rPr>
              <w:t xml:space="preserve">Outcome One - </w:t>
            </w:r>
            <w:r w:rsidRPr="00CF5ED6">
              <w:rPr>
                <w:rFonts w:ascii="Arial" w:hAnsi="Arial" w:cs="Arial"/>
                <w:sz w:val="20"/>
                <w:szCs w:val="20"/>
              </w:rPr>
              <w:t>Secondary school students, teachers and parents/caregivers have a knowledge of defence industry</w:t>
            </w:r>
          </w:p>
          <w:p w14:paraId="48752B65" w14:textId="77777777" w:rsidR="00520046" w:rsidRDefault="00520046" w:rsidP="008633F4">
            <w:pPr>
              <w:rPr>
                <w:rFonts w:ascii="Arial" w:hAnsi="Arial" w:cs="Arial"/>
                <w:sz w:val="20"/>
                <w:szCs w:val="20"/>
              </w:rPr>
            </w:pPr>
          </w:p>
          <w:p w14:paraId="520EA605" w14:textId="77777777" w:rsidR="00520046" w:rsidRPr="00CF5ED6" w:rsidRDefault="00520046" w:rsidP="008633F4">
            <w:pPr>
              <w:rPr>
                <w:rFonts w:ascii="Arial" w:hAnsi="Arial" w:cs="Arial"/>
                <w:i/>
                <w:sz w:val="20"/>
                <w:szCs w:val="20"/>
              </w:rPr>
            </w:pPr>
            <w:r>
              <w:rPr>
                <w:rFonts w:ascii="Arial" w:hAnsi="Arial" w:cs="Arial"/>
                <w:i/>
                <w:sz w:val="20"/>
                <w:szCs w:val="20"/>
              </w:rPr>
              <w:t>A project must be able to collect data for all of the KPIs listed under this outcome</w:t>
            </w:r>
          </w:p>
        </w:tc>
        <w:tc>
          <w:tcPr>
            <w:tcW w:w="3402" w:type="dxa"/>
            <w:tcBorders>
              <w:top w:val="single" w:sz="4" w:space="0" w:color="auto"/>
              <w:left w:val="single" w:sz="4" w:space="0" w:color="auto"/>
              <w:bottom w:val="single" w:sz="4" w:space="0" w:color="auto"/>
              <w:right w:val="single" w:sz="4" w:space="0" w:color="auto"/>
            </w:tcBorders>
          </w:tcPr>
          <w:p w14:paraId="1703EFFA" w14:textId="77777777" w:rsidR="00520046" w:rsidRPr="00CF5ED6" w:rsidRDefault="00520046" w:rsidP="008633F4">
            <w:pPr>
              <w:rPr>
                <w:rFonts w:ascii="Arial" w:hAnsi="Arial" w:cs="Arial"/>
                <w:sz w:val="20"/>
                <w:szCs w:val="20"/>
              </w:rPr>
            </w:pPr>
            <w:r w:rsidRPr="00CF5ED6">
              <w:rPr>
                <w:rFonts w:ascii="Arial" w:hAnsi="Arial" w:cs="Arial"/>
                <w:b/>
                <w:sz w:val="20"/>
                <w:szCs w:val="20"/>
              </w:rPr>
              <w:t>KPI 1.1 -</w:t>
            </w:r>
            <w:r w:rsidRPr="00CF5ED6">
              <w:rPr>
                <w:rFonts w:ascii="Arial" w:hAnsi="Arial" w:cs="Arial"/>
                <w:sz w:val="20"/>
                <w:szCs w:val="20"/>
              </w:rPr>
              <w:t xml:space="preserve"> Number of students who can</w:t>
            </w:r>
            <w:r>
              <w:rPr>
                <w:rFonts w:ascii="Arial" w:hAnsi="Arial" w:cs="Arial"/>
                <w:sz w:val="20"/>
                <w:szCs w:val="20"/>
              </w:rPr>
              <w:t xml:space="preserve"> </w:t>
            </w:r>
            <w:r w:rsidRPr="00CF5ED6">
              <w:rPr>
                <w:rFonts w:ascii="Arial" w:hAnsi="Arial" w:cs="Arial"/>
                <w:sz w:val="20"/>
                <w:szCs w:val="20"/>
              </w:rPr>
              <w:t>correctly define defence industry</w:t>
            </w:r>
          </w:p>
        </w:tc>
        <w:tc>
          <w:tcPr>
            <w:tcW w:w="3969" w:type="dxa"/>
            <w:tcBorders>
              <w:top w:val="single" w:sz="4" w:space="0" w:color="auto"/>
              <w:left w:val="single" w:sz="4" w:space="0" w:color="auto"/>
              <w:bottom w:val="single" w:sz="4" w:space="0" w:color="auto"/>
              <w:right w:val="single" w:sz="4" w:space="0" w:color="auto"/>
            </w:tcBorders>
          </w:tcPr>
          <w:p w14:paraId="0D19FB5A"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can define defence industry.  A standard definition of defence industry aligning with the </w:t>
            </w:r>
            <w:r w:rsidRPr="00CF5ED6">
              <w:rPr>
                <w:rFonts w:ascii="Arial" w:hAnsi="Arial" w:cs="Arial"/>
                <w:i/>
                <w:sz w:val="20"/>
                <w:szCs w:val="20"/>
              </w:rPr>
              <w:t>Defence Industry Development Strategy 2024</w:t>
            </w:r>
            <w:r w:rsidRPr="00CF5ED6">
              <w:rPr>
                <w:rStyle w:val="FootnoteReference"/>
                <w:rFonts w:ascii="Arial" w:hAnsi="Arial" w:cs="Arial"/>
                <w:i/>
                <w:sz w:val="20"/>
                <w:szCs w:val="20"/>
              </w:rPr>
              <w:footnoteReference w:id="1"/>
            </w:r>
            <w:r w:rsidRPr="00CF5ED6">
              <w:rPr>
                <w:rFonts w:ascii="Arial" w:hAnsi="Arial" w:cs="Arial"/>
                <w:sz w:val="20"/>
                <w:szCs w:val="20"/>
              </w:rPr>
              <w:t xml:space="preserve"> is included in the Schools Pathways Program Open Competitive Grant Opportunity guidelines. For students, a more accessible approach to the definition is adapted from the Commonwealth’s defence industry website (</w:t>
            </w:r>
            <w:hyperlink r:id="rId12" w:history="1">
              <w:r w:rsidRPr="00CF5ED6">
                <w:rPr>
                  <w:rStyle w:val="Hyperlink"/>
                  <w:rFonts w:ascii="Arial" w:hAnsi="Arial" w:cs="Arial"/>
                  <w:sz w:val="20"/>
                  <w:szCs w:val="20"/>
                </w:rPr>
                <w:t>www.defenceindustry.gov.au/about</w:t>
              </w:r>
            </w:hyperlink>
            <w:r w:rsidRPr="00CF5ED6">
              <w:rPr>
                <w:rFonts w:ascii="Arial" w:hAnsi="Arial" w:cs="Arial"/>
                <w:sz w:val="20"/>
                <w:szCs w:val="20"/>
              </w:rPr>
              <w:t xml:space="preserve">. Either of these current definitions would </w:t>
            </w:r>
            <w:r w:rsidRPr="00CF5ED6">
              <w:rPr>
                <w:rFonts w:ascii="Arial" w:hAnsi="Arial" w:cs="Arial"/>
                <w:sz w:val="20"/>
                <w:szCs w:val="20"/>
              </w:rPr>
              <w:lastRenderedPageBreak/>
              <w:t>be considered ‘correct’ for the purposes of the KPI, noting definitions of defence industry may be updated in the future.</w:t>
            </w:r>
          </w:p>
          <w:p w14:paraId="38CC61A5" w14:textId="77777777" w:rsidR="00520046" w:rsidRPr="00CF5ED6" w:rsidRDefault="00520046" w:rsidP="008633F4">
            <w:pPr>
              <w:rPr>
                <w:rFonts w:ascii="Arial" w:hAnsi="Arial" w:cs="Arial"/>
                <w:b/>
                <w:sz w:val="20"/>
                <w:szCs w:val="20"/>
              </w:rPr>
            </w:pPr>
          </w:p>
        </w:tc>
      </w:tr>
      <w:tr w:rsidR="00520046" w:rsidRPr="00E27305" w14:paraId="24A4D8A4"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657668D0"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A9FCE28" w14:textId="77777777" w:rsidR="00520046" w:rsidRPr="00CF5ED6" w:rsidRDefault="00520046" w:rsidP="008633F4">
            <w:pPr>
              <w:rPr>
                <w:rFonts w:ascii="Arial" w:hAnsi="Arial" w:cs="Arial"/>
                <w:sz w:val="20"/>
                <w:szCs w:val="20"/>
                <w:vertAlign w:val="superscript"/>
              </w:rPr>
            </w:pPr>
            <w:r w:rsidRPr="00CF5ED6">
              <w:rPr>
                <w:rFonts w:ascii="Arial" w:hAnsi="Arial" w:cs="Arial"/>
                <w:b/>
                <w:sz w:val="20"/>
                <w:szCs w:val="20"/>
              </w:rPr>
              <w:t>KPI 1.2 -</w:t>
            </w:r>
            <w:r w:rsidRPr="00CF5ED6">
              <w:rPr>
                <w:rFonts w:ascii="Arial" w:hAnsi="Arial" w:cs="Arial"/>
                <w:sz w:val="20"/>
                <w:szCs w:val="20"/>
              </w:rPr>
              <w:t xml:space="preserve"> Number of teachers who can correctly define defence industry</w:t>
            </w:r>
          </w:p>
        </w:tc>
        <w:tc>
          <w:tcPr>
            <w:tcW w:w="3969" w:type="dxa"/>
            <w:tcBorders>
              <w:top w:val="single" w:sz="4" w:space="0" w:color="auto"/>
              <w:left w:val="single" w:sz="4" w:space="0" w:color="auto"/>
              <w:bottom w:val="single" w:sz="4" w:space="0" w:color="auto"/>
              <w:right w:val="single" w:sz="4" w:space="0" w:color="auto"/>
            </w:tcBorders>
          </w:tcPr>
          <w:p w14:paraId="2FB478CC"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w:t>
            </w:r>
            <w:r>
              <w:rPr>
                <w:rFonts w:ascii="Arial" w:hAnsi="Arial" w:cs="Arial"/>
                <w:sz w:val="20"/>
                <w:szCs w:val="20"/>
              </w:rPr>
              <w:t>teachers</w:t>
            </w:r>
            <w:r w:rsidRPr="00CF5ED6">
              <w:rPr>
                <w:rFonts w:ascii="Arial" w:hAnsi="Arial" w:cs="Arial"/>
                <w:sz w:val="20"/>
                <w:szCs w:val="20"/>
              </w:rPr>
              <w:t xml:space="preserve"> who can define defence industry. A standard definition of defence industry aligning with the </w:t>
            </w:r>
            <w:r w:rsidRPr="00CF5ED6">
              <w:rPr>
                <w:rFonts w:ascii="Arial" w:hAnsi="Arial" w:cs="Arial"/>
                <w:i/>
                <w:sz w:val="20"/>
                <w:szCs w:val="20"/>
              </w:rPr>
              <w:t>Defence Industry Development Strategy 2024</w:t>
            </w:r>
            <w:r w:rsidRPr="00CF5ED6">
              <w:rPr>
                <w:rFonts w:ascii="Arial" w:hAnsi="Arial" w:cs="Arial"/>
                <w:sz w:val="20"/>
                <w:szCs w:val="20"/>
              </w:rPr>
              <w:t xml:space="preserve"> is included in the Schools Pathways Program Open Competitive Grant Opportunity guidelines. A more accessible approach to the definition is adapted from the Commonwealth’s defence industry website (</w:t>
            </w:r>
            <w:hyperlink r:id="rId13" w:history="1">
              <w:r w:rsidRPr="00CF5ED6">
                <w:rPr>
                  <w:rStyle w:val="Hyperlink"/>
                  <w:rFonts w:ascii="Arial" w:hAnsi="Arial" w:cs="Arial"/>
                  <w:sz w:val="20"/>
                  <w:szCs w:val="20"/>
                </w:rPr>
                <w:t>www.defenceindustry.gov.au/about</w:t>
              </w:r>
            </w:hyperlink>
            <w:r w:rsidRPr="00CF5ED6">
              <w:rPr>
                <w:rFonts w:ascii="Arial" w:hAnsi="Arial" w:cs="Arial"/>
                <w:sz w:val="20"/>
                <w:szCs w:val="20"/>
              </w:rPr>
              <w:t>. Either of these current definitions would be considered ‘correct’ for the purposes of the KPI, noting definitions of defence industry may be updated in the future.</w:t>
            </w:r>
          </w:p>
          <w:p w14:paraId="398B00A7" w14:textId="77777777" w:rsidR="00520046" w:rsidRPr="00CF5ED6" w:rsidRDefault="00520046" w:rsidP="008633F4">
            <w:pPr>
              <w:rPr>
                <w:rFonts w:ascii="Arial" w:hAnsi="Arial" w:cs="Arial"/>
                <w:sz w:val="20"/>
                <w:szCs w:val="20"/>
              </w:rPr>
            </w:pPr>
          </w:p>
        </w:tc>
      </w:tr>
      <w:tr w:rsidR="00520046" w:rsidRPr="00E27305" w14:paraId="0650C926"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6317DA7A"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5255E6D" w14:textId="77777777" w:rsidR="00520046" w:rsidRPr="00CF5ED6" w:rsidRDefault="00520046" w:rsidP="008633F4">
            <w:pPr>
              <w:rPr>
                <w:rFonts w:ascii="Arial" w:hAnsi="Arial" w:cs="Arial"/>
                <w:sz w:val="20"/>
                <w:szCs w:val="20"/>
              </w:rPr>
            </w:pPr>
            <w:r w:rsidRPr="00CF5ED6">
              <w:rPr>
                <w:rFonts w:ascii="Arial" w:hAnsi="Arial" w:cs="Arial"/>
                <w:b/>
                <w:sz w:val="20"/>
                <w:szCs w:val="20"/>
              </w:rPr>
              <w:t>KPI 1.3 -</w:t>
            </w:r>
            <w:r w:rsidRPr="00CF5ED6">
              <w:rPr>
                <w:rFonts w:ascii="Arial" w:hAnsi="Arial" w:cs="Arial"/>
                <w:sz w:val="20"/>
                <w:szCs w:val="20"/>
              </w:rPr>
              <w:t xml:space="preserve"> Number of parents/caregivers who have been provided with information about defence industry</w:t>
            </w:r>
          </w:p>
          <w:p w14:paraId="25A448DA" w14:textId="77777777" w:rsidR="00520046" w:rsidRPr="00CF5ED6" w:rsidRDefault="00520046" w:rsidP="008633F4">
            <w:pPr>
              <w:rPr>
                <w:rFonts w:ascii="Arial" w:hAnsi="Arial" w:cs="Arial"/>
                <w:sz w:val="20"/>
                <w:szCs w:val="20"/>
              </w:rPr>
            </w:pPr>
          </w:p>
          <w:p w14:paraId="2A8B9116" w14:textId="77777777" w:rsidR="00520046" w:rsidRPr="00CF5ED6" w:rsidRDefault="00520046" w:rsidP="008633F4">
            <w:pPr>
              <w:rPr>
                <w:rFonts w:ascii="Arial" w:hAnsi="Arial" w:cs="Arial"/>
                <w:sz w:val="20"/>
                <w:szCs w:val="20"/>
              </w:rPr>
            </w:pPr>
          </w:p>
          <w:p w14:paraId="4749D42E" w14:textId="77777777" w:rsidR="00520046" w:rsidRPr="00CF5ED6" w:rsidRDefault="00520046" w:rsidP="008633F4">
            <w:pPr>
              <w:tabs>
                <w:tab w:val="left" w:pos="1370"/>
              </w:tabs>
              <w:rPr>
                <w:rFonts w:ascii="Arial" w:hAnsi="Arial" w:cs="Arial"/>
                <w:sz w:val="20"/>
                <w:szCs w:val="20"/>
              </w:rPr>
            </w:pPr>
            <w:r w:rsidRPr="00CF5ED6">
              <w:rPr>
                <w:rFonts w:ascii="Arial" w:hAnsi="Arial" w:cs="Arial"/>
                <w:sz w:val="20"/>
                <w:szCs w:val="20"/>
              </w:rPr>
              <w:tab/>
            </w:r>
          </w:p>
        </w:tc>
        <w:tc>
          <w:tcPr>
            <w:tcW w:w="3969" w:type="dxa"/>
            <w:tcBorders>
              <w:top w:val="single" w:sz="4" w:space="0" w:color="auto"/>
              <w:left w:val="single" w:sz="4" w:space="0" w:color="auto"/>
              <w:bottom w:val="single" w:sz="4" w:space="0" w:color="auto"/>
              <w:right w:val="single" w:sz="4" w:space="0" w:color="auto"/>
            </w:tcBorders>
          </w:tcPr>
          <w:p w14:paraId="765DC4B8" w14:textId="77777777" w:rsidR="00520046" w:rsidRPr="00CF5ED6" w:rsidRDefault="00520046" w:rsidP="008633F4">
            <w:pPr>
              <w:rPr>
                <w:rFonts w:ascii="Arial" w:hAnsi="Arial" w:cs="Arial"/>
                <w:b/>
                <w:sz w:val="20"/>
                <w:szCs w:val="20"/>
              </w:rPr>
            </w:pPr>
            <w:r w:rsidRPr="00CF5ED6">
              <w:rPr>
                <w:rFonts w:ascii="Arial" w:hAnsi="Arial" w:cs="Arial"/>
                <w:sz w:val="20"/>
                <w:szCs w:val="20"/>
              </w:rPr>
              <w:t>This data point aims to identify the number of parents who have been engaged with through the distribution of information about defence industry. Exposure to information is being used as a proxy measure of knowledge in this KPI. Through communications, parents/caregivers will have resources available to help them facilitate conversations about defence industry with young people.  The data entry for this KPI may be equal to the entry for Participation Data #3</w:t>
            </w:r>
          </w:p>
        </w:tc>
      </w:tr>
      <w:tr w:rsidR="00520046" w:rsidRPr="00E27305" w14:paraId="0CC08208"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6441657C"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BDF261B" w14:textId="77777777" w:rsidR="00520046" w:rsidRPr="00CF5ED6" w:rsidRDefault="00520046" w:rsidP="008633F4">
            <w:pPr>
              <w:rPr>
                <w:rFonts w:ascii="Arial" w:hAnsi="Arial" w:cs="Arial"/>
                <w:sz w:val="20"/>
                <w:szCs w:val="20"/>
              </w:rPr>
            </w:pPr>
            <w:r w:rsidRPr="00CF5ED6">
              <w:rPr>
                <w:rFonts w:ascii="Arial" w:hAnsi="Arial" w:cs="Arial"/>
                <w:b/>
                <w:sz w:val="20"/>
                <w:szCs w:val="20"/>
              </w:rPr>
              <w:t>KPI 1.4 -</w:t>
            </w:r>
            <w:r w:rsidRPr="00CF5ED6">
              <w:rPr>
                <w:rFonts w:ascii="Arial" w:hAnsi="Arial" w:cs="Arial"/>
                <w:sz w:val="20"/>
                <w:szCs w:val="20"/>
              </w:rPr>
              <w:t xml:space="preserve"> Number of teachers who as a result of participation in the projects activities integrate real life examples of defence industry into their teaching.</w:t>
            </w:r>
          </w:p>
        </w:tc>
        <w:tc>
          <w:tcPr>
            <w:tcW w:w="3969" w:type="dxa"/>
            <w:tcBorders>
              <w:top w:val="single" w:sz="4" w:space="0" w:color="auto"/>
              <w:left w:val="single" w:sz="4" w:space="0" w:color="auto"/>
              <w:bottom w:val="single" w:sz="4" w:space="0" w:color="auto"/>
              <w:right w:val="single" w:sz="4" w:space="0" w:color="auto"/>
            </w:tcBorders>
          </w:tcPr>
          <w:p w14:paraId="7AC5AE66" w14:textId="77777777" w:rsidR="00520046" w:rsidRPr="00CF5ED6" w:rsidRDefault="00520046" w:rsidP="008633F4">
            <w:pPr>
              <w:ind w:left="31"/>
              <w:rPr>
                <w:rFonts w:ascii="Arial" w:hAnsi="Arial" w:cs="Arial"/>
                <w:sz w:val="20"/>
                <w:szCs w:val="20"/>
              </w:rPr>
            </w:pPr>
            <w:r w:rsidRPr="00CF5ED6">
              <w:rPr>
                <w:rFonts w:ascii="Arial" w:hAnsi="Arial" w:cs="Arial"/>
                <w:sz w:val="20"/>
                <w:szCs w:val="20"/>
              </w:rPr>
              <w:t xml:space="preserve">This data point aims to identify the number of teachers who as a result of SPP activities and connections to defence industry can present students with real-life examples of defence industry work and careers into their teaching.  Real-life examples could come from a range of sources, including but not limited to, for example, career case studies, ‘a day in the life’ scenarios, presentations from industry etc.  </w:t>
            </w:r>
          </w:p>
        </w:tc>
      </w:tr>
      <w:tr w:rsidR="00520046" w:rsidRPr="00E27305" w14:paraId="5943F9F9" w14:textId="77777777" w:rsidTr="008633F4">
        <w:tc>
          <w:tcPr>
            <w:tcW w:w="2552" w:type="dxa"/>
            <w:vMerge w:val="restart"/>
            <w:tcBorders>
              <w:top w:val="single" w:sz="4" w:space="0" w:color="auto"/>
              <w:left w:val="single" w:sz="4" w:space="0" w:color="auto"/>
              <w:bottom w:val="single" w:sz="4" w:space="0" w:color="auto"/>
              <w:right w:val="single" w:sz="4" w:space="0" w:color="auto"/>
            </w:tcBorders>
            <w:hideMark/>
          </w:tcPr>
          <w:p w14:paraId="504933DD" w14:textId="77777777" w:rsidR="00520046" w:rsidRDefault="00520046" w:rsidP="008633F4">
            <w:pPr>
              <w:rPr>
                <w:rFonts w:ascii="Arial" w:hAnsi="Arial" w:cs="Arial"/>
                <w:sz w:val="20"/>
                <w:szCs w:val="20"/>
              </w:rPr>
            </w:pPr>
            <w:r w:rsidRPr="00CF5ED6">
              <w:rPr>
                <w:rFonts w:ascii="Arial" w:hAnsi="Arial" w:cs="Arial"/>
                <w:b/>
                <w:sz w:val="20"/>
                <w:szCs w:val="20"/>
              </w:rPr>
              <w:t>Outcome Two -</w:t>
            </w:r>
            <w:r w:rsidRPr="00CF5ED6">
              <w:rPr>
                <w:rFonts w:ascii="Arial" w:hAnsi="Arial" w:cs="Arial"/>
                <w:sz w:val="20"/>
                <w:szCs w:val="20"/>
              </w:rPr>
              <w:t xml:space="preserve"> Secondary school students, teachers and parents/caregivers have a knowledge of the skills required and the secondary and post-</w:t>
            </w:r>
            <w:r w:rsidRPr="00CF5ED6">
              <w:rPr>
                <w:rFonts w:ascii="Arial" w:hAnsi="Arial" w:cs="Arial"/>
                <w:sz w:val="20"/>
                <w:szCs w:val="20"/>
              </w:rPr>
              <w:lastRenderedPageBreak/>
              <w:t>secondary pathways relevant to defence industry careers</w:t>
            </w:r>
          </w:p>
          <w:p w14:paraId="23577FA7" w14:textId="77777777" w:rsidR="00520046" w:rsidRDefault="00520046" w:rsidP="008633F4">
            <w:pPr>
              <w:rPr>
                <w:rFonts w:ascii="Arial" w:hAnsi="Arial" w:cs="Arial"/>
                <w:sz w:val="20"/>
                <w:szCs w:val="20"/>
              </w:rPr>
            </w:pPr>
          </w:p>
          <w:p w14:paraId="6EC8DF64" w14:textId="77777777" w:rsidR="00520046" w:rsidRPr="00CF5ED6" w:rsidRDefault="00520046" w:rsidP="008633F4">
            <w:pPr>
              <w:rPr>
                <w:rFonts w:ascii="Arial" w:hAnsi="Arial" w:cs="Arial"/>
                <w:sz w:val="20"/>
                <w:szCs w:val="20"/>
              </w:rPr>
            </w:pPr>
            <w:r>
              <w:rPr>
                <w:rFonts w:ascii="Arial" w:hAnsi="Arial" w:cs="Arial"/>
                <w:i/>
                <w:sz w:val="20"/>
                <w:szCs w:val="20"/>
              </w:rPr>
              <w:t>A project must be able to collect data for all of the KPIs listed under this outcome</w:t>
            </w:r>
          </w:p>
        </w:tc>
        <w:tc>
          <w:tcPr>
            <w:tcW w:w="3402" w:type="dxa"/>
            <w:tcBorders>
              <w:top w:val="single" w:sz="4" w:space="0" w:color="auto"/>
              <w:left w:val="single" w:sz="4" w:space="0" w:color="auto"/>
              <w:bottom w:val="single" w:sz="4" w:space="0" w:color="auto"/>
              <w:right w:val="single" w:sz="4" w:space="0" w:color="auto"/>
            </w:tcBorders>
            <w:hideMark/>
          </w:tcPr>
          <w:p w14:paraId="2B2EE23C" w14:textId="77777777" w:rsidR="00520046" w:rsidRPr="00CF5ED6" w:rsidRDefault="00520046" w:rsidP="008633F4">
            <w:pPr>
              <w:rPr>
                <w:rFonts w:ascii="Arial" w:hAnsi="Arial" w:cs="Arial"/>
                <w:sz w:val="20"/>
                <w:szCs w:val="20"/>
              </w:rPr>
            </w:pPr>
            <w:r w:rsidRPr="00CF5ED6">
              <w:rPr>
                <w:rFonts w:ascii="Arial" w:hAnsi="Arial" w:cs="Arial"/>
                <w:b/>
                <w:sz w:val="20"/>
                <w:szCs w:val="20"/>
              </w:rPr>
              <w:lastRenderedPageBreak/>
              <w:t>KPI 2.1 -</w:t>
            </w:r>
            <w:r w:rsidRPr="00CF5ED6">
              <w:rPr>
                <w:rFonts w:ascii="Arial" w:hAnsi="Arial" w:cs="Arial"/>
                <w:sz w:val="20"/>
                <w:szCs w:val="20"/>
              </w:rPr>
              <w:t xml:space="preserve"> Number of students who can correctly identify the skills required for defence industry careers</w:t>
            </w:r>
          </w:p>
        </w:tc>
        <w:tc>
          <w:tcPr>
            <w:tcW w:w="3969" w:type="dxa"/>
            <w:tcBorders>
              <w:top w:val="single" w:sz="4" w:space="0" w:color="auto"/>
              <w:left w:val="single" w:sz="4" w:space="0" w:color="auto"/>
              <w:bottom w:val="single" w:sz="4" w:space="0" w:color="auto"/>
              <w:right w:val="single" w:sz="4" w:space="0" w:color="auto"/>
            </w:tcBorders>
          </w:tcPr>
          <w:p w14:paraId="40A9E8A5"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can correctly identify skills required for defence industry careers. A possible approach is for students to be asked to select one or more skills that appear on an agreed list of relevant skills for defence industry </w:t>
            </w:r>
            <w:r w:rsidRPr="00CF5ED6">
              <w:rPr>
                <w:rFonts w:ascii="Arial" w:hAnsi="Arial" w:cs="Arial"/>
                <w:sz w:val="20"/>
                <w:szCs w:val="20"/>
              </w:rPr>
              <w:lastRenderedPageBreak/>
              <w:t>careers over skills that do not appear on the list.  The South Australian Defence Industry Workforce and Skills Report</w:t>
            </w:r>
            <w:r w:rsidRPr="00CF5ED6">
              <w:rPr>
                <w:rStyle w:val="FootnoteReference"/>
                <w:rFonts w:ascii="Arial" w:hAnsi="Arial" w:cs="Arial"/>
                <w:sz w:val="20"/>
                <w:szCs w:val="20"/>
              </w:rPr>
              <w:footnoteReference w:id="2"/>
            </w:r>
            <w:r w:rsidRPr="00CF5ED6">
              <w:rPr>
                <w:rFonts w:ascii="Arial" w:hAnsi="Arial" w:cs="Arial"/>
                <w:sz w:val="20"/>
                <w:szCs w:val="20"/>
              </w:rPr>
              <w:t xml:space="preserve"> will be useful for this purpose.</w:t>
            </w:r>
          </w:p>
          <w:p w14:paraId="514EDB68" w14:textId="77777777" w:rsidR="00520046" w:rsidRPr="00CF5ED6" w:rsidRDefault="00520046" w:rsidP="008633F4">
            <w:pPr>
              <w:rPr>
                <w:rFonts w:ascii="Arial" w:hAnsi="Arial" w:cs="Arial"/>
                <w:sz w:val="20"/>
                <w:szCs w:val="20"/>
              </w:rPr>
            </w:pPr>
          </w:p>
        </w:tc>
      </w:tr>
      <w:tr w:rsidR="00520046" w:rsidRPr="00E27305" w14:paraId="569EFDBF"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1FD9B374"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DC6357D" w14:textId="77777777" w:rsidR="00520046" w:rsidRPr="00CF5ED6" w:rsidRDefault="00520046" w:rsidP="008633F4">
            <w:pPr>
              <w:rPr>
                <w:rFonts w:ascii="Arial" w:hAnsi="Arial" w:cs="Arial"/>
                <w:sz w:val="20"/>
                <w:szCs w:val="20"/>
              </w:rPr>
            </w:pPr>
            <w:r w:rsidRPr="00CF5ED6">
              <w:rPr>
                <w:rFonts w:ascii="Arial" w:hAnsi="Arial" w:cs="Arial"/>
                <w:b/>
                <w:sz w:val="20"/>
                <w:szCs w:val="20"/>
              </w:rPr>
              <w:t>KPI 2.2 -</w:t>
            </w:r>
            <w:r w:rsidRPr="00CF5ED6">
              <w:rPr>
                <w:rFonts w:ascii="Arial" w:hAnsi="Arial" w:cs="Arial"/>
                <w:sz w:val="20"/>
                <w:szCs w:val="20"/>
              </w:rPr>
              <w:t xml:space="preserve"> Number of teachers who can correctly identify the skills required for defence industry careers</w:t>
            </w:r>
          </w:p>
        </w:tc>
        <w:tc>
          <w:tcPr>
            <w:tcW w:w="3969" w:type="dxa"/>
            <w:tcBorders>
              <w:top w:val="single" w:sz="4" w:space="0" w:color="auto"/>
              <w:left w:val="single" w:sz="4" w:space="0" w:color="auto"/>
              <w:bottom w:val="single" w:sz="4" w:space="0" w:color="auto"/>
              <w:right w:val="single" w:sz="4" w:space="0" w:color="auto"/>
            </w:tcBorders>
          </w:tcPr>
          <w:p w14:paraId="37FF0023"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identify the number of teachers who can correctly identify skills required for defence industry careers from a list of skills. A possible approach might be for teachers to be asked to select skills that appear on the agreed list of relevant skills for defence industry careers over other skills.  The South Australian Defence Industry Workforce and Skills Report will be useful for this purpose.</w:t>
            </w:r>
          </w:p>
          <w:p w14:paraId="4CB4FEC7" w14:textId="77777777" w:rsidR="00520046" w:rsidRPr="00CF5ED6" w:rsidRDefault="00520046" w:rsidP="008633F4">
            <w:pPr>
              <w:rPr>
                <w:rFonts w:ascii="Arial" w:hAnsi="Arial" w:cs="Arial"/>
                <w:sz w:val="20"/>
                <w:szCs w:val="20"/>
              </w:rPr>
            </w:pPr>
          </w:p>
        </w:tc>
      </w:tr>
      <w:tr w:rsidR="00520046" w:rsidRPr="00E27305" w14:paraId="535998FB"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2C795FFB"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763E09F" w14:textId="77777777" w:rsidR="00520046" w:rsidRPr="00CF5ED6" w:rsidRDefault="00520046" w:rsidP="008633F4">
            <w:pPr>
              <w:rPr>
                <w:rFonts w:ascii="Arial" w:hAnsi="Arial" w:cs="Arial"/>
                <w:sz w:val="20"/>
                <w:szCs w:val="20"/>
              </w:rPr>
            </w:pPr>
            <w:r w:rsidRPr="00CF5ED6">
              <w:rPr>
                <w:rFonts w:ascii="Arial" w:hAnsi="Arial" w:cs="Arial"/>
                <w:b/>
                <w:sz w:val="20"/>
                <w:szCs w:val="20"/>
              </w:rPr>
              <w:t>KPI 2.3 -</w:t>
            </w:r>
            <w:r w:rsidRPr="00CF5ED6">
              <w:rPr>
                <w:rFonts w:ascii="Arial" w:hAnsi="Arial" w:cs="Arial"/>
                <w:sz w:val="20"/>
                <w:szCs w:val="20"/>
              </w:rPr>
              <w:t xml:space="preserve"> Number of parents/caregivers who have been provided with information about the skills required for defence industry careers</w:t>
            </w:r>
          </w:p>
        </w:tc>
        <w:tc>
          <w:tcPr>
            <w:tcW w:w="3969" w:type="dxa"/>
            <w:tcBorders>
              <w:top w:val="single" w:sz="4" w:space="0" w:color="auto"/>
              <w:left w:val="single" w:sz="4" w:space="0" w:color="auto"/>
              <w:bottom w:val="single" w:sz="4" w:space="0" w:color="auto"/>
              <w:right w:val="single" w:sz="4" w:space="0" w:color="auto"/>
            </w:tcBorders>
          </w:tcPr>
          <w:p w14:paraId="5DAD15B1"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identify the number of parents who have been engaged with through the distribution of information about the skills required for defence industry careers. Exposure is being used as a proxy measure of knowledge in this KPI. Through communications, parents/caregivers will have resources available to them to help facilitate conversations about defence industry with young people.  The entry for this KPI may be equal to the entry for Participation Data #3.</w:t>
            </w:r>
          </w:p>
          <w:p w14:paraId="542610A6" w14:textId="77777777" w:rsidR="00520046" w:rsidRPr="00CF5ED6" w:rsidRDefault="00520046" w:rsidP="008633F4">
            <w:pPr>
              <w:rPr>
                <w:rFonts w:ascii="Arial" w:hAnsi="Arial" w:cs="Arial"/>
                <w:b/>
                <w:sz w:val="20"/>
                <w:szCs w:val="20"/>
              </w:rPr>
            </w:pPr>
          </w:p>
        </w:tc>
      </w:tr>
      <w:tr w:rsidR="00520046" w:rsidRPr="00E27305" w14:paraId="22898D1E"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2F4EA582"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7303B46" w14:textId="77777777" w:rsidR="00520046" w:rsidRPr="00CF5ED6" w:rsidRDefault="00520046" w:rsidP="008633F4">
            <w:pPr>
              <w:rPr>
                <w:rFonts w:ascii="Arial" w:hAnsi="Arial" w:cs="Arial"/>
                <w:sz w:val="20"/>
                <w:szCs w:val="20"/>
              </w:rPr>
            </w:pPr>
            <w:r w:rsidRPr="00CF5ED6">
              <w:rPr>
                <w:rFonts w:ascii="Arial" w:hAnsi="Arial" w:cs="Arial"/>
                <w:b/>
                <w:sz w:val="20"/>
                <w:szCs w:val="20"/>
              </w:rPr>
              <w:t>KPI 2.4 -</w:t>
            </w:r>
            <w:r w:rsidRPr="00CF5ED6">
              <w:rPr>
                <w:rFonts w:ascii="Arial" w:hAnsi="Arial" w:cs="Arial"/>
                <w:sz w:val="20"/>
                <w:szCs w:val="20"/>
              </w:rPr>
              <w:t xml:space="preserve"> Number of students who can correctly identify the secondary and post-secondary school pathways relevant to defence industry careers</w:t>
            </w:r>
          </w:p>
        </w:tc>
        <w:tc>
          <w:tcPr>
            <w:tcW w:w="3969" w:type="dxa"/>
            <w:tcBorders>
              <w:top w:val="single" w:sz="4" w:space="0" w:color="auto"/>
              <w:left w:val="single" w:sz="4" w:space="0" w:color="auto"/>
              <w:bottom w:val="single" w:sz="4" w:space="0" w:color="auto"/>
              <w:right w:val="single" w:sz="4" w:space="0" w:color="auto"/>
            </w:tcBorders>
          </w:tcPr>
          <w:p w14:paraId="105EDE79"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can correctly identify secondary and post-secondary school pathways into defence industry careers. A suggested approach is for students to be asked to select one or more pathways that appear on an agreed list of secondary and post-secondary school pathways relevant to defence industry over pathways that do not appear on the list.  </w:t>
            </w:r>
          </w:p>
        </w:tc>
      </w:tr>
      <w:tr w:rsidR="00520046" w:rsidRPr="00E27305" w14:paraId="4CE24867"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11F7847A"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FA20839" w14:textId="77777777" w:rsidR="00520046" w:rsidRPr="00CF5ED6" w:rsidRDefault="00520046" w:rsidP="008633F4">
            <w:pPr>
              <w:rPr>
                <w:rFonts w:ascii="Arial" w:hAnsi="Arial" w:cs="Arial"/>
                <w:sz w:val="20"/>
                <w:szCs w:val="20"/>
              </w:rPr>
            </w:pPr>
            <w:r w:rsidRPr="00CF5ED6">
              <w:rPr>
                <w:rFonts w:ascii="Arial" w:hAnsi="Arial" w:cs="Arial"/>
                <w:b/>
                <w:sz w:val="20"/>
                <w:szCs w:val="20"/>
              </w:rPr>
              <w:t>KPI 2.5 -</w:t>
            </w:r>
            <w:r w:rsidRPr="00CF5ED6">
              <w:rPr>
                <w:rFonts w:ascii="Arial" w:hAnsi="Arial" w:cs="Arial"/>
                <w:sz w:val="20"/>
                <w:szCs w:val="20"/>
              </w:rPr>
              <w:t xml:space="preserve"> Number of teachers who can correctly identify the secondary and post-secondary school pathways relevant to defence industry careers</w:t>
            </w:r>
          </w:p>
        </w:tc>
        <w:tc>
          <w:tcPr>
            <w:tcW w:w="3969" w:type="dxa"/>
            <w:tcBorders>
              <w:top w:val="single" w:sz="4" w:space="0" w:color="auto"/>
              <w:left w:val="single" w:sz="4" w:space="0" w:color="auto"/>
              <w:bottom w:val="single" w:sz="4" w:space="0" w:color="auto"/>
              <w:right w:val="single" w:sz="4" w:space="0" w:color="auto"/>
            </w:tcBorders>
          </w:tcPr>
          <w:p w14:paraId="66224C9E"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teachers who can correctly identify secondary and post-secondary school pathways into defence industry careers. A suggested approach is for teachers to be asked to select one or more pathways that appear on an agreed list of secondary and post-secondary </w:t>
            </w:r>
            <w:r w:rsidRPr="00CF5ED6">
              <w:rPr>
                <w:rFonts w:ascii="Arial" w:hAnsi="Arial" w:cs="Arial"/>
                <w:sz w:val="20"/>
                <w:szCs w:val="20"/>
              </w:rPr>
              <w:lastRenderedPageBreak/>
              <w:t>school pathways relevant to defence industry over pathways that do not appear on the list.</w:t>
            </w:r>
          </w:p>
        </w:tc>
      </w:tr>
      <w:tr w:rsidR="00520046" w:rsidRPr="00E27305" w14:paraId="532F0212"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20006CB0"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B566A89" w14:textId="77777777" w:rsidR="00520046" w:rsidRPr="00CF5ED6" w:rsidRDefault="00520046" w:rsidP="008633F4">
            <w:pPr>
              <w:rPr>
                <w:rFonts w:ascii="Arial" w:hAnsi="Arial" w:cs="Arial"/>
                <w:b/>
                <w:sz w:val="20"/>
                <w:szCs w:val="20"/>
              </w:rPr>
            </w:pPr>
            <w:r w:rsidRPr="00CF5ED6">
              <w:rPr>
                <w:rFonts w:ascii="Arial" w:hAnsi="Arial" w:cs="Arial"/>
                <w:b/>
                <w:sz w:val="20"/>
                <w:szCs w:val="20"/>
              </w:rPr>
              <w:t>KPI 2.6</w:t>
            </w:r>
            <w:r w:rsidRPr="00CF5ED6">
              <w:rPr>
                <w:rFonts w:ascii="Arial" w:hAnsi="Arial" w:cs="Arial"/>
                <w:sz w:val="20"/>
                <w:szCs w:val="20"/>
              </w:rPr>
              <w:t xml:space="preserve"> </w:t>
            </w:r>
            <w:r w:rsidRPr="00CF5ED6">
              <w:rPr>
                <w:rFonts w:ascii="Arial" w:hAnsi="Arial" w:cs="Arial"/>
                <w:b/>
                <w:sz w:val="20"/>
                <w:szCs w:val="20"/>
              </w:rPr>
              <w:t>-</w:t>
            </w:r>
            <w:r w:rsidRPr="00CF5ED6">
              <w:rPr>
                <w:rFonts w:ascii="Arial" w:hAnsi="Arial" w:cs="Arial"/>
                <w:sz w:val="20"/>
                <w:szCs w:val="20"/>
              </w:rPr>
              <w:t xml:space="preserve"> Number of parents/caregivers who have been provided with information about secondary and post-secondary pathways relevant to defence industry</w:t>
            </w:r>
            <w:r w:rsidRPr="00CF5ED6">
              <w:rPr>
                <w:rFonts w:ascii="Arial" w:hAnsi="Arial" w:cs="Arial"/>
                <w:b/>
                <w:sz w:val="20"/>
                <w:szCs w:val="20"/>
              </w:rPr>
              <w:t xml:space="preserve"> </w:t>
            </w:r>
            <w:r w:rsidRPr="00CF5ED6">
              <w:rPr>
                <w:rFonts w:ascii="Arial" w:hAnsi="Arial" w:cs="Arial"/>
                <w:sz w:val="20"/>
                <w:szCs w:val="20"/>
              </w:rPr>
              <w:t>careers</w:t>
            </w:r>
          </w:p>
        </w:tc>
        <w:tc>
          <w:tcPr>
            <w:tcW w:w="3969" w:type="dxa"/>
            <w:tcBorders>
              <w:top w:val="single" w:sz="4" w:space="0" w:color="auto"/>
              <w:left w:val="single" w:sz="4" w:space="0" w:color="auto"/>
              <w:bottom w:val="single" w:sz="4" w:space="0" w:color="auto"/>
              <w:right w:val="single" w:sz="4" w:space="0" w:color="auto"/>
            </w:tcBorders>
          </w:tcPr>
          <w:p w14:paraId="4D41F85D"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identify the number of parents who have been engaged with through the distribution of information about secondary and post-secondary school pathways relevant to defence industry careers. Exposure data is being used as a proxy measure of knowledge in this KPI. Through communications, parents/caregivers will have resources available to them to help facilitate conversations about defence industry with young people.  The entry for this KPI may be equal to the entry for Participation Data #3.</w:t>
            </w:r>
          </w:p>
          <w:p w14:paraId="76E1E584" w14:textId="77777777" w:rsidR="00520046" w:rsidRPr="00CF5ED6" w:rsidRDefault="00520046" w:rsidP="008633F4">
            <w:pPr>
              <w:rPr>
                <w:rFonts w:ascii="Arial" w:hAnsi="Arial" w:cs="Arial"/>
                <w:sz w:val="20"/>
                <w:szCs w:val="20"/>
              </w:rPr>
            </w:pPr>
          </w:p>
        </w:tc>
      </w:tr>
      <w:tr w:rsidR="00520046" w:rsidRPr="00E27305" w14:paraId="069B9562" w14:textId="77777777" w:rsidTr="008633F4">
        <w:tc>
          <w:tcPr>
            <w:tcW w:w="2552" w:type="dxa"/>
            <w:vMerge w:val="restart"/>
            <w:tcBorders>
              <w:top w:val="single" w:sz="4" w:space="0" w:color="auto"/>
              <w:left w:val="single" w:sz="4" w:space="0" w:color="auto"/>
              <w:bottom w:val="single" w:sz="4" w:space="0" w:color="auto"/>
              <w:right w:val="single" w:sz="4" w:space="0" w:color="auto"/>
            </w:tcBorders>
            <w:hideMark/>
          </w:tcPr>
          <w:p w14:paraId="4D6F55F6" w14:textId="77777777" w:rsidR="00520046" w:rsidRDefault="00520046" w:rsidP="008633F4">
            <w:pPr>
              <w:rPr>
                <w:rFonts w:ascii="Arial" w:hAnsi="Arial" w:cs="Arial"/>
                <w:sz w:val="20"/>
                <w:szCs w:val="20"/>
              </w:rPr>
            </w:pPr>
            <w:r w:rsidRPr="00CF5ED6">
              <w:rPr>
                <w:rFonts w:ascii="Arial" w:hAnsi="Arial" w:cs="Arial"/>
                <w:b/>
                <w:sz w:val="20"/>
                <w:szCs w:val="20"/>
              </w:rPr>
              <w:t>Outcome Three -</w:t>
            </w:r>
            <w:r w:rsidRPr="00CF5ED6">
              <w:rPr>
                <w:rFonts w:ascii="Arial" w:hAnsi="Arial" w:cs="Arial"/>
                <w:sz w:val="20"/>
                <w:szCs w:val="20"/>
              </w:rPr>
              <w:t xml:space="preserve"> Secondary school students are connected with defence industry and defence industry mentors</w:t>
            </w:r>
          </w:p>
          <w:p w14:paraId="4341AE03" w14:textId="77777777" w:rsidR="00520046" w:rsidRDefault="00520046" w:rsidP="008633F4">
            <w:pPr>
              <w:rPr>
                <w:rFonts w:ascii="Arial" w:hAnsi="Arial" w:cs="Arial"/>
                <w:sz w:val="20"/>
                <w:szCs w:val="20"/>
              </w:rPr>
            </w:pPr>
          </w:p>
          <w:p w14:paraId="49BD754B" w14:textId="77777777" w:rsidR="00520046" w:rsidRDefault="00520046" w:rsidP="008633F4">
            <w:pPr>
              <w:rPr>
                <w:rFonts w:ascii="Arial" w:hAnsi="Arial" w:cs="Arial"/>
                <w:sz w:val="20"/>
                <w:szCs w:val="20"/>
              </w:rPr>
            </w:pPr>
            <w:r>
              <w:rPr>
                <w:rFonts w:ascii="Arial" w:hAnsi="Arial" w:cs="Arial"/>
                <w:i/>
                <w:sz w:val="20"/>
                <w:szCs w:val="20"/>
              </w:rPr>
              <w:t xml:space="preserve">It is a minimum requirement for a project able to collect data for </w:t>
            </w:r>
            <w:r w:rsidRPr="00D832B3">
              <w:rPr>
                <w:rFonts w:ascii="Arial" w:hAnsi="Arial" w:cs="Arial"/>
                <w:i/>
                <w:sz w:val="20"/>
                <w:szCs w:val="20"/>
              </w:rPr>
              <w:t xml:space="preserve">KPI 3.1 </w:t>
            </w:r>
            <w:r w:rsidRPr="00CF5ED6">
              <w:rPr>
                <w:rFonts w:ascii="Arial" w:hAnsi="Arial" w:cs="Arial"/>
                <w:i/>
                <w:sz w:val="20"/>
                <w:szCs w:val="20"/>
              </w:rPr>
              <w:t>and at least one other KPI listed under this outcome</w:t>
            </w:r>
            <w:r>
              <w:rPr>
                <w:rFonts w:ascii="Arial" w:hAnsi="Arial" w:cs="Arial"/>
                <w:i/>
                <w:sz w:val="20"/>
                <w:szCs w:val="20"/>
              </w:rPr>
              <w:t>.</w:t>
            </w:r>
          </w:p>
          <w:p w14:paraId="04498DAD"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4CCC7A5" w14:textId="77777777" w:rsidR="00520046" w:rsidRPr="00CF5ED6" w:rsidRDefault="00520046" w:rsidP="008633F4">
            <w:pPr>
              <w:rPr>
                <w:rFonts w:ascii="Arial" w:hAnsi="Arial" w:cs="Arial"/>
                <w:sz w:val="20"/>
                <w:szCs w:val="20"/>
              </w:rPr>
            </w:pPr>
            <w:r w:rsidRPr="00CF5ED6">
              <w:rPr>
                <w:rFonts w:ascii="Arial" w:hAnsi="Arial" w:cs="Arial"/>
                <w:b/>
                <w:sz w:val="20"/>
                <w:szCs w:val="20"/>
              </w:rPr>
              <w:t>KPI 3.1 -</w:t>
            </w:r>
            <w:r w:rsidRPr="00CF5ED6">
              <w:rPr>
                <w:rFonts w:ascii="Arial" w:hAnsi="Arial" w:cs="Arial"/>
                <w:sz w:val="20"/>
                <w:szCs w:val="20"/>
              </w:rPr>
              <w:t xml:space="preserve"> Number of students connected with defence industry</w:t>
            </w:r>
          </w:p>
        </w:tc>
        <w:tc>
          <w:tcPr>
            <w:tcW w:w="3969" w:type="dxa"/>
            <w:tcBorders>
              <w:top w:val="single" w:sz="4" w:space="0" w:color="auto"/>
              <w:left w:val="single" w:sz="4" w:space="0" w:color="auto"/>
              <w:bottom w:val="single" w:sz="4" w:space="0" w:color="auto"/>
              <w:right w:val="single" w:sz="4" w:space="0" w:color="auto"/>
            </w:tcBorders>
          </w:tcPr>
          <w:p w14:paraId="0F13B559"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have been connected with defence industry businesses or defence industry representatives. </w:t>
            </w:r>
          </w:p>
          <w:p w14:paraId="0220D7D9" w14:textId="77777777" w:rsidR="00520046" w:rsidRPr="00CF5ED6" w:rsidRDefault="00520046" w:rsidP="008633F4">
            <w:pPr>
              <w:rPr>
                <w:rFonts w:ascii="Arial" w:hAnsi="Arial" w:cs="Arial"/>
                <w:sz w:val="20"/>
                <w:szCs w:val="20"/>
              </w:rPr>
            </w:pPr>
            <w:r w:rsidRPr="00CF5ED6">
              <w:rPr>
                <w:rFonts w:ascii="Arial" w:hAnsi="Arial" w:cs="Arial"/>
                <w:sz w:val="20"/>
                <w:szCs w:val="20"/>
              </w:rPr>
              <w:t>The definition of connected is based on student attendance at many-to-one type activities/initiatives rather than one-on-one interactions. Many-to-one activities/initiatives could include but is not limited to presentations by defence industry guest speakers to a group, site visits to defence industry businesses/sites etc.</w:t>
            </w:r>
          </w:p>
          <w:p w14:paraId="4105625E" w14:textId="77777777" w:rsidR="00520046" w:rsidRPr="00CF5ED6" w:rsidRDefault="00520046" w:rsidP="008633F4">
            <w:pPr>
              <w:rPr>
                <w:rFonts w:ascii="Arial" w:hAnsi="Arial" w:cs="Arial"/>
                <w:sz w:val="20"/>
                <w:szCs w:val="20"/>
              </w:rPr>
            </w:pPr>
          </w:p>
        </w:tc>
      </w:tr>
      <w:tr w:rsidR="00520046" w:rsidRPr="00E27305" w14:paraId="2B40804A"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19BE83EE"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CD80532" w14:textId="77777777" w:rsidR="00520046" w:rsidRPr="00CF5ED6" w:rsidRDefault="00520046" w:rsidP="008633F4">
            <w:pPr>
              <w:rPr>
                <w:rFonts w:ascii="Arial" w:hAnsi="Arial" w:cs="Arial"/>
                <w:sz w:val="20"/>
                <w:szCs w:val="20"/>
              </w:rPr>
            </w:pPr>
            <w:r w:rsidRPr="00CF5ED6">
              <w:rPr>
                <w:rFonts w:ascii="Arial" w:hAnsi="Arial" w:cs="Arial"/>
                <w:b/>
                <w:sz w:val="20"/>
                <w:szCs w:val="20"/>
              </w:rPr>
              <w:t>KPI 3.2 -</w:t>
            </w:r>
            <w:r w:rsidRPr="00CF5ED6">
              <w:rPr>
                <w:rFonts w:ascii="Arial" w:hAnsi="Arial" w:cs="Arial"/>
                <w:sz w:val="20"/>
                <w:szCs w:val="20"/>
              </w:rPr>
              <w:t xml:space="preserve"> Number of students in a defence industry mentoring arrangement</w:t>
            </w:r>
          </w:p>
        </w:tc>
        <w:tc>
          <w:tcPr>
            <w:tcW w:w="3969" w:type="dxa"/>
            <w:tcBorders>
              <w:top w:val="single" w:sz="4" w:space="0" w:color="auto"/>
              <w:left w:val="single" w:sz="4" w:space="0" w:color="auto"/>
              <w:bottom w:val="single" w:sz="4" w:space="0" w:color="auto"/>
              <w:right w:val="single" w:sz="4" w:space="0" w:color="auto"/>
            </w:tcBorders>
          </w:tcPr>
          <w:p w14:paraId="464C30CC"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have engaged in a mentoring arrangement with a defence industry business or defence industry representatives. The definition of a mentoring arrangement (virtual, face-to-face or hybrid) is a meaningful interaction with defence industry where the interaction is tailored to the individual. This means that the interaction will provide specific guidance and/or answer specific questions that an individual has for their mentor. Mentoring arrangements will typically be one-on-one interactions (one student to one business/business representative) rather than many-to-one activities/initiatives. A mentoring interaction can be a one-off occurrence (lengthier than competition judging) or a </w:t>
            </w:r>
            <w:r w:rsidRPr="00CF5ED6">
              <w:rPr>
                <w:rFonts w:ascii="Arial" w:hAnsi="Arial" w:cs="Arial"/>
                <w:sz w:val="20"/>
                <w:szCs w:val="20"/>
              </w:rPr>
              <w:lastRenderedPageBreak/>
              <w:t xml:space="preserve">periodic occurrence for a set or open ended period of time. </w:t>
            </w:r>
          </w:p>
          <w:p w14:paraId="73F8CF95" w14:textId="77777777" w:rsidR="00520046" w:rsidRPr="00CF5ED6" w:rsidRDefault="00520046" w:rsidP="008633F4">
            <w:pPr>
              <w:rPr>
                <w:rFonts w:ascii="Arial" w:hAnsi="Arial" w:cs="Arial"/>
                <w:sz w:val="20"/>
                <w:szCs w:val="20"/>
              </w:rPr>
            </w:pPr>
          </w:p>
        </w:tc>
      </w:tr>
      <w:tr w:rsidR="00520046" w:rsidRPr="00E27305" w14:paraId="07D3399D"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648665C8"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2FB8DC3" w14:textId="77777777" w:rsidR="00520046" w:rsidRPr="00CF5ED6" w:rsidRDefault="00520046" w:rsidP="008633F4">
            <w:pPr>
              <w:rPr>
                <w:rFonts w:ascii="Arial" w:hAnsi="Arial" w:cs="Arial"/>
                <w:sz w:val="20"/>
                <w:szCs w:val="20"/>
              </w:rPr>
            </w:pPr>
            <w:r w:rsidRPr="00CF5ED6">
              <w:rPr>
                <w:rFonts w:ascii="Arial" w:hAnsi="Arial" w:cs="Arial"/>
                <w:b/>
                <w:sz w:val="20"/>
                <w:szCs w:val="20"/>
              </w:rPr>
              <w:t>KPI 3.3 -</w:t>
            </w:r>
            <w:r w:rsidRPr="00CF5ED6">
              <w:rPr>
                <w:rFonts w:ascii="Arial" w:hAnsi="Arial" w:cs="Arial"/>
                <w:sz w:val="20"/>
                <w:szCs w:val="20"/>
              </w:rPr>
              <w:t xml:space="preserve"> Number of students who have completed work experience with a defence industry business</w:t>
            </w:r>
          </w:p>
        </w:tc>
        <w:tc>
          <w:tcPr>
            <w:tcW w:w="3969" w:type="dxa"/>
            <w:tcBorders>
              <w:top w:val="single" w:sz="4" w:space="0" w:color="auto"/>
              <w:left w:val="single" w:sz="4" w:space="0" w:color="auto"/>
              <w:bottom w:val="single" w:sz="4" w:space="0" w:color="auto"/>
              <w:right w:val="single" w:sz="4" w:space="0" w:color="auto"/>
            </w:tcBorders>
          </w:tcPr>
          <w:p w14:paraId="577A3F17"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have completed work experience with a business that meets the defence industry business definition within the </w:t>
            </w:r>
            <w:r w:rsidRPr="00CF5ED6">
              <w:rPr>
                <w:rFonts w:ascii="Arial" w:hAnsi="Arial" w:cs="Arial"/>
                <w:i/>
                <w:sz w:val="20"/>
                <w:szCs w:val="20"/>
              </w:rPr>
              <w:t>Defence Industry Development Strategy 2024</w:t>
            </w:r>
            <w:r w:rsidRPr="00CF5ED6">
              <w:rPr>
                <w:rFonts w:ascii="Arial" w:hAnsi="Arial" w:cs="Arial"/>
                <w:sz w:val="20"/>
                <w:szCs w:val="20"/>
              </w:rPr>
              <w:t>.</w:t>
            </w:r>
          </w:p>
        </w:tc>
      </w:tr>
      <w:tr w:rsidR="00520046" w:rsidRPr="00E27305" w14:paraId="480C9229"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4D55F0DC"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50603EE" w14:textId="77777777" w:rsidR="00520046" w:rsidRPr="00CF5ED6" w:rsidRDefault="00520046" w:rsidP="008633F4">
            <w:pPr>
              <w:rPr>
                <w:rFonts w:ascii="Arial" w:hAnsi="Arial" w:cs="Arial"/>
                <w:sz w:val="20"/>
                <w:szCs w:val="20"/>
              </w:rPr>
            </w:pPr>
            <w:r w:rsidRPr="00CF5ED6">
              <w:rPr>
                <w:rFonts w:ascii="Arial" w:hAnsi="Arial" w:cs="Arial"/>
                <w:b/>
                <w:sz w:val="20"/>
                <w:szCs w:val="20"/>
              </w:rPr>
              <w:t>KPI 3.4 -</w:t>
            </w:r>
            <w:r w:rsidRPr="00CF5ED6">
              <w:rPr>
                <w:rFonts w:ascii="Arial" w:hAnsi="Arial" w:cs="Arial"/>
                <w:sz w:val="20"/>
                <w:szCs w:val="20"/>
              </w:rPr>
              <w:t xml:space="preserve"> Number of teachers who have facilitated student engagement with defence industry</w:t>
            </w:r>
          </w:p>
        </w:tc>
        <w:tc>
          <w:tcPr>
            <w:tcW w:w="3969" w:type="dxa"/>
            <w:tcBorders>
              <w:top w:val="single" w:sz="4" w:space="0" w:color="auto"/>
              <w:left w:val="single" w:sz="4" w:space="0" w:color="auto"/>
              <w:bottom w:val="single" w:sz="4" w:space="0" w:color="auto"/>
              <w:right w:val="single" w:sz="4" w:space="0" w:color="auto"/>
            </w:tcBorders>
          </w:tcPr>
          <w:p w14:paraId="02D1C3C4" w14:textId="77777777" w:rsidR="00520046" w:rsidRPr="00CF5ED6" w:rsidRDefault="00520046" w:rsidP="008633F4">
            <w:pPr>
              <w:rPr>
                <w:rFonts w:ascii="Arial" w:hAnsi="Arial" w:cs="Arial"/>
                <w:sz w:val="20"/>
                <w:szCs w:val="20"/>
              </w:rPr>
            </w:pPr>
            <w:r w:rsidRPr="00CF5ED6">
              <w:rPr>
                <w:rFonts w:ascii="Arial" w:hAnsi="Arial" w:cs="Arial"/>
                <w:sz w:val="20"/>
                <w:szCs w:val="20"/>
              </w:rPr>
              <w:t>Facilitation of student engagement means teachers have supported students to connect with defence industry through the arrangement of engagement activities. This could include but is not limited to examples such as defence industry guest speakers, site visits to defence industry businesses/sites, work experience opportunities etc. initiated by the teacher.</w:t>
            </w:r>
          </w:p>
          <w:p w14:paraId="444FE4E2" w14:textId="77777777" w:rsidR="00520046" w:rsidRPr="00CF5ED6" w:rsidRDefault="00520046" w:rsidP="008633F4">
            <w:pPr>
              <w:rPr>
                <w:rFonts w:ascii="Arial" w:hAnsi="Arial" w:cs="Arial"/>
                <w:b/>
                <w:sz w:val="20"/>
                <w:szCs w:val="20"/>
              </w:rPr>
            </w:pPr>
          </w:p>
        </w:tc>
      </w:tr>
      <w:tr w:rsidR="00520046" w:rsidRPr="00E27305" w14:paraId="6DC9C47C" w14:textId="77777777" w:rsidTr="008633F4">
        <w:tc>
          <w:tcPr>
            <w:tcW w:w="2552" w:type="dxa"/>
            <w:vMerge w:val="restart"/>
            <w:tcBorders>
              <w:top w:val="single" w:sz="4" w:space="0" w:color="auto"/>
              <w:left w:val="single" w:sz="4" w:space="0" w:color="auto"/>
              <w:bottom w:val="single" w:sz="4" w:space="0" w:color="auto"/>
              <w:right w:val="single" w:sz="4" w:space="0" w:color="auto"/>
            </w:tcBorders>
            <w:hideMark/>
          </w:tcPr>
          <w:p w14:paraId="25501A7E" w14:textId="77777777" w:rsidR="00520046" w:rsidRDefault="00520046" w:rsidP="008633F4">
            <w:pPr>
              <w:rPr>
                <w:rFonts w:ascii="Arial" w:hAnsi="Arial" w:cs="Arial"/>
                <w:sz w:val="20"/>
                <w:szCs w:val="20"/>
              </w:rPr>
            </w:pPr>
            <w:r w:rsidRPr="00CF5ED6">
              <w:rPr>
                <w:rFonts w:ascii="Arial" w:hAnsi="Arial" w:cs="Arial"/>
                <w:b/>
                <w:sz w:val="20"/>
                <w:szCs w:val="20"/>
              </w:rPr>
              <w:t xml:space="preserve">Outcome Four - </w:t>
            </w:r>
            <w:r w:rsidRPr="00CF5ED6">
              <w:rPr>
                <w:rFonts w:ascii="Arial" w:hAnsi="Arial" w:cs="Arial"/>
                <w:sz w:val="20"/>
                <w:szCs w:val="20"/>
              </w:rPr>
              <w:t>Secondary school students are interested in studying STEM subjects relevant to defence industry careers</w:t>
            </w:r>
          </w:p>
          <w:p w14:paraId="0D152752" w14:textId="77777777" w:rsidR="00520046" w:rsidRDefault="00520046" w:rsidP="008633F4">
            <w:pPr>
              <w:rPr>
                <w:rFonts w:ascii="Arial" w:hAnsi="Arial" w:cs="Arial"/>
                <w:sz w:val="20"/>
                <w:szCs w:val="20"/>
              </w:rPr>
            </w:pPr>
          </w:p>
          <w:p w14:paraId="7F923C91" w14:textId="77777777" w:rsidR="00520046" w:rsidRDefault="00520046" w:rsidP="008633F4">
            <w:pPr>
              <w:rPr>
                <w:rFonts w:ascii="Arial" w:hAnsi="Arial" w:cs="Arial"/>
                <w:sz w:val="20"/>
                <w:szCs w:val="20"/>
              </w:rPr>
            </w:pPr>
          </w:p>
          <w:p w14:paraId="282A8754" w14:textId="77777777" w:rsidR="00520046" w:rsidRDefault="00520046" w:rsidP="008633F4">
            <w:pPr>
              <w:rPr>
                <w:rFonts w:ascii="Arial" w:hAnsi="Arial" w:cs="Arial"/>
                <w:sz w:val="20"/>
                <w:szCs w:val="20"/>
              </w:rPr>
            </w:pPr>
          </w:p>
          <w:p w14:paraId="029676B7" w14:textId="77777777" w:rsidR="00520046" w:rsidRPr="00CF5ED6" w:rsidRDefault="00520046" w:rsidP="008633F4">
            <w:pPr>
              <w:rPr>
                <w:rFonts w:ascii="Arial" w:hAnsi="Arial" w:cs="Arial"/>
                <w:sz w:val="20"/>
                <w:szCs w:val="20"/>
              </w:rPr>
            </w:pPr>
            <w:r>
              <w:rPr>
                <w:rFonts w:ascii="Arial" w:hAnsi="Arial" w:cs="Arial"/>
                <w:i/>
                <w:sz w:val="20"/>
                <w:szCs w:val="20"/>
              </w:rPr>
              <w:t>A project must be able to collect data for all of the KPIs listed under this outcome.</w:t>
            </w:r>
          </w:p>
        </w:tc>
        <w:tc>
          <w:tcPr>
            <w:tcW w:w="3402" w:type="dxa"/>
            <w:tcBorders>
              <w:top w:val="single" w:sz="4" w:space="0" w:color="auto"/>
              <w:left w:val="single" w:sz="4" w:space="0" w:color="auto"/>
              <w:bottom w:val="single" w:sz="4" w:space="0" w:color="auto"/>
              <w:right w:val="single" w:sz="4" w:space="0" w:color="auto"/>
            </w:tcBorders>
            <w:hideMark/>
          </w:tcPr>
          <w:p w14:paraId="6154EBBF" w14:textId="77777777" w:rsidR="00520046" w:rsidRPr="00CF5ED6" w:rsidRDefault="00520046" w:rsidP="008633F4">
            <w:pPr>
              <w:rPr>
                <w:rFonts w:ascii="Arial" w:hAnsi="Arial" w:cs="Arial"/>
                <w:sz w:val="20"/>
                <w:szCs w:val="20"/>
              </w:rPr>
            </w:pPr>
            <w:r w:rsidRPr="00CF5ED6">
              <w:rPr>
                <w:rFonts w:ascii="Arial" w:hAnsi="Arial" w:cs="Arial"/>
                <w:b/>
                <w:sz w:val="20"/>
                <w:szCs w:val="20"/>
              </w:rPr>
              <w:t>KPI 4.1 -</w:t>
            </w:r>
            <w:r w:rsidRPr="00CF5ED6">
              <w:rPr>
                <w:rFonts w:ascii="Arial" w:hAnsi="Arial" w:cs="Arial"/>
                <w:sz w:val="20"/>
                <w:szCs w:val="20"/>
              </w:rPr>
              <w:t xml:space="preserve"> Number of students who can identify the STEM subjects relevant to defence industry careers</w:t>
            </w:r>
          </w:p>
        </w:tc>
        <w:tc>
          <w:tcPr>
            <w:tcW w:w="3969" w:type="dxa"/>
            <w:tcBorders>
              <w:top w:val="single" w:sz="4" w:space="0" w:color="auto"/>
              <w:left w:val="single" w:sz="4" w:space="0" w:color="auto"/>
              <w:bottom w:val="single" w:sz="4" w:space="0" w:color="auto"/>
              <w:right w:val="single" w:sz="4" w:space="0" w:color="auto"/>
            </w:tcBorders>
          </w:tcPr>
          <w:p w14:paraId="11E4F11B"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identify the number of students who can identify the STEM subjects required for defence industry careers.</w:t>
            </w:r>
          </w:p>
          <w:p w14:paraId="170266D0" w14:textId="77777777" w:rsidR="00520046" w:rsidRPr="00CF5ED6" w:rsidRDefault="00520046" w:rsidP="008633F4">
            <w:pPr>
              <w:rPr>
                <w:rFonts w:ascii="Arial" w:hAnsi="Arial" w:cs="Arial"/>
                <w:b/>
                <w:sz w:val="20"/>
                <w:szCs w:val="20"/>
              </w:rPr>
            </w:pPr>
            <w:r w:rsidRPr="00CF5ED6">
              <w:rPr>
                <w:rFonts w:ascii="Arial" w:hAnsi="Arial" w:cs="Arial"/>
                <w:sz w:val="20"/>
                <w:szCs w:val="20"/>
              </w:rPr>
              <w:t>A suggested approach would be to ask students to select subjects that appear on the agreed list of relevant STEM subjects for defence industry careers over subjects that do not appear on the list.</w:t>
            </w:r>
            <w:r w:rsidRPr="00CF5ED6">
              <w:rPr>
                <w:rFonts w:ascii="Arial" w:hAnsi="Arial" w:cs="Arial"/>
                <w:b/>
                <w:sz w:val="20"/>
                <w:szCs w:val="20"/>
              </w:rPr>
              <w:t xml:space="preserve">  </w:t>
            </w:r>
          </w:p>
          <w:p w14:paraId="522EF069" w14:textId="77777777" w:rsidR="00520046" w:rsidRPr="00CF5ED6" w:rsidRDefault="00520046" w:rsidP="008633F4">
            <w:pPr>
              <w:rPr>
                <w:rFonts w:ascii="Arial" w:hAnsi="Arial" w:cs="Arial"/>
                <w:b/>
                <w:sz w:val="20"/>
                <w:szCs w:val="20"/>
              </w:rPr>
            </w:pPr>
          </w:p>
        </w:tc>
      </w:tr>
      <w:tr w:rsidR="00520046" w:rsidRPr="00E27305" w14:paraId="263635B5"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7083A8CD"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5EFC613" w14:textId="77777777" w:rsidR="00520046" w:rsidRPr="00CF5ED6" w:rsidRDefault="00520046" w:rsidP="008633F4">
            <w:pPr>
              <w:rPr>
                <w:rFonts w:ascii="Arial" w:hAnsi="Arial" w:cs="Arial"/>
                <w:sz w:val="20"/>
                <w:szCs w:val="20"/>
              </w:rPr>
            </w:pPr>
            <w:r w:rsidRPr="00CF5ED6">
              <w:rPr>
                <w:rFonts w:ascii="Arial" w:hAnsi="Arial" w:cs="Arial"/>
                <w:b/>
                <w:sz w:val="20"/>
                <w:szCs w:val="20"/>
              </w:rPr>
              <w:t>KPI 4.2 -</w:t>
            </w:r>
            <w:r w:rsidRPr="00CF5ED6">
              <w:rPr>
                <w:rFonts w:ascii="Arial" w:hAnsi="Arial" w:cs="Arial"/>
                <w:sz w:val="20"/>
                <w:szCs w:val="20"/>
              </w:rPr>
              <w:t xml:space="preserve"> Number of students who indicate they are interested in studying STEM subjects relevant to defence industry careers</w:t>
            </w:r>
          </w:p>
        </w:tc>
        <w:tc>
          <w:tcPr>
            <w:tcW w:w="3969" w:type="dxa"/>
            <w:tcBorders>
              <w:top w:val="single" w:sz="4" w:space="0" w:color="auto"/>
              <w:left w:val="single" w:sz="4" w:space="0" w:color="auto"/>
              <w:bottom w:val="single" w:sz="4" w:space="0" w:color="auto"/>
              <w:right w:val="single" w:sz="4" w:space="0" w:color="auto"/>
            </w:tcBorders>
          </w:tcPr>
          <w:p w14:paraId="5A8E7548" w14:textId="77777777" w:rsidR="00520046" w:rsidRPr="00CF5ED6" w:rsidRDefault="00520046" w:rsidP="008633F4">
            <w:pPr>
              <w:rPr>
                <w:rFonts w:ascii="Arial" w:hAnsi="Arial" w:cs="Arial"/>
                <w:b/>
                <w:sz w:val="20"/>
                <w:szCs w:val="20"/>
              </w:rPr>
            </w:pPr>
            <w:r w:rsidRPr="00CF5ED6">
              <w:rPr>
                <w:rFonts w:ascii="Arial" w:hAnsi="Arial" w:cs="Arial"/>
                <w:sz w:val="20"/>
                <w:szCs w:val="20"/>
              </w:rPr>
              <w:t>This data point aims to identify the number of individual students who self-report an interest in studying STEM subjects relevant to defence careers.</w:t>
            </w:r>
          </w:p>
        </w:tc>
      </w:tr>
      <w:tr w:rsidR="00520046" w:rsidRPr="00E27305" w14:paraId="22861507" w14:textId="77777777" w:rsidTr="008633F4">
        <w:tc>
          <w:tcPr>
            <w:tcW w:w="2552" w:type="dxa"/>
            <w:vMerge w:val="restart"/>
            <w:tcBorders>
              <w:top w:val="single" w:sz="4" w:space="0" w:color="auto"/>
              <w:left w:val="single" w:sz="4" w:space="0" w:color="auto"/>
              <w:bottom w:val="single" w:sz="4" w:space="0" w:color="auto"/>
              <w:right w:val="single" w:sz="4" w:space="0" w:color="auto"/>
            </w:tcBorders>
            <w:hideMark/>
          </w:tcPr>
          <w:p w14:paraId="08B71F79" w14:textId="77777777" w:rsidR="00520046" w:rsidRDefault="00520046" w:rsidP="008633F4">
            <w:pPr>
              <w:rPr>
                <w:rFonts w:ascii="Arial" w:hAnsi="Arial" w:cs="Arial"/>
                <w:i/>
                <w:sz w:val="20"/>
                <w:szCs w:val="20"/>
              </w:rPr>
            </w:pPr>
            <w:r w:rsidRPr="00CF5ED6">
              <w:rPr>
                <w:rFonts w:ascii="Arial" w:hAnsi="Arial" w:cs="Arial"/>
                <w:b/>
                <w:sz w:val="20"/>
                <w:szCs w:val="20"/>
              </w:rPr>
              <w:t>Outcome Five -</w:t>
            </w:r>
            <w:r w:rsidRPr="00CF5ED6">
              <w:rPr>
                <w:rFonts w:ascii="Arial" w:hAnsi="Arial" w:cs="Arial"/>
                <w:sz w:val="20"/>
                <w:szCs w:val="20"/>
              </w:rPr>
              <w:t xml:space="preserve"> Secondary school students have an aspiration to work in defence industry</w:t>
            </w:r>
            <w:r>
              <w:rPr>
                <w:rFonts w:ascii="Arial" w:hAnsi="Arial" w:cs="Arial"/>
                <w:i/>
                <w:sz w:val="20"/>
                <w:szCs w:val="20"/>
              </w:rPr>
              <w:t xml:space="preserve"> </w:t>
            </w:r>
          </w:p>
          <w:p w14:paraId="743F19B4" w14:textId="77777777" w:rsidR="00520046" w:rsidRDefault="00520046" w:rsidP="008633F4">
            <w:pPr>
              <w:rPr>
                <w:rFonts w:ascii="Arial" w:hAnsi="Arial" w:cs="Arial"/>
                <w:i/>
                <w:sz w:val="20"/>
                <w:szCs w:val="20"/>
              </w:rPr>
            </w:pPr>
          </w:p>
          <w:p w14:paraId="33CA09CC" w14:textId="77777777" w:rsidR="00520046" w:rsidRDefault="00520046" w:rsidP="008633F4">
            <w:pPr>
              <w:rPr>
                <w:rFonts w:ascii="Arial" w:hAnsi="Arial" w:cs="Arial"/>
                <w:sz w:val="20"/>
                <w:szCs w:val="20"/>
              </w:rPr>
            </w:pPr>
            <w:r>
              <w:rPr>
                <w:rFonts w:ascii="Arial" w:hAnsi="Arial" w:cs="Arial"/>
                <w:i/>
                <w:sz w:val="20"/>
                <w:szCs w:val="20"/>
              </w:rPr>
              <w:t>It is a minimum requirement for a project able to collect data for</w:t>
            </w:r>
            <w:r w:rsidRPr="00E96758">
              <w:rPr>
                <w:rFonts w:ascii="Arial" w:hAnsi="Arial" w:cs="Arial"/>
                <w:i/>
                <w:sz w:val="20"/>
                <w:szCs w:val="20"/>
              </w:rPr>
              <w:t xml:space="preserve"> KPI </w:t>
            </w:r>
            <w:r>
              <w:rPr>
                <w:rFonts w:ascii="Arial" w:hAnsi="Arial" w:cs="Arial"/>
                <w:i/>
                <w:sz w:val="20"/>
                <w:szCs w:val="20"/>
              </w:rPr>
              <w:t xml:space="preserve">5.1 </w:t>
            </w:r>
            <w:r w:rsidRPr="00E96758">
              <w:rPr>
                <w:rFonts w:ascii="Arial" w:hAnsi="Arial" w:cs="Arial"/>
                <w:i/>
                <w:sz w:val="20"/>
                <w:szCs w:val="20"/>
              </w:rPr>
              <w:t>and at least one other KPI listed under this outcome</w:t>
            </w:r>
            <w:r>
              <w:rPr>
                <w:rFonts w:ascii="Arial" w:hAnsi="Arial" w:cs="Arial"/>
                <w:i/>
                <w:sz w:val="20"/>
                <w:szCs w:val="20"/>
              </w:rPr>
              <w:t>.</w:t>
            </w:r>
          </w:p>
          <w:p w14:paraId="68E6B73D"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610A115" w14:textId="77777777" w:rsidR="00520046" w:rsidRPr="00CF5ED6" w:rsidRDefault="00520046" w:rsidP="008633F4">
            <w:pPr>
              <w:rPr>
                <w:rFonts w:ascii="Arial" w:hAnsi="Arial" w:cs="Arial"/>
                <w:sz w:val="20"/>
                <w:szCs w:val="20"/>
              </w:rPr>
            </w:pPr>
            <w:r w:rsidRPr="00CF5ED6">
              <w:rPr>
                <w:rFonts w:ascii="Arial" w:hAnsi="Arial" w:cs="Arial"/>
                <w:b/>
                <w:sz w:val="20"/>
                <w:szCs w:val="20"/>
              </w:rPr>
              <w:t>KPI 5.1 -</w:t>
            </w:r>
            <w:r w:rsidRPr="00CF5ED6">
              <w:rPr>
                <w:rFonts w:ascii="Arial" w:hAnsi="Arial" w:cs="Arial"/>
                <w:sz w:val="20"/>
                <w:szCs w:val="20"/>
              </w:rPr>
              <w:t xml:space="preserve"> Number of students who aspire to work in defence industry</w:t>
            </w:r>
          </w:p>
        </w:tc>
        <w:tc>
          <w:tcPr>
            <w:tcW w:w="3969" w:type="dxa"/>
            <w:tcBorders>
              <w:top w:val="single" w:sz="4" w:space="0" w:color="auto"/>
              <w:left w:val="single" w:sz="4" w:space="0" w:color="auto"/>
              <w:bottom w:val="single" w:sz="4" w:space="0" w:color="auto"/>
              <w:right w:val="single" w:sz="4" w:space="0" w:color="auto"/>
            </w:tcBorders>
          </w:tcPr>
          <w:p w14:paraId="7700A17B"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is the sum of the number of individual students who self-report an aspiration to work in defence industry</w:t>
            </w:r>
          </w:p>
          <w:p w14:paraId="6E3FD973" w14:textId="77777777" w:rsidR="00520046" w:rsidRPr="00CF5ED6" w:rsidRDefault="00520046" w:rsidP="008633F4">
            <w:pPr>
              <w:rPr>
                <w:rFonts w:ascii="Arial" w:hAnsi="Arial" w:cs="Arial"/>
                <w:sz w:val="20"/>
                <w:szCs w:val="20"/>
              </w:rPr>
            </w:pPr>
          </w:p>
        </w:tc>
      </w:tr>
      <w:tr w:rsidR="00520046" w:rsidRPr="00E27305" w14:paraId="59BEF5B1"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0CE177F3"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0C366EA" w14:textId="77777777" w:rsidR="00520046" w:rsidRPr="00CF5ED6" w:rsidRDefault="00520046" w:rsidP="008633F4">
            <w:pPr>
              <w:rPr>
                <w:rFonts w:ascii="Arial" w:hAnsi="Arial" w:cs="Arial"/>
                <w:sz w:val="20"/>
                <w:szCs w:val="20"/>
              </w:rPr>
            </w:pPr>
            <w:r w:rsidRPr="00CF5ED6">
              <w:rPr>
                <w:rFonts w:ascii="Arial" w:hAnsi="Arial" w:cs="Arial"/>
                <w:b/>
                <w:sz w:val="20"/>
                <w:szCs w:val="20"/>
              </w:rPr>
              <w:t>KPI 5.2 -</w:t>
            </w:r>
            <w:r w:rsidRPr="00CF5ED6">
              <w:rPr>
                <w:rFonts w:ascii="Arial" w:hAnsi="Arial" w:cs="Arial"/>
                <w:sz w:val="20"/>
                <w:szCs w:val="20"/>
              </w:rPr>
              <w:t xml:space="preserve"> Number of students who intend to undertake University education related to defence industry</w:t>
            </w:r>
          </w:p>
        </w:tc>
        <w:tc>
          <w:tcPr>
            <w:tcW w:w="3969" w:type="dxa"/>
            <w:tcBorders>
              <w:top w:val="single" w:sz="4" w:space="0" w:color="auto"/>
              <w:left w:val="single" w:sz="4" w:space="0" w:color="auto"/>
              <w:bottom w:val="single" w:sz="4" w:space="0" w:color="auto"/>
              <w:right w:val="single" w:sz="4" w:space="0" w:color="auto"/>
            </w:tcBorders>
          </w:tcPr>
          <w:p w14:paraId="234FFD58"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identify the number of students who intend to study at university for a qualification in a field that relates to defence industry. </w:t>
            </w:r>
          </w:p>
          <w:p w14:paraId="4EB6E6BE" w14:textId="77777777" w:rsidR="00520046" w:rsidRPr="00CF5ED6" w:rsidRDefault="00520046" w:rsidP="008633F4">
            <w:pPr>
              <w:rPr>
                <w:rFonts w:ascii="Arial" w:hAnsi="Arial" w:cs="Arial"/>
                <w:b/>
                <w:sz w:val="20"/>
                <w:szCs w:val="20"/>
              </w:rPr>
            </w:pPr>
            <w:r w:rsidRPr="00CF5ED6">
              <w:rPr>
                <w:rFonts w:ascii="Arial" w:hAnsi="Arial" w:cs="Arial"/>
                <w:sz w:val="20"/>
                <w:szCs w:val="20"/>
              </w:rPr>
              <w:t xml:space="preserve">A field that relates to defence industry is considered to be one or more of the university level study pathways identified for outcome 2. </w:t>
            </w:r>
          </w:p>
        </w:tc>
      </w:tr>
      <w:tr w:rsidR="00520046" w:rsidRPr="00E27305" w14:paraId="266CAEB5" w14:textId="77777777" w:rsidTr="008633F4">
        <w:tc>
          <w:tcPr>
            <w:tcW w:w="2552" w:type="dxa"/>
            <w:vMerge/>
            <w:tcBorders>
              <w:top w:val="single" w:sz="4" w:space="0" w:color="auto"/>
              <w:left w:val="single" w:sz="4" w:space="0" w:color="auto"/>
              <w:bottom w:val="single" w:sz="4" w:space="0" w:color="auto"/>
              <w:right w:val="single" w:sz="4" w:space="0" w:color="auto"/>
            </w:tcBorders>
            <w:vAlign w:val="center"/>
            <w:hideMark/>
          </w:tcPr>
          <w:p w14:paraId="0DE46C02" w14:textId="77777777" w:rsidR="00520046" w:rsidRPr="00CF5ED6" w:rsidRDefault="00520046" w:rsidP="008633F4">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F104100" w14:textId="77777777" w:rsidR="00520046" w:rsidRPr="00CF5ED6" w:rsidRDefault="00520046" w:rsidP="008633F4">
            <w:pPr>
              <w:rPr>
                <w:rFonts w:ascii="Arial" w:hAnsi="Arial" w:cs="Arial"/>
                <w:sz w:val="20"/>
                <w:szCs w:val="20"/>
              </w:rPr>
            </w:pPr>
            <w:r w:rsidRPr="00CF5ED6">
              <w:rPr>
                <w:rFonts w:ascii="Arial" w:hAnsi="Arial" w:cs="Arial"/>
                <w:b/>
                <w:sz w:val="20"/>
                <w:szCs w:val="20"/>
              </w:rPr>
              <w:t>KPI 5.3 -</w:t>
            </w:r>
            <w:r w:rsidRPr="00CF5ED6">
              <w:rPr>
                <w:rFonts w:ascii="Arial" w:hAnsi="Arial" w:cs="Arial"/>
                <w:sz w:val="20"/>
                <w:szCs w:val="20"/>
              </w:rPr>
              <w:t xml:space="preserve"> Number of students who intend to undertake Vocational Education and Training (VET) including an apprenticeship, internship or other work/study combination relevant to defence industry</w:t>
            </w:r>
          </w:p>
        </w:tc>
        <w:tc>
          <w:tcPr>
            <w:tcW w:w="3969" w:type="dxa"/>
            <w:tcBorders>
              <w:top w:val="single" w:sz="4" w:space="0" w:color="auto"/>
              <w:left w:val="single" w:sz="4" w:space="0" w:color="auto"/>
              <w:bottom w:val="single" w:sz="4" w:space="0" w:color="auto"/>
              <w:right w:val="single" w:sz="4" w:space="0" w:color="auto"/>
            </w:tcBorders>
          </w:tcPr>
          <w:p w14:paraId="7D9A6048" w14:textId="77777777" w:rsidR="00520046" w:rsidRPr="00CF5ED6" w:rsidRDefault="00520046" w:rsidP="008633F4">
            <w:pPr>
              <w:rPr>
                <w:rFonts w:ascii="Arial" w:hAnsi="Arial" w:cs="Arial"/>
                <w:b/>
                <w:sz w:val="20"/>
                <w:szCs w:val="20"/>
              </w:rPr>
            </w:pPr>
            <w:r w:rsidRPr="00CF5ED6">
              <w:rPr>
                <w:rFonts w:ascii="Arial" w:hAnsi="Arial" w:cs="Arial"/>
                <w:sz w:val="20"/>
                <w:szCs w:val="20"/>
              </w:rPr>
              <w:t xml:space="preserve">This data point aims to identify the number of students who intend to study a VET qualification in a field that relates to defence industry. VET study may or may not include an apprenticeship or another type of work/study combination. A field that relates to defence industry is </w:t>
            </w:r>
            <w:r w:rsidRPr="00CF5ED6">
              <w:rPr>
                <w:rFonts w:ascii="Arial" w:hAnsi="Arial" w:cs="Arial"/>
                <w:sz w:val="20"/>
                <w:szCs w:val="20"/>
              </w:rPr>
              <w:lastRenderedPageBreak/>
              <w:t>considered to be one of the VET level study pathways outlined in outcome 2.</w:t>
            </w:r>
          </w:p>
        </w:tc>
      </w:tr>
      <w:tr w:rsidR="00520046" w:rsidRPr="00E27305" w14:paraId="7637457A" w14:textId="77777777" w:rsidTr="008633F4">
        <w:tc>
          <w:tcPr>
            <w:tcW w:w="2552" w:type="dxa"/>
            <w:vMerge w:val="restart"/>
            <w:tcBorders>
              <w:top w:val="single" w:sz="4" w:space="0" w:color="auto"/>
              <w:left w:val="single" w:sz="4" w:space="0" w:color="auto"/>
              <w:right w:val="single" w:sz="4" w:space="0" w:color="auto"/>
            </w:tcBorders>
          </w:tcPr>
          <w:p w14:paraId="327715AB" w14:textId="77777777" w:rsidR="00520046" w:rsidRDefault="00520046" w:rsidP="008633F4">
            <w:pPr>
              <w:rPr>
                <w:rFonts w:ascii="Arial" w:hAnsi="Arial" w:cs="Arial"/>
                <w:sz w:val="20"/>
                <w:szCs w:val="20"/>
              </w:rPr>
            </w:pPr>
            <w:r w:rsidRPr="00CF5ED6">
              <w:rPr>
                <w:rFonts w:ascii="Arial" w:hAnsi="Arial" w:cs="Arial"/>
                <w:b/>
                <w:sz w:val="20"/>
                <w:szCs w:val="20"/>
              </w:rPr>
              <w:lastRenderedPageBreak/>
              <w:t>Outcome Six</w:t>
            </w:r>
            <w:r w:rsidRPr="00CF5ED6">
              <w:rPr>
                <w:rFonts w:ascii="Arial" w:hAnsi="Arial" w:cs="Arial"/>
                <w:sz w:val="20"/>
                <w:szCs w:val="20"/>
              </w:rPr>
              <w:t xml:space="preserve"> –The Schools Pathways Program has participation of students from traditionally underrepresented groups</w:t>
            </w:r>
            <w:r w:rsidRPr="00CF5ED6">
              <w:rPr>
                <w:rStyle w:val="FootnoteReference"/>
                <w:rFonts w:ascii="Arial" w:hAnsi="Arial" w:cs="Arial"/>
                <w:sz w:val="20"/>
                <w:szCs w:val="20"/>
              </w:rPr>
              <w:footnoteReference w:id="3"/>
            </w:r>
          </w:p>
          <w:p w14:paraId="1D8718A4" w14:textId="77777777" w:rsidR="00520046" w:rsidRDefault="00520046" w:rsidP="008633F4">
            <w:pPr>
              <w:rPr>
                <w:rFonts w:ascii="Arial" w:hAnsi="Arial" w:cs="Arial"/>
                <w:sz w:val="20"/>
                <w:szCs w:val="20"/>
              </w:rPr>
            </w:pPr>
          </w:p>
          <w:p w14:paraId="62C9050C" w14:textId="77777777" w:rsidR="00520046" w:rsidRDefault="00520046" w:rsidP="008633F4">
            <w:pPr>
              <w:rPr>
                <w:rFonts w:ascii="Arial" w:hAnsi="Arial" w:cs="Arial"/>
                <w:sz w:val="20"/>
                <w:szCs w:val="20"/>
              </w:rPr>
            </w:pPr>
          </w:p>
          <w:p w14:paraId="54D38369" w14:textId="77777777" w:rsidR="00520046" w:rsidRPr="00CF5ED6" w:rsidRDefault="00520046" w:rsidP="008633F4">
            <w:pPr>
              <w:rPr>
                <w:rFonts w:ascii="Arial" w:hAnsi="Arial" w:cs="Arial"/>
                <w:b/>
                <w:sz w:val="20"/>
                <w:szCs w:val="20"/>
              </w:rPr>
            </w:pPr>
            <w:r>
              <w:rPr>
                <w:rFonts w:ascii="Arial" w:hAnsi="Arial" w:cs="Arial"/>
                <w:i/>
                <w:sz w:val="20"/>
                <w:szCs w:val="20"/>
              </w:rPr>
              <w:t>A project must be able to collect data for all of the KPIs listed under this outcome</w:t>
            </w:r>
            <w:r>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hideMark/>
          </w:tcPr>
          <w:p w14:paraId="51653C1E" w14:textId="77777777" w:rsidR="00520046" w:rsidRPr="00CF5ED6" w:rsidRDefault="00520046" w:rsidP="008633F4">
            <w:pPr>
              <w:rPr>
                <w:rFonts w:ascii="Arial" w:hAnsi="Arial" w:cs="Arial"/>
                <w:sz w:val="20"/>
                <w:szCs w:val="20"/>
              </w:rPr>
            </w:pPr>
            <w:r w:rsidRPr="00CF5ED6">
              <w:rPr>
                <w:rFonts w:ascii="Arial" w:hAnsi="Arial" w:cs="Arial"/>
                <w:b/>
                <w:sz w:val="20"/>
                <w:szCs w:val="20"/>
              </w:rPr>
              <w:t xml:space="preserve">KPI 6.1 - </w:t>
            </w:r>
            <w:r w:rsidRPr="00CF5ED6">
              <w:rPr>
                <w:rFonts w:ascii="Arial" w:hAnsi="Arial" w:cs="Arial"/>
                <w:sz w:val="20"/>
                <w:szCs w:val="20"/>
              </w:rPr>
              <w:t xml:space="preserve"> Number of students participating in your project activities who identify as first nations people</w:t>
            </w:r>
          </w:p>
        </w:tc>
        <w:tc>
          <w:tcPr>
            <w:tcW w:w="3969" w:type="dxa"/>
            <w:tcBorders>
              <w:top w:val="single" w:sz="4" w:space="0" w:color="auto"/>
              <w:left w:val="single" w:sz="4" w:space="0" w:color="auto"/>
              <w:bottom w:val="single" w:sz="4" w:space="0" w:color="auto"/>
              <w:right w:val="single" w:sz="4" w:space="0" w:color="auto"/>
            </w:tcBorders>
          </w:tcPr>
          <w:p w14:paraId="33C03719"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measure a program diversity element. This data point is concerned with the number of students participating in SPP who identify as a First Nations person. First Nations peoples encompasses people of Aboriginal or Torres Strait Islander descent who identify as an Aboriginal or Torres Strait Islander and are accepted as such by the community in which they live (Australian Law Reform Commission, 2010).  </w:t>
            </w:r>
          </w:p>
          <w:p w14:paraId="700E78A5" w14:textId="77777777" w:rsidR="00520046" w:rsidRPr="00CF5ED6" w:rsidRDefault="00520046" w:rsidP="008633F4">
            <w:pPr>
              <w:rPr>
                <w:rFonts w:ascii="Arial" w:hAnsi="Arial" w:cs="Arial"/>
                <w:sz w:val="20"/>
                <w:szCs w:val="20"/>
              </w:rPr>
            </w:pPr>
          </w:p>
        </w:tc>
      </w:tr>
      <w:tr w:rsidR="00520046" w:rsidRPr="00E27305" w14:paraId="6E180115" w14:textId="77777777" w:rsidTr="008633F4">
        <w:tc>
          <w:tcPr>
            <w:tcW w:w="2552" w:type="dxa"/>
            <w:vMerge/>
            <w:tcBorders>
              <w:left w:val="single" w:sz="4" w:space="0" w:color="auto"/>
              <w:right w:val="single" w:sz="4" w:space="0" w:color="auto"/>
            </w:tcBorders>
            <w:vAlign w:val="center"/>
            <w:hideMark/>
          </w:tcPr>
          <w:p w14:paraId="41715D1F"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50E3538" w14:textId="77777777" w:rsidR="00520046" w:rsidRPr="00CF5ED6" w:rsidRDefault="00520046" w:rsidP="008633F4">
            <w:pPr>
              <w:rPr>
                <w:rFonts w:ascii="Arial" w:hAnsi="Arial" w:cs="Arial"/>
                <w:sz w:val="20"/>
                <w:szCs w:val="20"/>
              </w:rPr>
            </w:pPr>
            <w:r w:rsidRPr="00CF5ED6">
              <w:rPr>
                <w:rFonts w:ascii="Arial" w:hAnsi="Arial" w:cs="Arial"/>
                <w:b/>
                <w:sz w:val="20"/>
                <w:szCs w:val="20"/>
              </w:rPr>
              <w:t>KPI 6.2 -</w:t>
            </w:r>
            <w:r w:rsidRPr="00CF5ED6">
              <w:rPr>
                <w:rFonts w:ascii="Arial" w:hAnsi="Arial" w:cs="Arial"/>
                <w:sz w:val="20"/>
                <w:szCs w:val="20"/>
              </w:rPr>
              <w:t xml:space="preserve">  Number of students participating in your project activities who identify as female</w:t>
            </w:r>
          </w:p>
        </w:tc>
        <w:tc>
          <w:tcPr>
            <w:tcW w:w="3969" w:type="dxa"/>
            <w:tcBorders>
              <w:top w:val="single" w:sz="4" w:space="0" w:color="auto"/>
              <w:left w:val="single" w:sz="4" w:space="0" w:color="auto"/>
              <w:bottom w:val="single" w:sz="4" w:space="0" w:color="auto"/>
              <w:right w:val="single" w:sz="4" w:space="0" w:color="auto"/>
            </w:tcBorders>
          </w:tcPr>
          <w:p w14:paraId="7D1C7FB4"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measure a program diversity element. This data point is concerned with the number of students participating in SPP who identify as a female. In the case of the SPP, female is defined as a person who lives and identifies as female even though they may have been said to have a different gender at birth.</w:t>
            </w:r>
          </w:p>
          <w:p w14:paraId="495C1ED7" w14:textId="77777777" w:rsidR="00520046" w:rsidRPr="00CF5ED6" w:rsidRDefault="00520046" w:rsidP="008633F4">
            <w:pPr>
              <w:rPr>
                <w:rFonts w:ascii="Arial" w:hAnsi="Arial" w:cs="Arial"/>
                <w:b/>
                <w:sz w:val="20"/>
                <w:szCs w:val="20"/>
              </w:rPr>
            </w:pPr>
          </w:p>
        </w:tc>
      </w:tr>
      <w:tr w:rsidR="00520046" w:rsidRPr="00E27305" w14:paraId="5CDA1AB4" w14:textId="77777777" w:rsidTr="008633F4">
        <w:tc>
          <w:tcPr>
            <w:tcW w:w="2552" w:type="dxa"/>
            <w:vMerge/>
            <w:tcBorders>
              <w:left w:val="single" w:sz="4" w:space="0" w:color="auto"/>
              <w:right w:val="single" w:sz="4" w:space="0" w:color="auto"/>
            </w:tcBorders>
            <w:vAlign w:val="center"/>
            <w:hideMark/>
          </w:tcPr>
          <w:p w14:paraId="29EE80CF"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DD05A8B" w14:textId="77777777" w:rsidR="00520046" w:rsidRPr="00CF5ED6" w:rsidRDefault="00520046" w:rsidP="008633F4">
            <w:pPr>
              <w:rPr>
                <w:rFonts w:ascii="Arial" w:hAnsi="Arial" w:cs="Arial"/>
                <w:sz w:val="20"/>
                <w:szCs w:val="20"/>
              </w:rPr>
            </w:pPr>
            <w:r w:rsidRPr="00CF5ED6">
              <w:rPr>
                <w:rFonts w:ascii="Arial" w:hAnsi="Arial" w:cs="Arial"/>
                <w:b/>
                <w:sz w:val="20"/>
                <w:szCs w:val="20"/>
              </w:rPr>
              <w:t xml:space="preserve">KPI 6.3 - </w:t>
            </w:r>
            <w:r w:rsidRPr="00CF5ED6">
              <w:rPr>
                <w:rFonts w:ascii="Arial" w:hAnsi="Arial" w:cs="Arial"/>
                <w:sz w:val="20"/>
                <w:szCs w:val="20"/>
              </w:rPr>
              <w:t>Number of students participating in your project activities who identify as a person living with a disability or as a being neurodivergent.</w:t>
            </w:r>
          </w:p>
        </w:tc>
        <w:tc>
          <w:tcPr>
            <w:tcW w:w="3969" w:type="dxa"/>
            <w:tcBorders>
              <w:top w:val="single" w:sz="4" w:space="0" w:color="auto"/>
              <w:left w:val="single" w:sz="4" w:space="0" w:color="auto"/>
              <w:bottom w:val="single" w:sz="4" w:space="0" w:color="auto"/>
              <w:right w:val="single" w:sz="4" w:space="0" w:color="auto"/>
            </w:tcBorders>
          </w:tcPr>
          <w:p w14:paraId="7D2E5C10"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measure a program diversity element. This data point is concerned with the number of students participating in SPP who identify as a person with a disability. Person with a disability encompasses people who have long-term physical, mental, intellectual, or sensory impairments, which in interaction with various barriers may hinder their full and effective participation in society on an equal basis with others</w:t>
            </w:r>
            <w:r w:rsidRPr="00CF5ED6">
              <w:rPr>
                <w:rStyle w:val="FootnoteReference"/>
                <w:rFonts w:ascii="Arial" w:hAnsi="Arial" w:cs="Arial"/>
                <w:sz w:val="20"/>
                <w:szCs w:val="20"/>
              </w:rPr>
              <w:footnoteReference w:id="4"/>
            </w:r>
            <w:r w:rsidRPr="00CF5ED6">
              <w:rPr>
                <w:rFonts w:ascii="Arial" w:hAnsi="Arial" w:cs="Arial"/>
                <w:sz w:val="20"/>
                <w:szCs w:val="20"/>
              </w:rPr>
              <w:t>.</w:t>
            </w:r>
          </w:p>
          <w:p w14:paraId="768EBC48" w14:textId="77777777" w:rsidR="00520046" w:rsidRPr="00CF5ED6" w:rsidRDefault="00520046" w:rsidP="008633F4">
            <w:pPr>
              <w:rPr>
                <w:rFonts w:ascii="Arial" w:hAnsi="Arial" w:cs="Arial"/>
                <w:sz w:val="20"/>
                <w:szCs w:val="20"/>
              </w:rPr>
            </w:pPr>
          </w:p>
        </w:tc>
      </w:tr>
      <w:tr w:rsidR="00520046" w:rsidRPr="00E27305" w14:paraId="4A9CAF69" w14:textId="77777777" w:rsidTr="008633F4">
        <w:tc>
          <w:tcPr>
            <w:tcW w:w="2552" w:type="dxa"/>
            <w:vMerge/>
            <w:tcBorders>
              <w:left w:val="single" w:sz="4" w:space="0" w:color="auto"/>
              <w:right w:val="single" w:sz="4" w:space="0" w:color="auto"/>
            </w:tcBorders>
            <w:vAlign w:val="center"/>
            <w:hideMark/>
          </w:tcPr>
          <w:p w14:paraId="363F51AB"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62CE4A3" w14:textId="77777777" w:rsidR="00520046" w:rsidRPr="00CF5ED6" w:rsidRDefault="00520046" w:rsidP="008633F4">
            <w:pPr>
              <w:rPr>
                <w:rFonts w:ascii="Arial" w:hAnsi="Arial" w:cs="Arial"/>
                <w:sz w:val="20"/>
                <w:szCs w:val="20"/>
              </w:rPr>
            </w:pPr>
            <w:r w:rsidRPr="00CF5ED6">
              <w:rPr>
                <w:rFonts w:ascii="Arial" w:hAnsi="Arial" w:cs="Arial"/>
                <w:b/>
                <w:sz w:val="20"/>
                <w:szCs w:val="20"/>
              </w:rPr>
              <w:t xml:space="preserve">KPI 6.4 - </w:t>
            </w:r>
            <w:r w:rsidRPr="00CF5ED6">
              <w:rPr>
                <w:rFonts w:ascii="Arial" w:hAnsi="Arial" w:cs="Arial"/>
                <w:sz w:val="20"/>
                <w:szCs w:val="20"/>
              </w:rPr>
              <w:t xml:space="preserve"> Number of students participating in your project activities who identify as a person from a culturally and linguistically diverse (CALD) background</w:t>
            </w:r>
          </w:p>
        </w:tc>
        <w:tc>
          <w:tcPr>
            <w:tcW w:w="3969" w:type="dxa"/>
            <w:tcBorders>
              <w:top w:val="single" w:sz="4" w:space="0" w:color="auto"/>
              <w:left w:val="single" w:sz="4" w:space="0" w:color="auto"/>
              <w:bottom w:val="single" w:sz="4" w:space="0" w:color="auto"/>
              <w:right w:val="single" w:sz="4" w:space="0" w:color="auto"/>
            </w:tcBorders>
          </w:tcPr>
          <w:p w14:paraId="734C210C"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measure a program diversity element. This data point is concerned with the number of students participating in SPP who identify as a person from a culturally and linguistically diverse (CALD) background. Culturally and linguistically diverse (CALD) is a term used to encompass people who were born overseas, in countries other than those classified by the Australian Bureau of Statistics (ABS) as ‘main English speaking countries’. These countries include Australia, Canada, Republic of </w:t>
            </w:r>
            <w:r w:rsidRPr="00CF5ED6">
              <w:rPr>
                <w:rFonts w:ascii="Arial" w:hAnsi="Arial" w:cs="Arial"/>
                <w:sz w:val="20"/>
                <w:szCs w:val="20"/>
              </w:rPr>
              <w:lastRenderedPageBreak/>
              <w:t>Ireland, New Zealand, South Africa, the United Kingdom, and the United States of America. This definition acknowledges that people born in these main English-speaking countries may still identify with another culture or country and may face language and other barriers when engaging with activities and services</w:t>
            </w:r>
            <w:r w:rsidRPr="00CF5ED6">
              <w:rPr>
                <w:rStyle w:val="FootnoteReference"/>
                <w:rFonts w:ascii="Arial" w:hAnsi="Arial" w:cs="Arial"/>
                <w:sz w:val="20"/>
                <w:szCs w:val="20"/>
              </w:rPr>
              <w:footnoteReference w:id="5"/>
            </w:r>
            <w:r w:rsidRPr="00CF5ED6">
              <w:rPr>
                <w:rFonts w:ascii="Arial" w:hAnsi="Arial" w:cs="Arial"/>
                <w:sz w:val="20"/>
                <w:szCs w:val="20"/>
              </w:rPr>
              <w:t xml:space="preserve">.  </w:t>
            </w:r>
          </w:p>
        </w:tc>
      </w:tr>
      <w:tr w:rsidR="00520046" w:rsidRPr="00E27305" w14:paraId="5ACD9B7D" w14:textId="77777777" w:rsidTr="008633F4">
        <w:tc>
          <w:tcPr>
            <w:tcW w:w="2552" w:type="dxa"/>
            <w:vMerge/>
            <w:tcBorders>
              <w:left w:val="single" w:sz="4" w:space="0" w:color="auto"/>
              <w:right w:val="single" w:sz="4" w:space="0" w:color="auto"/>
            </w:tcBorders>
            <w:vAlign w:val="center"/>
          </w:tcPr>
          <w:p w14:paraId="78023844"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83582D7" w14:textId="77777777" w:rsidR="00520046" w:rsidRPr="00CF5ED6" w:rsidRDefault="00520046" w:rsidP="008633F4">
            <w:pPr>
              <w:rPr>
                <w:rFonts w:ascii="Arial" w:hAnsi="Arial" w:cs="Arial"/>
                <w:sz w:val="20"/>
                <w:szCs w:val="20"/>
              </w:rPr>
            </w:pPr>
            <w:r w:rsidRPr="00CF5ED6">
              <w:rPr>
                <w:rFonts w:ascii="Arial" w:hAnsi="Arial" w:cs="Arial"/>
                <w:b/>
                <w:sz w:val="20"/>
                <w:szCs w:val="20"/>
              </w:rPr>
              <w:t>KPI 6.5 -</w:t>
            </w:r>
            <w:r w:rsidRPr="00CF5ED6">
              <w:rPr>
                <w:rFonts w:ascii="Arial" w:hAnsi="Arial" w:cs="Arial"/>
                <w:sz w:val="20"/>
                <w:szCs w:val="20"/>
              </w:rPr>
              <w:t xml:space="preserve"> Number of students participating in your project activities who identify as a person living in an area with a low socioeconomic status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E92895" w14:textId="77777777" w:rsidR="00520046" w:rsidRPr="00CF5ED6" w:rsidRDefault="00520046" w:rsidP="008633F4">
            <w:pPr>
              <w:rPr>
                <w:rFonts w:ascii="Arial" w:hAnsi="Arial" w:cs="Arial"/>
                <w:sz w:val="20"/>
                <w:szCs w:val="20"/>
              </w:rPr>
            </w:pPr>
            <w:r w:rsidRPr="00CF5ED6">
              <w:rPr>
                <w:rFonts w:ascii="Arial" w:hAnsi="Arial" w:cs="Arial"/>
                <w:sz w:val="20"/>
                <w:szCs w:val="20"/>
              </w:rPr>
              <w:t>This data point aims to measure a program diversity element. This data point is concerned with the number of students participating in SPP who identify as a person living in an area with a low socioeconomic status, as defined in the Australian Bureau of Statistics Socio-Economic Indexes for Areas (SEIFA), Australia</w:t>
            </w:r>
            <w:r w:rsidRPr="00CF5ED6">
              <w:rPr>
                <w:rStyle w:val="FootnoteReference"/>
                <w:rFonts w:ascii="Arial" w:hAnsi="Arial" w:cs="Arial"/>
                <w:sz w:val="20"/>
                <w:szCs w:val="20"/>
              </w:rPr>
              <w:footnoteReference w:id="6"/>
            </w:r>
            <w:r w:rsidRPr="00CF5ED6">
              <w:rPr>
                <w:rFonts w:ascii="Arial" w:hAnsi="Arial" w:cs="Arial"/>
                <w:sz w:val="20"/>
                <w:szCs w:val="20"/>
              </w:rPr>
              <w:t>.</w:t>
            </w:r>
          </w:p>
          <w:p w14:paraId="16C691A1" w14:textId="77777777" w:rsidR="00520046" w:rsidRPr="00CF5ED6" w:rsidRDefault="00520046" w:rsidP="008633F4">
            <w:pPr>
              <w:rPr>
                <w:rFonts w:ascii="Arial" w:hAnsi="Arial" w:cs="Arial"/>
                <w:b/>
                <w:sz w:val="20"/>
                <w:szCs w:val="20"/>
              </w:rPr>
            </w:pPr>
          </w:p>
        </w:tc>
      </w:tr>
      <w:tr w:rsidR="00520046" w:rsidRPr="00E27305" w14:paraId="5DC7C9F9" w14:textId="77777777" w:rsidTr="008633F4">
        <w:tc>
          <w:tcPr>
            <w:tcW w:w="2552" w:type="dxa"/>
            <w:vMerge/>
            <w:tcBorders>
              <w:left w:val="single" w:sz="4" w:space="0" w:color="auto"/>
              <w:right w:val="single" w:sz="4" w:space="0" w:color="auto"/>
            </w:tcBorders>
            <w:vAlign w:val="center"/>
          </w:tcPr>
          <w:p w14:paraId="1CD2E7A0"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20C971A" w14:textId="77777777" w:rsidR="00520046" w:rsidRPr="00CF5ED6" w:rsidRDefault="00520046" w:rsidP="008633F4">
            <w:pPr>
              <w:rPr>
                <w:rFonts w:ascii="Arial" w:hAnsi="Arial" w:cs="Arial"/>
                <w:sz w:val="20"/>
                <w:szCs w:val="20"/>
              </w:rPr>
            </w:pPr>
            <w:r w:rsidRPr="00CF5ED6">
              <w:rPr>
                <w:rFonts w:ascii="Arial" w:hAnsi="Arial" w:cs="Arial"/>
                <w:b/>
                <w:sz w:val="20"/>
                <w:szCs w:val="20"/>
              </w:rPr>
              <w:t>KPI 6.6 -</w:t>
            </w:r>
            <w:r w:rsidRPr="00CF5ED6">
              <w:rPr>
                <w:rFonts w:ascii="Arial" w:hAnsi="Arial" w:cs="Arial"/>
                <w:sz w:val="20"/>
                <w:szCs w:val="20"/>
              </w:rPr>
              <w:t xml:space="preserve"> Number of students participating in your project activities who identify as LGBTQIA+.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0DA035" w14:textId="77777777" w:rsidR="00520046" w:rsidRPr="00CF5ED6" w:rsidRDefault="00520046" w:rsidP="008633F4">
            <w:pPr>
              <w:rPr>
                <w:rFonts w:ascii="Arial" w:hAnsi="Arial" w:cs="Arial"/>
                <w:b/>
                <w:sz w:val="20"/>
                <w:szCs w:val="20"/>
              </w:rPr>
            </w:pPr>
            <w:r w:rsidRPr="00CF5ED6">
              <w:rPr>
                <w:rFonts w:ascii="Arial" w:hAnsi="Arial" w:cs="Arial"/>
                <w:sz w:val="20"/>
                <w:szCs w:val="20"/>
              </w:rPr>
              <w:t>This data point aims to measure a program diversity element. This data point is concerned with the number of students participating in SPP who identify as a LGBTQIA+ person. A glossary of LGBTQIA+ common terms can be located on the Australian Institute of Family studies website</w:t>
            </w:r>
            <w:r w:rsidRPr="00CF5ED6">
              <w:rPr>
                <w:rStyle w:val="FootnoteReference"/>
                <w:rFonts w:ascii="Arial" w:hAnsi="Arial" w:cs="Arial"/>
                <w:sz w:val="20"/>
                <w:szCs w:val="20"/>
              </w:rPr>
              <w:footnoteReference w:id="7"/>
            </w:r>
            <w:r w:rsidRPr="00CF5ED6">
              <w:rPr>
                <w:rFonts w:ascii="Arial" w:hAnsi="Arial" w:cs="Arial"/>
                <w:sz w:val="20"/>
                <w:szCs w:val="20"/>
              </w:rPr>
              <w:t>.</w:t>
            </w:r>
          </w:p>
        </w:tc>
      </w:tr>
      <w:tr w:rsidR="00520046" w:rsidRPr="00E27305" w14:paraId="61D6B593" w14:textId="77777777" w:rsidTr="008633F4">
        <w:tc>
          <w:tcPr>
            <w:tcW w:w="2552" w:type="dxa"/>
            <w:vMerge/>
            <w:tcBorders>
              <w:left w:val="single" w:sz="4" w:space="0" w:color="auto"/>
              <w:bottom w:val="single" w:sz="4" w:space="0" w:color="auto"/>
              <w:right w:val="single" w:sz="4" w:space="0" w:color="auto"/>
            </w:tcBorders>
            <w:vAlign w:val="center"/>
          </w:tcPr>
          <w:p w14:paraId="549C428D" w14:textId="77777777" w:rsidR="00520046" w:rsidRPr="00CF5ED6" w:rsidRDefault="00520046" w:rsidP="008633F4">
            <w:pPr>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9B2070C" w14:textId="77777777" w:rsidR="00520046" w:rsidRPr="00CF5ED6" w:rsidRDefault="00520046" w:rsidP="008633F4">
            <w:pPr>
              <w:rPr>
                <w:rFonts w:ascii="Arial" w:hAnsi="Arial" w:cs="Arial"/>
                <w:sz w:val="20"/>
                <w:szCs w:val="20"/>
              </w:rPr>
            </w:pPr>
            <w:r w:rsidRPr="00CF5ED6">
              <w:rPr>
                <w:rFonts w:ascii="Arial" w:hAnsi="Arial" w:cs="Arial"/>
                <w:b/>
                <w:sz w:val="20"/>
                <w:szCs w:val="20"/>
              </w:rPr>
              <w:t>KPI 6.7 -</w:t>
            </w:r>
            <w:r w:rsidRPr="00CF5ED6">
              <w:rPr>
                <w:rFonts w:ascii="Arial" w:hAnsi="Arial" w:cs="Arial"/>
                <w:sz w:val="20"/>
                <w:szCs w:val="20"/>
              </w:rPr>
              <w:t xml:space="preserve"> Number of students participating in your project activities who identify as living in a regional and/or remote area as defined by the Modified Monash Model.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C51973" w14:textId="77777777" w:rsidR="00520046" w:rsidRPr="00CF5ED6" w:rsidRDefault="00520046" w:rsidP="008633F4">
            <w:pPr>
              <w:rPr>
                <w:rFonts w:ascii="Arial" w:hAnsi="Arial" w:cs="Arial"/>
                <w:sz w:val="20"/>
                <w:szCs w:val="20"/>
              </w:rPr>
            </w:pPr>
            <w:r w:rsidRPr="00CF5ED6">
              <w:rPr>
                <w:rFonts w:ascii="Arial" w:hAnsi="Arial" w:cs="Arial"/>
                <w:sz w:val="20"/>
                <w:szCs w:val="20"/>
              </w:rPr>
              <w:t xml:space="preserve">This data point aims to measure a program diversity element. This data point is concerned with the number of students participating in SPP who identify as living in a regional and/or remote area. For the purpose of SPP the classification of location will be completed using The Department of Health and Aged Care Modified Monash Model. The Modified Monash Model has seven set locational categories based on the size of the population and distances between towns. Each category has an assigned code of which postcodes have been classified under. The category codes MM2 is to be used for regional locations, and the </w:t>
            </w:r>
            <w:r w:rsidRPr="00CF5ED6">
              <w:rPr>
                <w:rFonts w:ascii="Arial" w:hAnsi="Arial" w:cs="Arial"/>
                <w:sz w:val="20"/>
                <w:szCs w:val="20"/>
              </w:rPr>
              <w:lastRenderedPageBreak/>
              <w:t>category codes MM3, MM4 and MM5 are to be used for rural locations</w:t>
            </w:r>
            <w:r w:rsidRPr="00CF5ED6">
              <w:rPr>
                <w:rStyle w:val="FootnoteReference"/>
                <w:rFonts w:ascii="Arial" w:hAnsi="Arial" w:cs="Arial"/>
                <w:sz w:val="20"/>
                <w:szCs w:val="20"/>
              </w:rPr>
              <w:footnoteReference w:id="8"/>
            </w:r>
            <w:r w:rsidRPr="00CF5ED6">
              <w:rPr>
                <w:rFonts w:ascii="Arial" w:hAnsi="Arial" w:cs="Arial"/>
                <w:sz w:val="20"/>
                <w:szCs w:val="20"/>
              </w:rPr>
              <w:t xml:space="preserve">.  </w:t>
            </w:r>
          </w:p>
          <w:p w14:paraId="5D6E0C32" w14:textId="77777777" w:rsidR="00520046" w:rsidRPr="00CF5ED6" w:rsidRDefault="00520046" w:rsidP="008633F4">
            <w:pPr>
              <w:rPr>
                <w:rFonts w:ascii="Arial" w:hAnsi="Arial" w:cs="Arial"/>
                <w:b/>
                <w:sz w:val="20"/>
                <w:szCs w:val="20"/>
              </w:rPr>
            </w:pPr>
          </w:p>
        </w:tc>
      </w:tr>
    </w:tbl>
    <w:p w14:paraId="4A6D2EBB" w14:textId="5D2F8B93" w:rsidR="00965686" w:rsidRDefault="00965686" w:rsidP="00E37B27"/>
    <w:p w14:paraId="475F019A" w14:textId="67C7A04C" w:rsidR="00965686" w:rsidRPr="00965686" w:rsidRDefault="00965686">
      <w:pPr>
        <w:pStyle w:val="Heading2"/>
      </w:pPr>
      <w:r w:rsidRPr="00965686">
        <w:t>Reporting Data</w:t>
      </w:r>
    </w:p>
    <w:p w14:paraId="1E7A53E6" w14:textId="2D3BCCC4" w:rsidR="00965686" w:rsidRPr="00C57DFB" w:rsidRDefault="00965686" w:rsidP="00E37B27">
      <w:r>
        <w:rPr>
          <w:rFonts w:ascii="Arial" w:hAnsi="Arial" w:cs="Arial"/>
          <w:sz w:val="20"/>
          <w:szCs w:val="20"/>
        </w:rPr>
        <w:t>Successful grantees</w:t>
      </w:r>
      <w:r w:rsidRPr="0020305F">
        <w:rPr>
          <w:rFonts w:ascii="Arial" w:hAnsi="Arial" w:cs="Arial"/>
          <w:sz w:val="20"/>
          <w:szCs w:val="20"/>
        </w:rPr>
        <w:t xml:space="preserve"> will be required to provide qualitative and quantitative reporting using the Participation Data report template provided on</w:t>
      </w:r>
      <w:r w:rsidRPr="0020305F">
        <w:rPr>
          <w:sz w:val="20"/>
          <w:szCs w:val="20"/>
        </w:rPr>
        <w:t xml:space="preserve"> </w:t>
      </w:r>
      <w:hyperlink r:id="rId14" w:history="1">
        <w:r w:rsidRPr="0020305F">
          <w:rPr>
            <w:rStyle w:val="Hyperlink"/>
            <w:rFonts w:ascii="Arial" w:hAnsi="Arial" w:cs="Arial"/>
            <w:sz w:val="20"/>
            <w:szCs w:val="20"/>
          </w:rPr>
          <w:t>business</w:t>
        </w:r>
      </w:hyperlink>
      <w:r w:rsidRPr="0020305F">
        <w:rPr>
          <w:rStyle w:val="Hyperlink"/>
          <w:rFonts w:ascii="Arial" w:hAnsi="Arial" w:cs="Arial"/>
          <w:sz w:val="20"/>
          <w:szCs w:val="20"/>
        </w:rPr>
        <w:t>.gov.au</w:t>
      </w:r>
      <w:r>
        <w:t xml:space="preserve"> </w:t>
      </w:r>
      <w:r w:rsidRPr="0020305F">
        <w:rPr>
          <w:rFonts w:ascii="Arial" w:hAnsi="Arial" w:cs="Arial"/>
          <w:sz w:val="20"/>
          <w:szCs w:val="20"/>
        </w:rPr>
        <w:t>and</w:t>
      </w:r>
      <w:r>
        <w:t xml:space="preserve"> </w:t>
      </w:r>
      <w:hyperlink r:id="rId15" w:history="1">
        <w:r w:rsidRPr="0020305F">
          <w:rPr>
            <w:rStyle w:val="Hyperlink"/>
            <w:rFonts w:ascii="Arial" w:hAnsi="Arial" w:cs="Arial"/>
            <w:sz w:val="20"/>
            <w:szCs w:val="20"/>
          </w:rPr>
          <w:t>GrantConnect</w:t>
        </w:r>
      </w:hyperlink>
      <w:r w:rsidRPr="0020305F">
        <w:rPr>
          <w:rStyle w:val="Hyperlink"/>
          <w:rFonts w:ascii="Arial" w:hAnsi="Arial" w:cs="Arial"/>
          <w:sz w:val="20"/>
          <w:szCs w:val="20"/>
        </w:rPr>
        <w:t>.</w:t>
      </w:r>
    </w:p>
    <w:p w14:paraId="0C7B4AB1" w14:textId="667E1A04" w:rsidR="00B56154" w:rsidRPr="00965686" w:rsidRDefault="00B56154" w:rsidP="00965686">
      <w:pPr>
        <w:pStyle w:val="Heading3"/>
      </w:pPr>
      <w:r w:rsidRPr="00965686">
        <w:t>Quantitative Data</w:t>
      </w:r>
    </w:p>
    <w:p w14:paraId="543E083B" w14:textId="58294DA9" w:rsidR="00B56154" w:rsidRDefault="00B56154" w:rsidP="00B56154">
      <w:pPr>
        <w:rPr>
          <w:rFonts w:ascii="Arial" w:hAnsi="Arial" w:cs="Arial"/>
          <w:sz w:val="20"/>
          <w:szCs w:val="20"/>
        </w:rPr>
      </w:pPr>
      <w:r>
        <w:rPr>
          <w:rFonts w:ascii="Arial" w:hAnsi="Arial" w:cs="Arial"/>
          <w:sz w:val="20"/>
          <w:szCs w:val="20"/>
        </w:rPr>
        <w:t>A</w:t>
      </w:r>
      <w:r w:rsidR="00287444">
        <w:rPr>
          <w:rFonts w:ascii="Arial" w:hAnsi="Arial" w:cs="Arial"/>
          <w:sz w:val="20"/>
          <w:szCs w:val="20"/>
        </w:rPr>
        <w:t xml:space="preserve">t each progress report </w:t>
      </w:r>
      <w:r w:rsidR="00396AEE">
        <w:rPr>
          <w:rFonts w:ascii="Arial" w:hAnsi="Arial" w:cs="Arial"/>
          <w:sz w:val="20"/>
          <w:szCs w:val="20"/>
        </w:rPr>
        <w:t xml:space="preserve">and at the end of project report, </w:t>
      </w:r>
      <w:r w:rsidR="008F2EDA">
        <w:rPr>
          <w:rFonts w:ascii="Arial" w:hAnsi="Arial" w:cs="Arial"/>
          <w:sz w:val="20"/>
          <w:szCs w:val="20"/>
        </w:rPr>
        <w:t>successful</w:t>
      </w:r>
      <w:r>
        <w:rPr>
          <w:rFonts w:ascii="Arial" w:hAnsi="Arial" w:cs="Arial"/>
          <w:sz w:val="20"/>
          <w:szCs w:val="20"/>
        </w:rPr>
        <w:t xml:space="preserve"> grantee</w:t>
      </w:r>
      <w:r w:rsidR="008F2EDA">
        <w:rPr>
          <w:rFonts w:ascii="Arial" w:hAnsi="Arial" w:cs="Arial"/>
          <w:sz w:val="20"/>
          <w:szCs w:val="20"/>
        </w:rPr>
        <w:t xml:space="preserve">s will be </w:t>
      </w:r>
      <w:r>
        <w:rPr>
          <w:rFonts w:ascii="Arial" w:hAnsi="Arial" w:cs="Arial"/>
          <w:sz w:val="20"/>
          <w:szCs w:val="20"/>
        </w:rPr>
        <w:t>required to</w:t>
      </w:r>
      <w:r w:rsidR="00287444">
        <w:rPr>
          <w:rFonts w:ascii="Arial" w:hAnsi="Arial" w:cs="Arial"/>
          <w:sz w:val="20"/>
          <w:szCs w:val="20"/>
        </w:rPr>
        <w:t xml:space="preserve"> provide </w:t>
      </w:r>
      <w:r w:rsidR="00FF3839">
        <w:rPr>
          <w:rFonts w:ascii="Arial" w:hAnsi="Arial" w:cs="Arial"/>
          <w:sz w:val="20"/>
          <w:szCs w:val="20"/>
        </w:rPr>
        <w:t>quantitative</w:t>
      </w:r>
      <w:r w:rsidR="00287444">
        <w:rPr>
          <w:rFonts w:ascii="Arial" w:hAnsi="Arial" w:cs="Arial"/>
          <w:sz w:val="20"/>
          <w:szCs w:val="20"/>
        </w:rPr>
        <w:t xml:space="preserve"> data in relation to the</w:t>
      </w:r>
      <w:r>
        <w:rPr>
          <w:rFonts w:ascii="Arial" w:hAnsi="Arial" w:cs="Arial"/>
          <w:sz w:val="20"/>
          <w:szCs w:val="20"/>
        </w:rPr>
        <w:t>:</w:t>
      </w:r>
    </w:p>
    <w:p w14:paraId="22D52524" w14:textId="43952B67" w:rsidR="00287444" w:rsidRDefault="00287444" w:rsidP="00287444">
      <w:pPr>
        <w:pStyle w:val="ListParagraph"/>
        <w:numPr>
          <w:ilvl w:val="0"/>
          <w:numId w:val="13"/>
        </w:numPr>
        <w:tabs>
          <w:tab w:val="clear" w:pos="4513"/>
          <w:tab w:val="clear" w:pos="9026"/>
        </w:tabs>
        <w:rPr>
          <w:rFonts w:ascii="Arial" w:hAnsi="Arial" w:cs="Arial"/>
          <w:sz w:val="20"/>
          <w:szCs w:val="20"/>
        </w:rPr>
      </w:pPr>
      <w:r w:rsidRPr="0020305F">
        <w:rPr>
          <w:rFonts w:ascii="Arial" w:hAnsi="Arial" w:cs="Arial"/>
          <w:sz w:val="20"/>
          <w:szCs w:val="20"/>
        </w:rPr>
        <w:t>total number of individual students who participated in the project activities, and a breakdown of the data by schooling year, gender (male/female/otherwise not specified), and location (metro, regional or rural)</w:t>
      </w:r>
    </w:p>
    <w:p w14:paraId="65FEA3A0" w14:textId="4CAEF48B" w:rsidR="00287444" w:rsidRPr="0020305F" w:rsidRDefault="00287444" w:rsidP="00287444">
      <w:pPr>
        <w:pStyle w:val="ListParagraph"/>
        <w:numPr>
          <w:ilvl w:val="0"/>
          <w:numId w:val="13"/>
        </w:numPr>
        <w:tabs>
          <w:tab w:val="clear" w:pos="4513"/>
          <w:tab w:val="clear" w:pos="9026"/>
        </w:tabs>
        <w:rPr>
          <w:rFonts w:ascii="Arial" w:hAnsi="Arial" w:cs="Arial"/>
          <w:sz w:val="20"/>
          <w:szCs w:val="20"/>
        </w:rPr>
      </w:pPr>
      <w:r w:rsidRPr="0020305F">
        <w:rPr>
          <w:rFonts w:ascii="Arial" w:hAnsi="Arial" w:cs="Arial"/>
          <w:sz w:val="20"/>
          <w:szCs w:val="20"/>
        </w:rPr>
        <w:t>total number of individual teachers who participated in the project activities, and a breakdown of the data by gender (male/female/otherwise not specified)</w:t>
      </w:r>
    </w:p>
    <w:p w14:paraId="74D83140" w14:textId="6EE86870" w:rsidR="00287444" w:rsidRPr="0020305F" w:rsidRDefault="00287444" w:rsidP="00287444">
      <w:pPr>
        <w:pStyle w:val="ListParagraph"/>
        <w:numPr>
          <w:ilvl w:val="0"/>
          <w:numId w:val="13"/>
        </w:numPr>
        <w:tabs>
          <w:tab w:val="clear" w:pos="4513"/>
          <w:tab w:val="clear" w:pos="9026"/>
        </w:tabs>
        <w:rPr>
          <w:rFonts w:ascii="Arial" w:hAnsi="Arial" w:cs="Arial"/>
          <w:sz w:val="20"/>
          <w:szCs w:val="20"/>
        </w:rPr>
      </w:pPr>
      <w:r w:rsidRPr="0020305F">
        <w:rPr>
          <w:rFonts w:ascii="Arial" w:hAnsi="Arial" w:cs="Arial"/>
          <w:sz w:val="20"/>
          <w:szCs w:val="20"/>
        </w:rPr>
        <w:t>total number of parents/caregivers who participated in the project activities, and a breakdown of the data by location (metro, regional or rural)</w:t>
      </w:r>
    </w:p>
    <w:p w14:paraId="24E65552" w14:textId="64FB78C3" w:rsidR="00287444" w:rsidRPr="0020305F" w:rsidRDefault="00287444" w:rsidP="00287444">
      <w:pPr>
        <w:pStyle w:val="ListParagraph"/>
        <w:numPr>
          <w:ilvl w:val="0"/>
          <w:numId w:val="13"/>
        </w:numPr>
        <w:tabs>
          <w:tab w:val="clear" w:pos="4513"/>
          <w:tab w:val="clear" w:pos="9026"/>
        </w:tabs>
        <w:rPr>
          <w:rFonts w:ascii="Arial" w:hAnsi="Arial" w:cs="Arial"/>
          <w:sz w:val="20"/>
          <w:szCs w:val="20"/>
        </w:rPr>
      </w:pPr>
      <w:r w:rsidRPr="0020305F">
        <w:rPr>
          <w:rFonts w:ascii="Arial" w:hAnsi="Arial" w:cs="Arial"/>
          <w:sz w:val="20"/>
          <w:szCs w:val="20"/>
        </w:rPr>
        <w:t>total number of defence industry businesses participated in the project activities</w:t>
      </w:r>
    </w:p>
    <w:p w14:paraId="3363E203" w14:textId="1E54B638" w:rsidR="00287444" w:rsidRPr="00124978" w:rsidRDefault="00287444" w:rsidP="00287444">
      <w:pPr>
        <w:pStyle w:val="ListParagraph"/>
        <w:numPr>
          <w:ilvl w:val="0"/>
          <w:numId w:val="13"/>
        </w:numPr>
        <w:tabs>
          <w:tab w:val="clear" w:pos="4513"/>
          <w:tab w:val="clear" w:pos="9026"/>
        </w:tabs>
        <w:rPr>
          <w:sz w:val="20"/>
          <w:szCs w:val="20"/>
        </w:rPr>
      </w:pPr>
      <w:r w:rsidRPr="0020305F">
        <w:rPr>
          <w:rFonts w:ascii="Arial" w:hAnsi="Arial" w:cs="Arial"/>
          <w:sz w:val="20"/>
          <w:szCs w:val="20"/>
        </w:rPr>
        <w:t>total number of defence industry mentors who participated in the project activities, and a breakdown of the data by gender (male/female/otherwise not specified)</w:t>
      </w:r>
    </w:p>
    <w:p w14:paraId="1352C88B" w14:textId="6DA13793" w:rsidR="00287444" w:rsidRPr="00CF5ED6" w:rsidRDefault="00287444" w:rsidP="00CF5ED6">
      <w:pPr>
        <w:pStyle w:val="ListParagraph"/>
        <w:numPr>
          <w:ilvl w:val="0"/>
          <w:numId w:val="13"/>
        </w:numPr>
        <w:rPr>
          <w:rFonts w:ascii="Arial" w:hAnsi="Arial" w:cs="Arial"/>
          <w:i/>
          <w:sz w:val="20"/>
          <w:szCs w:val="20"/>
        </w:rPr>
      </w:pPr>
      <w:r>
        <w:rPr>
          <w:rFonts w:ascii="Arial" w:hAnsi="Arial" w:cs="Arial"/>
          <w:sz w:val="20"/>
          <w:szCs w:val="20"/>
        </w:rPr>
        <w:t>Key Performance I</w:t>
      </w:r>
      <w:r w:rsidR="00B56154" w:rsidRPr="00124978">
        <w:rPr>
          <w:rFonts w:ascii="Arial" w:hAnsi="Arial" w:cs="Arial"/>
          <w:sz w:val="20"/>
          <w:szCs w:val="20"/>
        </w:rPr>
        <w:t xml:space="preserve">ndicator data as agreed in </w:t>
      </w:r>
      <w:r w:rsidR="00B56154">
        <w:rPr>
          <w:rFonts w:ascii="Arial" w:hAnsi="Arial" w:cs="Arial"/>
          <w:sz w:val="20"/>
          <w:szCs w:val="20"/>
        </w:rPr>
        <w:t xml:space="preserve">your </w:t>
      </w:r>
      <w:r w:rsidR="00B56154" w:rsidRPr="00124978">
        <w:rPr>
          <w:rFonts w:ascii="Arial" w:hAnsi="Arial" w:cs="Arial"/>
          <w:sz w:val="20"/>
          <w:szCs w:val="20"/>
        </w:rPr>
        <w:t>grant agreement</w:t>
      </w:r>
      <w:r w:rsidR="00396AEE">
        <w:rPr>
          <w:rFonts w:ascii="Arial" w:hAnsi="Arial" w:cs="Arial"/>
          <w:i/>
          <w:sz w:val="20"/>
          <w:szCs w:val="20"/>
        </w:rPr>
        <w:t>.</w:t>
      </w:r>
    </w:p>
    <w:p w14:paraId="313F16F6" w14:textId="5169CBB7" w:rsidR="00E37B27" w:rsidRPr="00965686" w:rsidRDefault="00E37B27" w:rsidP="00965686">
      <w:pPr>
        <w:pStyle w:val="Heading3"/>
      </w:pPr>
      <w:r w:rsidRPr="00965686">
        <w:t>Qualitative</w:t>
      </w:r>
      <w:r w:rsidR="009371A2" w:rsidRPr="00965686">
        <w:t xml:space="preserve"> Data</w:t>
      </w:r>
    </w:p>
    <w:p w14:paraId="33E89147" w14:textId="01AD28B9" w:rsidR="009841E3" w:rsidRDefault="00396AEE" w:rsidP="00E37B27">
      <w:pPr>
        <w:rPr>
          <w:rFonts w:ascii="Arial" w:hAnsi="Arial" w:cs="Arial"/>
          <w:sz w:val="20"/>
          <w:szCs w:val="20"/>
        </w:rPr>
      </w:pPr>
      <w:r>
        <w:rPr>
          <w:rFonts w:ascii="Arial" w:hAnsi="Arial" w:cs="Arial"/>
          <w:sz w:val="20"/>
          <w:szCs w:val="20"/>
        </w:rPr>
        <w:t>At each progress report and at the end of project report, s</w:t>
      </w:r>
      <w:r w:rsidR="00C57DFB">
        <w:rPr>
          <w:rFonts w:ascii="Arial" w:hAnsi="Arial" w:cs="Arial"/>
          <w:sz w:val="20"/>
          <w:szCs w:val="20"/>
        </w:rPr>
        <w:t xml:space="preserve">uccessful </w:t>
      </w:r>
      <w:r w:rsidR="002C66A9">
        <w:rPr>
          <w:rFonts w:ascii="Arial" w:hAnsi="Arial" w:cs="Arial"/>
          <w:sz w:val="20"/>
          <w:szCs w:val="20"/>
        </w:rPr>
        <w:t>grant</w:t>
      </w:r>
      <w:r w:rsidR="00077955">
        <w:rPr>
          <w:rFonts w:ascii="Arial" w:hAnsi="Arial" w:cs="Arial"/>
          <w:sz w:val="20"/>
          <w:szCs w:val="20"/>
        </w:rPr>
        <w:t>ee</w:t>
      </w:r>
      <w:r w:rsidR="00C57DFB">
        <w:rPr>
          <w:rFonts w:ascii="Arial" w:hAnsi="Arial" w:cs="Arial"/>
          <w:sz w:val="20"/>
          <w:szCs w:val="20"/>
        </w:rPr>
        <w:t xml:space="preserve">s will be </w:t>
      </w:r>
      <w:r w:rsidR="009841E3">
        <w:rPr>
          <w:rFonts w:ascii="Arial" w:hAnsi="Arial" w:cs="Arial"/>
          <w:sz w:val="20"/>
          <w:szCs w:val="20"/>
        </w:rPr>
        <w:t>required</w:t>
      </w:r>
      <w:r w:rsidR="00D609EB">
        <w:rPr>
          <w:rFonts w:ascii="Arial" w:hAnsi="Arial" w:cs="Arial"/>
          <w:sz w:val="20"/>
          <w:szCs w:val="20"/>
        </w:rPr>
        <w:t xml:space="preserve"> t</w:t>
      </w:r>
      <w:r w:rsidR="002C66A9">
        <w:rPr>
          <w:rFonts w:ascii="Arial" w:hAnsi="Arial" w:cs="Arial"/>
          <w:sz w:val="20"/>
          <w:szCs w:val="20"/>
        </w:rPr>
        <w:t>o</w:t>
      </w:r>
      <w:r w:rsidR="009841E3">
        <w:rPr>
          <w:rFonts w:ascii="Arial" w:hAnsi="Arial" w:cs="Arial"/>
          <w:sz w:val="20"/>
          <w:szCs w:val="20"/>
        </w:rPr>
        <w:t>:</w:t>
      </w:r>
    </w:p>
    <w:p w14:paraId="62C91E65" w14:textId="630B1E68" w:rsidR="008F2EDA" w:rsidRPr="00520046" w:rsidRDefault="008F2EDA" w:rsidP="00520046">
      <w:pPr>
        <w:pStyle w:val="ListParagraph"/>
        <w:numPr>
          <w:ilvl w:val="0"/>
          <w:numId w:val="13"/>
        </w:numPr>
        <w:tabs>
          <w:tab w:val="clear" w:pos="4513"/>
          <w:tab w:val="clear" w:pos="9026"/>
        </w:tabs>
        <w:rPr>
          <w:rFonts w:ascii="Arial" w:hAnsi="Arial" w:cs="Arial"/>
          <w:sz w:val="20"/>
          <w:szCs w:val="20"/>
        </w:rPr>
      </w:pPr>
      <w:r w:rsidRPr="00520046">
        <w:rPr>
          <w:rFonts w:ascii="Arial" w:hAnsi="Arial" w:cs="Arial"/>
          <w:sz w:val="20"/>
          <w:szCs w:val="20"/>
        </w:rPr>
        <w:t>outline the project outcomes achieved during the reporting period, measured against the outcomes of the Schools Pathways Program using the Schools Pathways Program Key Performance Indicators (KPIs) document published on business.gov.au and GrantConnect</w:t>
      </w:r>
    </w:p>
    <w:p w14:paraId="78324515" w14:textId="25708E50" w:rsidR="009841E3" w:rsidRDefault="000A4062" w:rsidP="00E52A54">
      <w:pPr>
        <w:pStyle w:val="ListParagraph"/>
        <w:numPr>
          <w:ilvl w:val="0"/>
          <w:numId w:val="13"/>
        </w:numPr>
        <w:tabs>
          <w:tab w:val="clear" w:pos="4513"/>
          <w:tab w:val="clear" w:pos="9026"/>
        </w:tabs>
      </w:pPr>
      <w:r>
        <w:rPr>
          <w:rFonts w:ascii="Arial" w:hAnsi="Arial" w:cs="Arial"/>
          <w:sz w:val="20"/>
          <w:szCs w:val="20"/>
        </w:rPr>
        <w:t>describe their</w:t>
      </w:r>
      <w:r w:rsidR="009D0BE4">
        <w:rPr>
          <w:rFonts w:ascii="Arial" w:hAnsi="Arial" w:cs="Arial"/>
          <w:sz w:val="20"/>
          <w:szCs w:val="20"/>
        </w:rPr>
        <w:t xml:space="preserve"> </w:t>
      </w:r>
      <w:r w:rsidR="0035530E">
        <w:rPr>
          <w:rFonts w:ascii="Arial" w:hAnsi="Arial" w:cs="Arial"/>
          <w:sz w:val="20"/>
          <w:szCs w:val="20"/>
        </w:rPr>
        <w:t>p</w:t>
      </w:r>
      <w:r w:rsidR="002C66A9" w:rsidRPr="00CF5ED6">
        <w:rPr>
          <w:rFonts w:ascii="Arial" w:hAnsi="Arial" w:cs="Arial"/>
          <w:sz w:val="20"/>
          <w:szCs w:val="20"/>
        </w:rPr>
        <w:t>rogress</w:t>
      </w:r>
      <w:r w:rsidR="0035530E">
        <w:rPr>
          <w:rFonts w:ascii="Arial" w:hAnsi="Arial" w:cs="Arial"/>
          <w:sz w:val="20"/>
          <w:szCs w:val="20"/>
        </w:rPr>
        <w:t xml:space="preserve"> towards </w:t>
      </w:r>
      <w:r w:rsidR="002C66A9" w:rsidRPr="00CF5ED6">
        <w:rPr>
          <w:rFonts w:ascii="Arial" w:hAnsi="Arial" w:cs="Arial"/>
          <w:sz w:val="20"/>
          <w:szCs w:val="20"/>
        </w:rPr>
        <w:t>meet</w:t>
      </w:r>
      <w:r w:rsidR="0035530E">
        <w:rPr>
          <w:rFonts w:ascii="Arial" w:hAnsi="Arial" w:cs="Arial"/>
          <w:sz w:val="20"/>
          <w:szCs w:val="20"/>
        </w:rPr>
        <w:t>ing</w:t>
      </w:r>
      <w:r w:rsidR="002C66A9" w:rsidRPr="00CF5ED6">
        <w:rPr>
          <w:rFonts w:ascii="Arial" w:hAnsi="Arial" w:cs="Arial"/>
          <w:sz w:val="20"/>
          <w:szCs w:val="20"/>
        </w:rPr>
        <w:t xml:space="preserve"> the ou</w:t>
      </w:r>
      <w:r w:rsidR="009841E3" w:rsidRPr="00D832B3">
        <w:rPr>
          <w:rFonts w:ascii="Arial" w:hAnsi="Arial" w:cs="Arial"/>
          <w:sz w:val="20"/>
          <w:szCs w:val="20"/>
        </w:rPr>
        <w:t>tcomes of the grant opportunity</w:t>
      </w:r>
      <w:r w:rsidR="002C66A9" w:rsidRPr="00CF5ED6">
        <w:rPr>
          <w:rFonts w:ascii="Arial" w:hAnsi="Arial" w:cs="Arial"/>
          <w:sz w:val="20"/>
          <w:szCs w:val="20"/>
        </w:rPr>
        <w:t xml:space="preserve"> </w:t>
      </w:r>
    </w:p>
    <w:p w14:paraId="1CEDD2FD" w14:textId="6A10585E" w:rsidR="0035530E" w:rsidRDefault="00E37B27" w:rsidP="00520046">
      <w:pPr>
        <w:pStyle w:val="ListParagraph"/>
        <w:numPr>
          <w:ilvl w:val="0"/>
          <w:numId w:val="13"/>
        </w:numPr>
        <w:tabs>
          <w:tab w:val="clear" w:pos="4513"/>
          <w:tab w:val="clear" w:pos="9026"/>
        </w:tabs>
        <w:rPr>
          <w:rFonts w:ascii="Arial" w:hAnsi="Arial" w:cs="Arial"/>
          <w:sz w:val="20"/>
          <w:szCs w:val="20"/>
        </w:rPr>
      </w:pPr>
      <w:r w:rsidRPr="00CF5ED6">
        <w:rPr>
          <w:rFonts w:ascii="Arial" w:hAnsi="Arial" w:cs="Arial"/>
          <w:sz w:val="20"/>
          <w:szCs w:val="20"/>
        </w:rPr>
        <w:t xml:space="preserve">identify </w:t>
      </w:r>
      <w:r w:rsidR="008F2EDA">
        <w:rPr>
          <w:rFonts w:ascii="Arial" w:hAnsi="Arial" w:cs="Arial"/>
          <w:sz w:val="20"/>
          <w:szCs w:val="20"/>
        </w:rPr>
        <w:t xml:space="preserve">any </w:t>
      </w:r>
      <w:r w:rsidRPr="00CF5ED6">
        <w:rPr>
          <w:rFonts w:ascii="Arial" w:hAnsi="Arial" w:cs="Arial"/>
          <w:sz w:val="20"/>
          <w:szCs w:val="20"/>
        </w:rPr>
        <w:t>succes</w:t>
      </w:r>
      <w:r w:rsidR="0035530E">
        <w:rPr>
          <w:rFonts w:ascii="Arial" w:hAnsi="Arial" w:cs="Arial"/>
          <w:sz w:val="20"/>
          <w:szCs w:val="20"/>
        </w:rPr>
        <w:t xml:space="preserve">s </w:t>
      </w:r>
      <w:r w:rsidRPr="00CF5ED6">
        <w:rPr>
          <w:rFonts w:ascii="Arial" w:hAnsi="Arial" w:cs="Arial"/>
          <w:sz w:val="20"/>
          <w:szCs w:val="20"/>
        </w:rPr>
        <w:t>and</w:t>
      </w:r>
      <w:r w:rsidR="008F2EDA">
        <w:rPr>
          <w:rFonts w:ascii="Arial" w:hAnsi="Arial" w:cs="Arial"/>
          <w:sz w:val="20"/>
          <w:szCs w:val="20"/>
        </w:rPr>
        <w:t>/or</w:t>
      </w:r>
      <w:r w:rsidR="0035530E" w:rsidRPr="00CF5ED6">
        <w:rPr>
          <w:rFonts w:ascii="Arial" w:hAnsi="Arial" w:cs="Arial"/>
          <w:sz w:val="20"/>
          <w:szCs w:val="20"/>
        </w:rPr>
        <w:t xml:space="preserve"> </w:t>
      </w:r>
      <w:r w:rsidRPr="00CF5ED6">
        <w:rPr>
          <w:rFonts w:ascii="Arial" w:hAnsi="Arial" w:cs="Arial"/>
          <w:sz w:val="20"/>
          <w:szCs w:val="20"/>
        </w:rPr>
        <w:t xml:space="preserve">barriers </w:t>
      </w:r>
      <w:r w:rsidR="009371A2" w:rsidRPr="00CF5ED6">
        <w:rPr>
          <w:rFonts w:ascii="Arial" w:hAnsi="Arial" w:cs="Arial"/>
          <w:sz w:val="20"/>
          <w:szCs w:val="20"/>
        </w:rPr>
        <w:t>during the milestone reporting period</w:t>
      </w:r>
    </w:p>
    <w:p w14:paraId="67DD9222" w14:textId="08162B23" w:rsidR="008F2EDA" w:rsidRPr="00520046" w:rsidRDefault="008F2EDA" w:rsidP="00520046">
      <w:pPr>
        <w:pStyle w:val="ListParagraph"/>
        <w:numPr>
          <w:ilvl w:val="0"/>
          <w:numId w:val="13"/>
        </w:numPr>
        <w:tabs>
          <w:tab w:val="clear" w:pos="4513"/>
          <w:tab w:val="clear" w:pos="9026"/>
        </w:tabs>
        <w:rPr>
          <w:rFonts w:ascii="Arial" w:hAnsi="Arial" w:cs="Arial"/>
          <w:sz w:val="20"/>
          <w:szCs w:val="20"/>
        </w:rPr>
      </w:pPr>
      <w:r w:rsidRPr="00520046">
        <w:rPr>
          <w:rFonts w:ascii="Arial" w:hAnsi="Arial" w:cs="Arial"/>
          <w:sz w:val="20"/>
          <w:szCs w:val="20"/>
        </w:rPr>
        <w:t>provide a list of all defence industry businesses which participated in the project; and</w:t>
      </w:r>
    </w:p>
    <w:p w14:paraId="3A3C1059" w14:textId="5EB34E92" w:rsidR="008F2EDA" w:rsidRPr="00520046" w:rsidRDefault="008F2EDA" w:rsidP="00520046">
      <w:pPr>
        <w:pStyle w:val="ListParagraph"/>
        <w:numPr>
          <w:ilvl w:val="0"/>
          <w:numId w:val="13"/>
        </w:numPr>
        <w:tabs>
          <w:tab w:val="clear" w:pos="4513"/>
          <w:tab w:val="clear" w:pos="9026"/>
        </w:tabs>
        <w:rPr>
          <w:rFonts w:ascii="Arial" w:hAnsi="Arial" w:cs="Arial"/>
          <w:sz w:val="20"/>
          <w:szCs w:val="20"/>
        </w:rPr>
      </w:pPr>
      <w:r w:rsidRPr="00520046">
        <w:rPr>
          <w:rFonts w:ascii="Arial" w:hAnsi="Arial" w:cs="Arial"/>
          <w:sz w:val="20"/>
          <w:szCs w:val="20"/>
        </w:rPr>
        <w:t>provide a list of all schools which participated in the project.</w:t>
      </w:r>
    </w:p>
    <w:p w14:paraId="1DA9F1D4" w14:textId="77777777" w:rsidR="00FB6A3A" w:rsidRDefault="00FB6A3A" w:rsidP="00CF5ED6">
      <w:pPr>
        <w:pStyle w:val="ListParagraph"/>
        <w:numPr>
          <w:ilvl w:val="0"/>
          <w:numId w:val="0"/>
        </w:numPr>
        <w:ind w:left="720"/>
        <w:rPr>
          <w:rFonts w:ascii="Arial" w:hAnsi="Arial" w:cs="Arial"/>
          <w:sz w:val="20"/>
          <w:szCs w:val="20"/>
        </w:rPr>
      </w:pPr>
    </w:p>
    <w:p w14:paraId="3D4E962F" w14:textId="77777777" w:rsidR="00073AEE" w:rsidRPr="00CF5ED6" w:rsidRDefault="00073AEE" w:rsidP="00965686">
      <w:pPr>
        <w:rPr>
          <w:rFonts w:ascii="Arial" w:hAnsi="Arial" w:cs="Arial"/>
        </w:rPr>
      </w:pPr>
    </w:p>
    <w:sectPr w:rsidR="00073AEE" w:rsidRPr="00CF5ED6" w:rsidSect="003C6431">
      <w:headerReference w:type="default" r:id="rId16"/>
      <w:footerReference w:type="default" r:id="rId17"/>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F2F29" w14:textId="77777777" w:rsidR="00B52F06" w:rsidRDefault="00B52F06" w:rsidP="00073AEE">
      <w:pPr>
        <w:spacing w:after="0" w:line="240" w:lineRule="auto"/>
      </w:pPr>
      <w:r>
        <w:separator/>
      </w:r>
    </w:p>
  </w:endnote>
  <w:endnote w:type="continuationSeparator" w:id="0">
    <w:p w14:paraId="5E6A1E70" w14:textId="77777777" w:rsidR="00B52F06" w:rsidRDefault="00B52F06" w:rsidP="0007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ACDD" w14:textId="4D5D25F2" w:rsidR="005D3872" w:rsidRPr="00CF5ED6" w:rsidRDefault="003C6431" w:rsidP="00CF5ED6">
    <w:pPr>
      <w:pStyle w:val="Header"/>
      <w:rPr>
        <w:b/>
        <w:color w:val="FF0000"/>
        <w:sz w:val="24"/>
      </w:rPr>
    </w:pPr>
    <w:r>
      <w:t>July 2024</w:t>
    </w:r>
    <w:r w:rsidR="00B71054">
      <w:tab/>
    </w:r>
    <w:r w:rsidR="00B71054">
      <w:fldChar w:fldCharType="begin"/>
    </w:r>
    <w:r w:rsidR="00B71054">
      <w:instrText xml:space="preserve"> PAGE   \* MERGEFORMAT </w:instrText>
    </w:r>
    <w:r w:rsidR="00B71054">
      <w:fldChar w:fldCharType="separate"/>
    </w:r>
    <w:r w:rsidR="004D180E">
      <w:rPr>
        <w:noProof/>
      </w:rPr>
      <w:t>8</w:t>
    </w:r>
    <w:r w:rsidR="00B71054">
      <w:rPr>
        <w:noProof/>
      </w:rPr>
      <w:fldChar w:fldCharType="end"/>
    </w:r>
    <w:r w:rsidR="00B71054">
      <w:rPr>
        <w:noProof/>
      </w:rPr>
      <w:t xml:space="preserve"> of </w:t>
    </w:r>
    <w:r w:rsidR="00B71054">
      <w:rPr>
        <w:noProof/>
      </w:rPr>
      <w:fldChar w:fldCharType="begin"/>
    </w:r>
    <w:r w:rsidR="00B71054">
      <w:rPr>
        <w:noProof/>
      </w:rPr>
      <w:instrText xml:space="preserve"> NUMPAGES  \* Arabic  \* MERGEFORMAT </w:instrText>
    </w:r>
    <w:r w:rsidR="00B71054">
      <w:rPr>
        <w:noProof/>
      </w:rPr>
      <w:fldChar w:fldCharType="separate"/>
    </w:r>
    <w:r w:rsidR="004D180E">
      <w:rPr>
        <w:noProof/>
      </w:rPr>
      <w:t>8</w:t>
    </w:r>
    <w:r w:rsidR="00B7105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FE9A6" w14:textId="77777777" w:rsidR="00B52F06" w:rsidRDefault="00B52F06" w:rsidP="00073AEE">
      <w:pPr>
        <w:spacing w:after="0" w:line="240" w:lineRule="auto"/>
      </w:pPr>
      <w:r>
        <w:separator/>
      </w:r>
    </w:p>
  </w:footnote>
  <w:footnote w:type="continuationSeparator" w:id="0">
    <w:p w14:paraId="54592BCF" w14:textId="77777777" w:rsidR="00B52F06" w:rsidRDefault="00B52F06" w:rsidP="00073AEE">
      <w:pPr>
        <w:spacing w:after="0" w:line="240" w:lineRule="auto"/>
      </w:pPr>
      <w:r>
        <w:continuationSeparator/>
      </w:r>
    </w:p>
  </w:footnote>
  <w:footnote w:id="1">
    <w:p w14:paraId="07D24E5E" w14:textId="77777777" w:rsidR="00520046" w:rsidRPr="00CF5ED6" w:rsidRDefault="00520046" w:rsidP="00520046">
      <w:pPr>
        <w:pStyle w:val="EndnoteText"/>
        <w:rPr>
          <w:rFonts w:ascii="Arial" w:hAnsi="Arial" w:cs="Arial"/>
          <w:sz w:val="16"/>
          <w:szCs w:val="16"/>
        </w:rPr>
      </w:pPr>
      <w:r w:rsidRPr="00CF5ED6">
        <w:rPr>
          <w:rStyle w:val="FootnoteReference"/>
          <w:rFonts w:ascii="Arial" w:hAnsi="Arial" w:cs="Arial"/>
          <w:sz w:val="16"/>
          <w:szCs w:val="16"/>
        </w:rPr>
        <w:footnoteRef/>
      </w:r>
      <w:r w:rsidRPr="00CF5ED6">
        <w:rPr>
          <w:rFonts w:ascii="Arial" w:hAnsi="Arial" w:cs="Arial"/>
          <w:sz w:val="16"/>
          <w:szCs w:val="16"/>
        </w:rPr>
        <w:t xml:space="preserve"> In this definition defence industry consists of businesses with an Australian Business Number and an Australian based industrial capability that provides or has the capacity to provide defence specific or dual-use goods or services in a supply chain that leads to the Australian Department of Defence or an international defence force.</w:t>
      </w:r>
    </w:p>
    <w:p w14:paraId="2A151BE1" w14:textId="77777777" w:rsidR="00520046" w:rsidRPr="00FF1A3F" w:rsidRDefault="00520046" w:rsidP="00520046">
      <w:pPr>
        <w:pStyle w:val="FootnoteText"/>
        <w:rPr>
          <w:sz w:val="16"/>
          <w:szCs w:val="16"/>
        </w:rPr>
      </w:pPr>
    </w:p>
  </w:footnote>
  <w:footnote w:id="2">
    <w:p w14:paraId="06DB5544" w14:textId="77777777" w:rsidR="00520046" w:rsidRDefault="00520046" w:rsidP="00520046">
      <w:pPr>
        <w:pStyle w:val="FootnoteText"/>
      </w:pPr>
      <w:r w:rsidRPr="00220586">
        <w:rPr>
          <w:rStyle w:val="FootnoteReference"/>
          <w:sz w:val="16"/>
        </w:rPr>
        <w:footnoteRef/>
      </w:r>
      <w:r w:rsidRPr="00220586">
        <w:rPr>
          <w:sz w:val="16"/>
        </w:rPr>
        <w:t xml:space="preserve"> The South Australian Defence Industry and Workforce Skills report can be located at: </w:t>
      </w:r>
      <w:hyperlink r:id="rId1" w:history="1">
        <w:r w:rsidRPr="00220586">
          <w:rPr>
            <w:rStyle w:val="Hyperlink"/>
            <w:sz w:val="16"/>
          </w:rPr>
          <w:t>https://www.defence.gov.au/about/reviews-inquiries/south-australian-defence-industry-workforce-skills-report</w:t>
        </w:r>
      </w:hyperlink>
      <w:r w:rsidRPr="00220586">
        <w:rPr>
          <w:sz w:val="16"/>
        </w:rPr>
        <w:t xml:space="preserve"> </w:t>
      </w:r>
    </w:p>
  </w:footnote>
  <w:footnote w:id="3">
    <w:p w14:paraId="2762D2F8" w14:textId="77777777" w:rsidR="00520046" w:rsidRPr="00220586" w:rsidRDefault="00520046" w:rsidP="00520046">
      <w:pPr>
        <w:pStyle w:val="FootnoteText"/>
        <w:rPr>
          <w:sz w:val="16"/>
          <w:szCs w:val="18"/>
        </w:rPr>
      </w:pPr>
      <w:r w:rsidRPr="00220586">
        <w:rPr>
          <w:rStyle w:val="FootnoteReference"/>
          <w:sz w:val="16"/>
          <w:szCs w:val="18"/>
        </w:rPr>
        <w:footnoteRef/>
      </w:r>
      <w:r w:rsidRPr="00220586">
        <w:rPr>
          <w:sz w:val="16"/>
          <w:szCs w:val="18"/>
        </w:rPr>
        <w:t xml:space="preserve"> </w:t>
      </w:r>
      <w:r w:rsidRPr="00CF5ED6">
        <w:rPr>
          <w:rFonts w:ascii="Arial" w:hAnsi="Arial" w:cs="Arial"/>
          <w:sz w:val="16"/>
          <w:szCs w:val="18"/>
        </w:rPr>
        <w:t>For the purposes of the grant opportunity a definition of traditionally underrepresented groups will be provided in the glossary of the grant guidelines.</w:t>
      </w:r>
      <w:r w:rsidRPr="00220586">
        <w:rPr>
          <w:sz w:val="16"/>
          <w:szCs w:val="18"/>
        </w:rPr>
        <w:t xml:space="preserve"> </w:t>
      </w:r>
    </w:p>
  </w:footnote>
  <w:footnote w:id="4">
    <w:p w14:paraId="15442F97" w14:textId="77777777" w:rsidR="00520046" w:rsidRPr="00CF5ED6" w:rsidRDefault="00520046" w:rsidP="00520046">
      <w:pPr>
        <w:pStyle w:val="FootnoteText"/>
        <w:rPr>
          <w:rFonts w:ascii="Arial" w:hAnsi="Arial" w:cs="Arial"/>
          <w:sz w:val="18"/>
        </w:rPr>
      </w:pPr>
      <w:r w:rsidRPr="00220586">
        <w:rPr>
          <w:rStyle w:val="FootnoteReference"/>
          <w:sz w:val="16"/>
          <w:szCs w:val="18"/>
        </w:rPr>
        <w:footnoteRef/>
      </w:r>
      <w:r w:rsidRPr="00220586">
        <w:rPr>
          <w:sz w:val="16"/>
          <w:szCs w:val="18"/>
        </w:rPr>
        <w:t xml:space="preserve"> </w:t>
      </w:r>
      <w:r w:rsidRPr="00CF5ED6">
        <w:rPr>
          <w:rFonts w:ascii="Arial" w:hAnsi="Arial" w:cs="Arial"/>
          <w:sz w:val="16"/>
          <w:szCs w:val="18"/>
        </w:rPr>
        <w:t>United Nations Convention on the Rights of Persons with Disabilities</w:t>
      </w:r>
    </w:p>
  </w:footnote>
  <w:footnote w:id="5">
    <w:p w14:paraId="73E26FDF" w14:textId="77777777" w:rsidR="00520046" w:rsidRPr="00220586" w:rsidRDefault="00520046" w:rsidP="00520046">
      <w:pPr>
        <w:pStyle w:val="FootnoteText"/>
        <w:rPr>
          <w:i/>
          <w:sz w:val="16"/>
          <w:szCs w:val="16"/>
        </w:rPr>
      </w:pPr>
      <w:r w:rsidRPr="00CF5ED6">
        <w:rPr>
          <w:rStyle w:val="FootnoteReference"/>
          <w:rFonts w:ascii="Arial" w:hAnsi="Arial" w:cs="Arial"/>
          <w:sz w:val="16"/>
          <w:szCs w:val="16"/>
        </w:rPr>
        <w:footnoteRef/>
      </w:r>
      <w:r w:rsidRPr="00CF5ED6">
        <w:rPr>
          <w:rFonts w:ascii="Arial" w:hAnsi="Arial" w:cs="Arial"/>
          <w:sz w:val="16"/>
          <w:szCs w:val="16"/>
        </w:rPr>
        <w:t xml:space="preserve"> Definitions vary widely. The definition adopted for SPP has been slightly adapted (the addition of the word ‘activities’) from Ethnolink. (2023)</w:t>
      </w:r>
      <w:r w:rsidRPr="00CF5ED6">
        <w:rPr>
          <w:rFonts w:ascii="Arial" w:hAnsi="Arial" w:cs="Arial"/>
          <w:i/>
          <w:sz w:val="16"/>
          <w:szCs w:val="16"/>
        </w:rPr>
        <w:t>. What is CALD? A comprehensive guide to CALD communities</w:t>
      </w:r>
      <w:r w:rsidRPr="00CF5ED6">
        <w:rPr>
          <w:rFonts w:ascii="Arial" w:hAnsi="Arial" w:cs="Arial"/>
          <w:sz w:val="16"/>
          <w:szCs w:val="16"/>
        </w:rPr>
        <w:t xml:space="preserve">. </w:t>
      </w:r>
      <w:hyperlink r:id="rId2" w:history="1">
        <w:r w:rsidRPr="00CF5ED6">
          <w:rPr>
            <w:rStyle w:val="Hyperlink"/>
            <w:rFonts w:ascii="Arial" w:hAnsi="Arial" w:cs="Arial"/>
            <w:sz w:val="16"/>
            <w:szCs w:val="16"/>
          </w:rPr>
          <w:t>https://www.ethnolink.com.au/blog/cald-culturally-and-linguistically-diverse</w:t>
        </w:r>
      </w:hyperlink>
      <w:r w:rsidRPr="00CF5ED6">
        <w:rPr>
          <w:rFonts w:ascii="Arial" w:hAnsi="Arial" w:cs="Arial"/>
          <w:sz w:val="16"/>
          <w:szCs w:val="16"/>
        </w:rPr>
        <w:t xml:space="preserve">.  Based on an extensive literature review, Pham, T.T.L </w:t>
      </w:r>
      <w:r w:rsidRPr="00CF5ED6">
        <w:rPr>
          <w:rFonts w:ascii="Arial" w:hAnsi="Arial" w:cs="Arial"/>
          <w:i/>
          <w:sz w:val="16"/>
          <w:szCs w:val="16"/>
        </w:rPr>
        <w:t xml:space="preserve">et. al. </w:t>
      </w:r>
      <w:r w:rsidRPr="00CF5ED6">
        <w:rPr>
          <w:rFonts w:ascii="Arial" w:hAnsi="Arial" w:cs="Arial"/>
          <w:sz w:val="16"/>
          <w:szCs w:val="16"/>
        </w:rPr>
        <w:t xml:space="preserve">(2021) define CALD communities as “people born in non-English speaking countries, and/or who do not speak English at home” (p. 1). Pham, T.T.L </w:t>
      </w:r>
      <w:r w:rsidRPr="00CF5ED6">
        <w:rPr>
          <w:rFonts w:ascii="Arial" w:hAnsi="Arial" w:cs="Arial"/>
          <w:i/>
          <w:sz w:val="16"/>
          <w:szCs w:val="16"/>
        </w:rPr>
        <w:t xml:space="preserve">et. al. </w:t>
      </w:r>
      <w:r w:rsidRPr="00CF5ED6">
        <w:rPr>
          <w:rFonts w:ascii="Arial" w:hAnsi="Arial" w:cs="Arial"/>
          <w:sz w:val="16"/>
          <w:szCs w:val="16"/>
        </w:rPr>
        <w:t>(2021). Definitions of Culturally and</w:t>
      </w:r>
      <w:r w:rsidRPr="00CF5ED6">
        <w:rPr>
          <w:rFonts w:ascii="Arial" w:hAnsi="Arial" w:cs="Arial"/>
          <w:i/>
          <w:sz w:val="16"/>
          <w:szCs w:val="16"/>
        </w:rPr>
        <w:t xml:space="preserve"> </w:t>
      </w:r>
      <w:r w:rsidRPr="00CF5ED6">
        <w:rPr>
          <w:rFonts w:ascii="Arial" w:hAnsi="Arial" w:cs="Arial"/>
          <w:sz w:val="16"/>
          <w:szCs w:val="16"/>
        </w:rPr>
        <w:t>Linguistically Diverse (CALD): A</w:t>
      </w:r>
      <w:r w:rsidRPr="00CF5ED6">
        <w:rPr>
          <w:rFonts w:ascii="Arial" w:hAnsi="Arial" w:cs="Arial"/>
          <w:i/>
          <w:sz w:val="16"/>
          <w:szCs w:val="16"/>
        </w:rPr>
        <w:t xml:space="preserve"> </w:t>
      </w:r>
      <w:r w:rsidRPr="00CF5ED6">
        <w:rPr>
          <w:rFonts w:ascii="Arial" w:hAnsi="Arial" w:cs="Arial"/>
          <w:sz w:val="16"/>
          <w:szCs w:val="16"/>
        </w:rPr>
        <w:t>Literature Review of Epidemiological</w:t>
      </w:r>
      <w:r w:rsidRPr="00CF5ED6">
        <w:rPr>
          <w:rFonts w:ascii="Arial" w:hAnsi="Arial" w:cs="Arial"/>
          <w:i/>
          <w:sz w:val="16"/>
          <w:szCs w:val="16"/>
        </w:rPr>
        <w:t xml:space="preserve"> </w:t>
      </w:r>
      <w:r w:rsidRPr="00CF5ED6">
        <w:rPr>
          <w:rFonts w:ascii="Arial" w:hAnsi="Arial" w:cs="Arial"/>
          <w:sz w:val="16"/>
          <w:szCs w:val="16"/>
        </w:rPr>
        <w:t xml:space="preserve">Research in Australia. </w:t>
      </w:r>
      <w:r w:rsidRPr="00CF5ED6">
        <w:rPr>
          <w:rFonts w:ascii="Arial" w:hAnsi="Arial" w:cs="Arial"/>
          <w:i/>
          <w:sz w:val="16"/>
          <w:szCs w:val="16"/>
        </w:rPr>
        <w:t>International Journal of Environmental Research and Public Health</w:t>
      </w:r>
      <w:r w:rsidRPr="00CF5ED6">
        <w:rPr>
          <w:rFonts w:ascii="Arial" w:hAnsi="Arial" w:cs="Arial"/>
          <w:sz w:val="16"/>
          <w:szCs w:val="16"/>
        </w:rPr>
        <w:t xml:space="preserve">, </w:t>
      </w:r>
      <w:r w:rsidRPr="00CF5ED6">
        <w:rPr>
          <w:rFonts w:ascii="Arial" w:hAnsi="Arial" w:cs="Arial"/>
          <w:i/>
          <w:sz w:val="16"/>
          <w:szCs w:val="16"/>
        </w:rPr>
        <w:t>18</w:t>
      </w:r>
      <w:r w:rsidRPr="00CF5ED6">
        <w:rPr>
          <w:rFonts w:ascii="Arial" w:hAnsi="Arial" w:cs="Arial"/>
          <w:sz w:val="16"/>
          <w:szCs w:val="16"/>
        </w:rPr>
        <w:t>, 737.</w:t>
      </w:r>
      <w:r w:rsidRPr="00CF5ED6">
        <w:rPr>
          <w:rFonts w:ascii="Arial" w:hAnsi="Arial" w:cs="Arial"/>
          <w:i/>
          <w:sz w:val="16"/>
          <w:szCs w:val="16"/>
        </w:rPr>
        <w:t xml:space="preserve"> </w:t>
      </w:r>
      <w:hyperlink r:id="rId3" w:history="1">
        <w:r w:rsidRPr="00CF5ED6">
          <w:rPr>
            <w:rStyle w:val="Hyperlink"/>
            <w:rFonts w:ascii="Arial" w:hAnsi="Arial" w:cs="Arial"/>
            <w:sz w:val="16"/>
            <w:szCs w:val="16"/>
          </w:rPr>
          <w:t>https://doi.org/10.3390/ijerph18020737</w:t>
        </w:r>
      </w:hyperlink>
      <w:r w:rsidRPr="00220586">
        <w:rPr>
          <w:sz w:val="16"/>
          <w:szCs w:val="16"/>
        </w:rPr>
        <w:t xml:space="preserve"> </w:t>
      </w:r>
    </w:p>
  </w:footnote>
  <w:footnote w:id="6">
    <w:p w14:paraId="50EAAACF" w14:textId="77777777" w:rsidR="00520046" w:rsidRPr="00CF5ED6" w:rsidRDefault="00520046" w:rsidP="00520046">
      <w:pPr>
        <w:pStyle w:val="FootnoteText"/>
        <w:rPr>
          <w:rFonts w:ascii="Arial" w:hAnsi="Arial" w:cs="Arial"/>
          <w:sz w:val="16"/>
          <w:szCs w:val="16"/>
        </w:rPr>
      </w:pPr>
      <w:r w:rsidRPr="00CF5ED6">
        <w:rPr>
          <w:rStyle w:val="FootnoteReference"/>
          <w:rFonts w:ascii="Arial" w:hAnsi="Arial" w:cs="Arial"/>
          <w:sz w:val="16"/>
          <w:szCs w:val="16"/>
        </w:rPr>
        <w:footnoteRef/>
      </w:r>
      <w:r w:rsidRPr="00CF5ED6">
        <w:rPr>
          <w:rFonts w:ascii="Arial" w:hAnsi="Arial" w:cs="Arial"/>
          <w:sz w:val="16"/>
          <w:szCs w:val="16"/>
        </w:rPr>
        <w:t xml:space="preserve"> Further information on the Socio-Economic Indexes for Areas (SEIFA), Australia can be located at: </w:t>
      </w:r>
      <w:hyperlink r:id="rId4" w:history="1">
        <w:r w:rsidRPr="00CF5ED6">
          <w:rPr>
            <w:rStyle w:val="Hyperlink"/>
            <w:rFonts w:ascii="Arial" w:hAnsi="Arial" w:cs="Arial"/>
            <w:sz w:val="16"/>
            <w:szCs w:val="16"/>
          </w:rPr>
          <w:t>https://www.abs.gov.au/statistics/people/people-and-communities/socio-economic-indexes-areas-seifa-australia/latest-release</w:t>
        </w:r>
      </w:hyperlink>
      <w:r w:rsidRPr="00CF5ED6">
        <w:rPr>
          <w:rFonts w:ascii="Arial" w:hAnsi="Arial" w:cs="Arial"/>
          <w:sz w:val="16"/>
          <w:szCs w:val="16"/>
        </w:rPr>
        <w:t xml:space="preserve"> </w:t>
      </w:r>
    </w:p>
  </w:footnote>
  <w:footnote w:id="7">
    <w:p w14:paraId="55A79726" w14:textId="77777777" w:rsidR="00520046" w:rsidRPr="00CF5ED6" w:rsidRDefault="00520046" w:rsidP="00520046">
      <w:pPr>
        <w:pStyle w:val="FootnoteText"/>
        <w:rPr>
          <w:rFonts w:ascii="Arial" w:hAnsi="Arial" w:cs="Arial"/>
          <w:sz w:val="16"/>
          <w:szCs w:val="16"/>
        </w:rPr>
      </w:pPr>
      <w:r w:rsidRPr="00CF5ED6">
        <w:rPr>
          <w:rStyle w:val="FootnoteReference"/>
          <w:rFonts w:ascii="Arial" w:hAnsi="Arial" w:cs="Arial"/>
          <w:sz w:val="16"/>
          <w:szCs w:val="16"/>
        </w:rPr>
        <w:footnoteRef/>
      </w:r>
      <w:r w:rsidRPr="00CF5ED6">
        <w:rPr>
          <w:rFonts w:ascii="Arial" w:hAnsi="Arial" w:cs="Arial"/>
          <w:sz w:val="16"/>
          <w:szCs w:val="16"/>
        </w:rPr>
        <w:t xml:space="preserve"> Further information on LGBTQIA+ common terms can be located at: </w:t>
      </w:r>
      <w:hyperlink r:id="rId5" w:history="1">
        <w:r w:rsidRPr="00CF5ED6">
          <w:rPr>
            <w:rStyle w:val="Hyperlink"/>
            <w:rFonts w:ascii="Arial" w:hAnsi="Arial" w:cs="Arial"/>
            <w:sz w:val="16"/>
            <w:szCs w:val="16"/>
          </w:rPr>
          <w:t>https://aifs.gov.au/resources/resource-sheets/lgbtiqa-glossary-common-terms</w:t>
        </w:r>
      </w:hyperlink>
      <w:r w:rsidRPr="00CF5ED6">
        <w:rPr>
          <w:rFonts w:ascii="Arial" w:hAnsi="Arial" w:cs="Arial"/>
          <w:sz w:val="16"/>
          <w:szCs w:val="16"/>
        </w:rPr>
        <w:t xml:space="preserve"> </w:t>
      </w:r>
    </w:p>
  </w:footnote>
  <w:footnote w:id="8">
    <w:p w14:paraId="195E5F61" w14:textId="77777777" w:rsidR="00520046" w:rsidRDefault="00520046" w:rsidP="00520046">
      <w:r w:rsidRPr="00CF5ED6">
        <w:rPr>
          <w:rStyle w:val="FootnoteReference"/>
          <w:rFonts w:ascii="Arial" w:hAnsi="Arial" w:cs="Arial"/>
          <w:sz w:val="16"/>
          <w:szCs w:val="16"/>
        </w:rPr>
        <w:footnoteRef/>
      </w:r>
      <w:r w:rsidRPr="00CF5ED6">
        <w:rPr>
          <w:rFonts w:ascii="Arial" w:hAnsi="Arial" w:cs="Arial"/>
          <w:sz w:val="16"/>
          <w:szCs w:val="16"/>
        </w:rPr>
        <w:t xml:space="preserve"> Further information of the Modified Monash Model can be located at: </w:t>
      </w:r>
      <w:hyperlink r:id="rId6" w:history="1">
        <w:r w:rsidRPr="00CF5ED6">
          <w:rPr>
            <w:rStyle w:val="Hyperlink"/>
            <w:rFonts w:ascii="Arial" w:hAnsi="Arial" w:cs="Arial"/>
            <w:sz w:val="16"/>
            <w:szCs w:val="16"/>
          </w:rPr>
          <w:t>https://www.health.gov.au/resources/publications/modified-monash-model-mmm-suburb-and-locality-classification-home-care-subsidy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C3196" w14:textId="78ADA5DB" w:rsidR="00CC04AF" w:rsidRPr="00396AEE" w:rsidRDefault="00C57DFB">
    <w:pPr>
      <w:pStyle w:val="Header"/>
      <w:rPr>
        <w:b/>
        <w:sz w:val="24"/>
      </w:rPr>
    </w:pPr>
    <w:r>
      <w:rPr>
        <w:noProof/>
        <w:lang w:eastAsia="en-AU"/>
      </w:rPr>
      <w:drawing>
        <wp:inline distT="0" distB="0" distL="0" distR="0" wp14:anchorId="72D032BF" wp14:editId="13F7D8AE">
          <wp:extent cx="4216400" cy="1076650"/>
          <wp:effectExtent l="0" t="0" r="0" b="9525"/>
          <wp:docPr id="1" name="Picture 1" descr="Commonwealth Coat of Arms with text Australian Government, Department of Industry, Science and Resources,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with text Australian Government, Department of Industry, Science and Resources, Def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4574" cy="10838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C0CE864"/>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BEE620B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99018F5"/>
    <w:multiLevelType w:val="hybridMultilevel"/>
    <w:tmpl w:val="B4EA1570"/>
    <w:lvl w:ilvl="0" w:tplc="E05CEE84">
      <w:start w:val="1"/>
      <w:numFmt w:val="lowerLetter"/>
      <w:lvlText w:val="%1."/>
      <w:lvlJc w:val="left"/>
      <w:pPr>
        <w:ind w:left="360" w:hanging="360"/>
      </w:pPr>
      <w:rPr>
        <w:rFonts w:ascii="Arial" w:eastAsia="Times New Roman" w:hAnsi="Arial" w:cs="Times New Roman"/>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B6231E2"/>
    <w:multiLevelType w:val="hybridMultilevel"/>
    <w:tmpl w:val="C9B6C4EA"/>
    <w:lvl w:ilvl="0" w:tplc="80245AD6">
      <w:start w:val="2"/>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3854EF"/>
    <w:multiLevelType w:val="multilevel"/>
    <w:tmpl w:val="4D202994"/>
    <w:lvl w:ilvl="0">
      <w:start w:val="1"/>
      <w:numFmt w:val="decimal"/>
      <w:pStyle w:val="Heading1"/>
      <w:lvlText w:val="%1."/>
      <w:lvlJc w:val="left"/>
      <w:pPr>
        <w:ind w:left="720" w:hanging="720"/>
      </w:pPr>
      <w:rPr>
        <w:rFonts w:hint="default"/>
      </w:rPr>
    </w:lvl>
    <w:lvl w:ilvl="1">
      <w:start w:val="1"/>
      <w:numFmt w:val="decimal"/>
      <w:pStyle w:val="ListParagraph"/>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C623DC"/>
    <w:multiLevelType w:val="hybridMultilevel"/>
    <w:tmpl w:val="463E40FA"/>
    <w:lvl w:ilvl="0" w:tplc="5E02D06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4B7F29"/>
    <w:multiLevelType w:val="multilevel"/>
    <w:tmpl w:val="51BC17FC"/>
    <w:lvl w:ilvl="0">
      <w:start w:val="1"/>
      <w:numFmt w:val="decimal"/>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BF6557B"/>
    <w:multiLevelType w:val="hybridMultilevel"/>
    <w:tmpl w:val="97308BA2"/>
    <w:lvl w:ilvl="0" w:tplc="0938E450">
      <w:start w:val="2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53" w:hanging="720"/>
      </w:pPr>
      <w:rPr>
        <w:rFonts w:hint="default"/>
      </w:rPr>
    </w:lvl>
    <w:lvl w:ilvl="2">
      <w:start w:val="1"/>
      <w:numFmt w:val="lowerRoman"/>
      <w:lvlText w:val="%3)"/>
      <w:lvlJc w:val="left"/>
      <w:pPr>
        <w:ind w:left="1113" w:hanging="360"/>
      </w:pPr>
      <w:rPr>
        <w:rFonts w:hint="default"/>
      </w:rPr>
    </w:lvl>
    <w:lvl w:ilvl="3">
      <w:start w:val="1"/>
      <w:numFmt w:val="decimal"/>
      <w:lvlText w:val="(%4)"/>
      <w:lvlJc w:val="left"/>
      <w:pPr>
        <w:ind w:left="1473" w:hanging="360"/>
      </w:pPr>
      <w:rPr>
        <w:rFonts w:hint="default"/>
      </w:rPr>
    </w:lvl>
    <w:lvl w:ilvl="4">
      <w:start w:val="1"/>
      <w:numFmt w:val="lowerLetter"/>
      <w:lvlText w:val="(%5)"/>
      <w:lvlJc w:val="left"/>
      <w:pPr>
        <w:ind w:left="1833" w:hanging="360"/>
      </w:pPr>
      <w:rPr>
        <w:rFonts w:hint="default"/>
      </w:rPr>
    </w:lvl>
    <w:lvl w:ilvl="5">
      <w:start w:val="1"/>
      <w:numFmt w:val="lowerRoman"/>
      <w:lvlText w:val="(%6)"/>
      <w:lvlJc w:val="left"/>
      <w:pPr>
        <w:ind w:left="2193" w:hanging="36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2913" w:hanging="360"/>
      </w:pPr>
      <w:rPr>
        <w:rFonts w:hint="default"/>
      </w:rPr>
    </w:lvl>
    <w:lvl w:ilvl="8">
      <w:start w:val="1"/>
      <w:numFmt w:val="lowerRoman"/>
      <w:lvlText w:val="%9."/>
      <w:lvlJc w:val="left"/>
      <w:pPr>
        <w:ind w:left="3273" w:hanging="360"/>
      </w:pPr>
      <w:rPr>
        <w:rFonts w:hint="default"/>
      </w:rPr>
    </w:lvl>
  </w:abstractNum>
  <w:abstractNum w:abstractNumId="9" w15:restartNumberingAfterBreak="0">
    <w:nsid w:val="6E2B2AD8"/>
    <w:multiLevelType w:val="hybridMultilevel"/>
    <w:tmpl w:val="26D88DF6"/>
    <w:lvl w:ilvl="0" w:tplc="80245AD6">
      <w:start w:val="2"/>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0" w15:restartNumberingAfterBreak="0">
    <w:nsid w:val="72B01FA0"/>
    <w:multiLevelType w:val="multilevel"/>
    <w:tmpl w:val="36C48E6C"/>
    <w:lvl w:ilvl="0">
      <w:start w:val="1"/>
      <w:numFmt w:val="decimal"/>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59355938">
    <w:abstractNumId w:val="4"/>
  </w:num>
  <w:num w:numId="2" w16cid:durableId="1123379072">
    <w:abstractNumId w:val="9"/>
  </w:num>
  <w:num w:numId="3" w16cid:durableId="506218469">
    <w:abstractNumId w:val="3"/>
  </w:num>
  <w:num w:numId="4" w16cid:durableId="759373404">
    <w:abstractNumId w:val="8"/>
  </w:num>
  <w:num w:numId="5" w16cid:durableId="855536088">
    <w:abstractNumId w:val="7"/>
  </w:num>
  <w:num w:numId="6" w16cid:durableId="2098289459">
    <w:abstractNumId w:val="4"/>
  </w:num>
  <w:num w:numId="7" w16cid:durableId="358094464">
    <w:abstractNumId w:val="10"/>
  </w:num>
  <w:num w:numId="8" w16cid:durableId="1504781355">
    <w:abstractNumId w:val="10"/>
  </w:num>
  <w:num w:numId="9" w16cid:durableId="785808489">
    <w:abstractNumId w:val="6"/>
  </w:num>
  <w:num w:numId="10" w16cid:durableId="856574880">
    <w:abstractNumId w:val="1"/>
  </w:num>
  <w:num w:numId="11" w16cid:durableId="19287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8127016">
    <w:abstractNumId w:val="8"/>
  </w:num>
  <w:num w:numId="13" w16cid:durableId="30883734">
    <w:abstractNumId w:val="5"/>
  </w:num>
  <w:num w:numId="14" w16cid:durableId="1349525071">
    <w:abstractNumId w:val="4"/>
  </w:num>
  <w:num w:numId="15" w16cid:durableId="721368944">
    <w:abstractNumId w:val="4"/>
  </w:num>
  <w:num w:numId="16" w16cid:durableId="1016735157">
    <w:abstractNumId w:val="0"/>
  </w:num>
  <w:num w:numId="17" w16cid:durableId="2005552544">
    <w:abstractNumId w:val="2"/>
  </w:num>
  <w:num w:numId="18" w16cid:durableId="1181624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EE"/>
    <w:rsid w:val="0001115D"/>
    <w:rsid w:val="00011D48"/>
    <w:rsid w:val="0004588F"/>
    <w:rsid w:val="000603DD"/>
    <w:rsid w:val="00073AEE"/>
    <w:rsid w:val="00077955"/>
    <w:rsid w:val="00086D74"/>
    <w:rsid w:val="000A4062"/>
    <w:rsid w:val="000A49CD"/>
    <w:rsid w:val="000C6025"/>
    <w:rsid w:val="000E4DB3"/>
    <w:rsid w:val="000E7B62"/>
    <w:rsid w:val="001256C3"/>
    <w:rsid w:val="00164BAA"/>
    <w:rsid w:val="0020305F"/>
    <w:rsid w:val="00220586"/>
    <w:rsid w:val="0023705C"/>
    <w:rsid w:val="002413C7"/>
    <w:rsid w:val="00287444"/>
    <w:rsid w:val="002907AE"/>
    <w:rsid w:val="00295E7E"/>
    <w:rsid w:val="002C4521"/>
    <w:rsid w:val="002C66A9"/>
    <w:rsid w:val="0035530E"/>
    <w:rsid w:val="003806F4"/>
    <w:rsid w:val="00396AEE"/>
    <w:rsid w:val="003A657E"/>
    <w:rsid w:val="003B1B7A"/>
    <w:rsid w:val="003C6431"/>
    <w:rsid w:val="00402688"/>
    <w:rsid w:val="004C209A"/>
    <w:rsid w:val="004D180E"/>
    <w:rsid w:val="004E422C"/>
    <w:rsid w:val="00507B8D"/>
    <w:rsid w:val="00520046"/>
    <w:rsid w:val="0054667E"/>
    <w:rsid w:val="005A3F4A"/>
    <w:rsid w:val="005D3872"/>
    <w:rsid w:val="005E5C3C"/>
    <w:rsid w:val="005F5C28"/>
    <w:rsid w:val="005F7B5F"/>
    <w:rsid w:val="00600476"/>
    <w:rsid w:val="00603B08"/>
    <w:rsid w:val="00731D71"/>
    <w:rsid w:val="007D2B0C"/>
    <w:rsid w:val="0081088F"/>
    <w:rsid w:val="008B0165"/>
    <w:rsid w:val="008F1075"/>
    <w:rsid w:val="008F2EDA"/>
    <w:rsid w:val="009064E8"/>
    <w:rsid w:val="009346BA"/>
    <w:rsid w:val="009371A2"/>
    <w:rsid w:val="00940546"/>
    <w:rsid w:val="00956E20"/>
    <w:rsid w:val="00965686"/>
    <w:rsid w:val="009841E3"/>
    <w:rsid w:val="009D0BE4"/>
    <w:rsid w:val="00A3245B"/>
    <w:rsid w:val="00A42B94"/>
    <w:rsid w:val="00A46433"/>
    <w:rsid w:val="00A73722"/>
    <w:rsid w:val="00A9183C"/>
    <w:rsid w:val="00AC16B9"/>
    <w:rsid w:val="00AE7651"/>
    <w:rsid w:val="00AF1EC4"/>
    <w:rsid w:val="00AF60F9"/>
    <w:rsid w:val="00B003C8"/>
    <w:rsid w:val="00B264C7"/>
    <w:rsid w:val="00B36170"/>
    <w:rsid w:val="00B44CCD"/>
    <w:rsid w:val="00B46F4B"/>
    <w:rsid w:val="00B52F06"/>
    <w:rsid w:val="00B56154"/>
    <w:rsid w:val="00B709EA"/>
    <w:rsid w:val="00B71054"/>
    <w:rsid w:val="00B85D92"/>
    <w:rsid w:val="00BD2681"/>
    <w:rsid w:val="00BF3C8D"/>
    <w:rsid w:val="00C42F97"/>
    <w:rsid w:val="00C44CE9"/>
    <w:rsid w:val="00C57DFB"/>
    <w:rsid w:val="00CC04AF"/>
    <w:rsid w:val="00CC0568"/>
    <w:rsid w:val="00CC69C4"/>
    <w:rsid w:val="00CF5ED6"/>
    <w:rsid w:val="00D01B97"/>
    <w:rsid w:val="00D17ABD"/>
    <w:rsid w:val="00D462C2"/>
    <w:rsid w:val="00D609EB"/>
    <w:rsid w:val="00D832B3"/>
    <w:rsid w:val="00D91E35"/>
    <w:rsid w:val="00DB7117"/>
    <w:rsid w:val="00DD01F6"/>
    <w:rsid w:val="00DD44FA"/>
    <w:rsid w:val="00DE7CD5"/>
    <w:rsid w:val="00E27305"/>
    <w:rsid w:val="00E37B27"/>
    <w:rsid w:val="00E45A98"/>
    <w:rsid w:val="00E52A54"/>
    <w:rsid w:val="00EC52C4"/>
    <w:rsid w:val="00F32F9D"/>
    <w:rsid w:val="00F35E3F"/>
    <w:rsid w:val="00F81A60"/>
    <w:rsid w:val="00F90F92"/>
    <w:rsid w:val="00FB6A3A"/>
    <w:rsid w:val="00FC3076"/>
    <w:rsid w:val="00FF3839"/>
    <w:rsid w:val="00FF6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321BA1"/>
  <w15:chartTrackingRefBased/>
  <w15:docId w15:val="{6810070D-39E2-4CBC-9F86-B2116E4C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AEE"/>
    <w:pPr>
      <w:keepNext/>
      <w:keepLines/>
      <w:numPr>
        <w:numId w:val="1"/>
      </w:numPr>
      <w:tabs>
        <w:tab w:val="center" w:pos="4513"/>
        <w:tab w:val="right" w:pos="9026"/>
      </w:tabs>
      <w:spacing w:before="240" w:after="120" w:line="280" w:lineRule="atLeast"/>
      <w:outlineLvl w:val="0"/>
    </w:pPr>
    <w:rPr>
      <w:rFonts w:ascii="Calibri" w:eastAsia="Times New Roman" w:hAnsi="Calibri" w:cs="Times New Roman"/>
      <w:color w:val="005677"/>
      <w:sz w:val="44"/>
      <w:szCs w:val="32"/>
    </w:rPr>
  </w:style>
  <w:style w:type="paragraph" w:styleId="Heading2">
    <w:name w:val="heading 2"/>
    <w:basedOn w:val="Normal"/>
    <w:next w:val="Normal"/>
    <w:link w:val="Heading2Char"/>
    <w:uiPriority w:val="9"/>
    <w:unhideWhenUsed/>
    <w:qFormat/>
    <w:rsid w:val="00073A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3A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AEE"/>
    <w:rPr>
      <w:rFonts w:ascii="Calibri" w:eastAsia="Times New Roman" w:hAnsi="Calibri" w:cs="Times New Roman"/>
      <w:color w:val="005677"/>
      <w:sz w:val="44"/>
      <w:szCs w:val="32"/>
    </w:rPr>
  </w:style>
  <w:style w:type="paragraph" w:styleId="Footer">
    <w:name w:val="footer"/>
    <w:basedOn w:val="Normal"/>
    <w:link w:val="FooterChar"/>
    <w:uiPriority w:val="99"/>
    <w:unhideWhenUsed/>
    <w:rsid w:val="00073AEE"/>
    <w:pPr>
      <w:tabs>
        <w:tab w:val="center" w:pos="4513"/>
        <w:tab w:val="right" w:pos="9026"/>
      </w:tabs>
      <w:spacing w:before="40" w:after="0" w:line="240" w:lineRule="auto"/>
    </w:pPr>
    <w:rPr>
      <w:rFonts w:ascii="Calibri" w:eastAsia="Calibri" w:hAnsi="Calibri" w:cs="Times New Roman"/>
      <w:color w:val="58595B"/>
      <w:sz w:val="18"/>
    </w:rPr>
  </w:style>
  <w:style w:type="character" w:customStyle="1" w:styleId="FooterChar">
    <w:name w:val="Footer Char"/>
    <w:basedOn w:val="DefaultParagraphFont"/>
    <w:link w:val="Footer"/>
    <w:uiPriority w:val="99"/>
    <w:rsid w:val="00073AEE"/>
    <w:rPr>
      <w:rFonts w:ascii="Calibri" w:eastAsia="Calibri" w:hAnsi="Calibri" w:cs="Times New Roman"/>
      <w:color w:val="58595B"/>
      <w:sz w:val="18"/>
    </w:rPr>
  </w:style>
  <w:style w:type="paragraph" w:styleId="ListParagraph">
    <w:name w:val="List Paragraph"/>
    <w:aliases w:val="Body Bullet,Bullet Level 1,CAB - List Bullet,Equipment,Heading2,L,List Bullet Cab,List Paragraph - bullets,List Paragraph Char Char,List Paragraph1,List Paragraph11,Numbered Indented Text,Recommendation,Use Case List Paragraph,numbered,列"/>
    <w:basedOn w:val="Normal"/>
    <w:link w:val="ListParagraphChar"/>
    <w:uiPriority w:val="34"/>
    <w:qFormat/>
    <w:rsid w:val="00073AEE"/>
    <w:pPr>
      <w:numPr>
        <w:ilvl w:val="1"/>
        <w:numId w:val="1"/>
      </w:numPr>
      <w:tabs>
        <w:tab w:val="center" w:pos="4513"/>
        <w:tab w:val="right" w:pos="9026"/>
      </w:tabs>
      <w:spacing w:before="40" w:after="120" w:line="280" w:lineRule="atLeast"/>
      <w:contextualSpacing/>
    </w:pPr>
    <w:rPr>
      <w:rFonts w:ascii="Calibri" w:eastAsia="Calibri" w:hAnsi="Calibri" w:cs="Times New Roman"/>
      <w:sz w:val="24"/>
    </w:rPr>
  </w:style>
  <w:style w:type="paragraph" w:customStyle="1" w:styleId="Heading1-annexure">
    <w:name w:val="Heading 1 - annexure"/>
    <w:basedOn w:val="Heading1"/>
    <w:qFormat/>
    <w:rsid w:val="00073AEE"/>
    <w:pPr>
      <w:numPr>
        <w:numId w:val="0"/>
      </w:numPr>
    </w:pPr>
  </w:style>
  <w:style w:type="character" w:customStyle="1" w:styleId="ListParagraphChar">
    <w:name w:val="List Paragraph Char"/>
    <w:aliases w:val="Body Bullet Char,Bullet Level 1 Char,CAB - List Bullet Char,Equipment Char,Heading2 Char,L Char,List Bullet Cab Char,List Paragraph - bullets Char,List Paragraph Char Char Char,List Paragraph1 Char,List Paragraph11 Char,numbered Char"/>
    <w:link w:val="ListParagraph"/>
    <w:uiPriority w:val="34"/>
    <w:qFormat/>
    <w:locked/>
    <w:rsid w:val="00073AEE"/>
    <w:rPr>
      <w:rFonts w:ascii="Calibri" w:eastAsia="Calibri" w:hAnsi="Calibri" w:cs="Times New Roman"/>
      <w:sz w:val="24"/>
    </w:rPr>
  </w:style>
  <w:style w:type="character" w:styleId="CommentReference">
    <w:name w:val="annotation reference"/>
    <w:basedOn w:val="DefaultParagraphFont"/>
    <w:uiPriority w:val="99"/>
    <w:unhideWhenUsed/>
    <w:rsid w:val="00073AEE"/>
    <w:rPr>
      <w:sz w:val="16"/>
      <w:szCs w:val="16"/>
    </w:rPr>
  </w:style>
  <w:style w:type="paragraph" w:styleId="CommentText">
    <w:name w:val="annotation text"/>
    <w:basedOn w:val="Normal"/>
    <w:link w:val="CommentTextChar"/>
    <w:uiPriority w:val="99"/>
    <w:unhideWhenUsed/>
    <w:rsid w:val="00073AEE"/>
    <w:pPr>
      <w:tabs>
        <w:tab w:val="center" w:pos="4513"/>
        <w:tab w:val="right" w:pos="9026"/>
      </w:tabs>
      <w:spacing w:before="40"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73AEE"/>
    <w:rPr>
      <w:rFonts w:ascii="Calibri" w:eastAsia="Calibri" w:hAnsi="Calibri" w:cs="Times New Roman"/>
      <w:sz w:val="20"/>
      <w:szCs w:val="20"/>
    </w:rPr>
  </w:style>
  <w:style w:type="paragraph" w:styleId="FootnoteText">
    <w:name w:val="footnote text"/>
    <w:basedOn w:val="Normal"/>
    <w:link w:val="FootnoteTextChar"/>
    <w:uiPriority w:val="99"/>
    <w:unhideWhenUsed/>
    <w:qFormat/>
    <w:rsid w:val="00073AEE"/>
    <w:pPr>
      <w:tabs>
        <w:tab w:val="center" w:pos="4513"/>
        <w:tab w:val="right" w:pos="9026"/>
      </w:tabs>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73AEE"/>
    <w:rPr>
      <w:rFonts w:ascii="Calibri" w:eastAsia="Calibri" w:hAnsi="Calibri" w:cs="Times New Roman"/>
      <w:sz w:val="20"/>
      <w:szCs w:val="20"/>
    </w:rPr>
  </w:style>
  <w:style w:type="character" w:styleId="FootnoteReference">
    <w:name w:val="footnote reference"/>
    <w:basedOn w:val="DefaultParagraphFont"/>
    <w:uiPriority w:val="99"/>
    <w:unhideWhenUsed/>
    <w:rsid w:val="00073AEE"/>
    <w:rPr>
      <w:vertAlign w:val="superscript"/>
    </w:rPr>
  </w:style>
  <w:style w:type="table" w:customStyle="1" w:styleId="TableGrid1">
    <w:name w:val="Table Grid1"/>
    <w:basedOn w:val="TableNormal"/>
    <w:next w:val="TableGrid"/>
    <w:uiPriority w:val="39"/>
    <w:rsid w:val="0007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ppendix">
    <w:name w:val="Heading 2 Appendix"/>
    <w:basedOn w:val="Heading2"/>
    <w:qFormat/>
    <w:rsid w:val="00073AEE"/>
    <w:pPr>
      <w:keepLines w:val="0"/>
      <w:numPr>
        <w:numId w:val="4"/>
      </w:numPr>
      <w:tabs>
        <w:tab w:val="num" w:pos="360"/>
      </w:tabs>
      <w:spacing w:before="240" w:after="120" w:line="280" w:lineRule="atLeast"/>
      <w:ind w:left="0" w:firstLine="0"/>
    </w:pPr>
    <w:rPr>
      <w:rFonts w:ascii="Arial" w:eastAsia="Times New Roman" w:hAnsi="Arial" w:cstheme="minorHAnsi"/>
      <w:b/>
      <w:bCs/>
      <w:color w:val="264F90"/>
      <w:sz w:val="32"/>
      <w:szCs w:val="32"/>
    </w:rPr>
  </w:style>
  <w:style w:type="paragraph" w:customStyle="1" w:styleId="Heading3Appendix">
    <w:name w:val="Heading 3 Appendix"/>
    <w:basedOn w:val="Heading3"/>
    <w:next w:val="Normal"/>
    <w:qFormat/>
    <w:rsid w:val="00073AEE"/>
    <w:pPr>
      <w:keepLines w:val="0"/>
      <w:numPr>
        <w:ilvl w:val="1"/>
        <w:numId w:val="4"/>
      </w:numPr>
      <w:spacing w:before="240" w:after="120" w:line="280" w:lineRule="atLeast"/>
    </w:pPr>
    <w:rPr>
      <w:rFonts w:ascii="Arial" w:eastAsia="Times New Roman" w:hAnsi="Arial" w:cs="Arial"/>
      <w:bCs/>
      <w:color w:val="264F90"/>
      <w:szCs w:val="32"/>
    </w:rPr>
  </w:style>
  <w:style w:type="table" w:styleId="TableGrid">
    <w:name w:val="Table Grid"/>
    <w:basedOn w:val="TableNormal"/>
    <w:uiPriority w:val="39"/>
    <w:rsid w:val="0007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73AE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73AEE"/>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73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AEE"/>
    <w:rPr>
      <w:rFonts w:ascii="Segoe UI" w:hAnsi="Segoe UI" w:cs="Segoe UI"/>
      <w:sz w:val="18"/>
      <w:szCs w:val="18"/>
    </w:rPr>
  </w:style>
  <w:style w:type="character" w:styleId="Hyperlink">
    <w:name w:val="Hyperlink"/>
    <w:uiPriority w:val="99"/>
    <w:unhideWhenUsed/>
    <w:rsid w:val="00073AEE"/>
    <w:rPr>
      <w:color w:val="0070AE"/>
      <w:u w:val="single"/>
    </w:rPr>
  </w:style>
  <w:style w:type="paragraph" w:styleId="EndnoteText">
    <w:name w:val="endnote text"/>
    <w:basedOn w:val="Normal"/>
    <w:link w:val="EndnoteTextChar"/>
    <w:uiPriority w:val="99"/>
    <w:semiHidden/>
    <w:unhideWhenUsed/>
    <w:rsid w:val="00073A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3AEE"/>
    <w:rPr>
      <w:sz w:val="20"/>
      <w:szCs w:val="20"/>
    </w:rPr>
  </w:style>
  <w:style w:type="paragraph" w:styleId="Bibliography">
    <w:name w:val="Bibliography"/>
    <w:basedOn w:val="Normal"/>
    <w:next w:val="Normal"/>
    <w:uiPriority w:val="37"/>
    <w:unhideWhenUsed/>
    <w:rsid w:val="00220586"/>
  </w:style>
  <w:style w:type="character" w:styleId="FollowedHyperlink">
    <w:name w:val="FollowedHyperlink"/>
    <w:basedOn w:val="DefaultParagraphFont"/>
    <w:uiPriority w:val="99"/>
    <w:semiHidden/>
    <w:unhideWhenUsed/>
    <w:rsid w:val="00F81A6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D2B0C"/>
    <w:pPr>
      <w:tabs>
        <w:tab w:val="clear" w:pos="4513"/>
        <w:tab w:val="clear" w:pos="9026"/>
      </w:tabs>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D2B0C"/>
    <w:rPr>
      <w:rFonts w:ascii="Calibri" w:eastAsia="Calibri" w:hAnsi="Calibri" w:cs="Times New Roman"/>
      <w:b/>
      <w:bCs/>
      <w:sz w:val="20"/>
      <w:szCs w:val="20"/>
    </w:rPr>
  </w:style>
  <w:style w:type="paragraph" w:styleId="ListNumber4">
    <w:name w:val="List Number 4"/>
    <w:basedOn w:val="Normal"/>
    <w:unhideWhenUsed/>
    <w:rsid w:val="00402688"/>
    <w:pPr>
      <w:numPr>
        <w:numId w:val="8"/>
      </w:numPr>
      <w:spacing w:before="120" w:after="120" w:line="280" w:lineRule="atLeast"/>
    </w:pPr>
    <w:rPr>
      <w:rFonts w:ascii="Arial" w:eastAsia="Times New Roman" w:hAnsi="Arial" w:cs="Times New Roman"/>
      <w:sz w:val="20"/>
    </w:rPr>
  </w:style>
  <w:style w:type="paragraph" w:styleId="Header">
    <w:name w:val="header"/>
    <w:basedOn w:val="Normal"/>
    <w:link w:val="HeaderChar"/>
    <w:uiPriority w:val="99"/>
    <w:unhideWhenUsed/>
    <w:rsid w:val="003C6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431"/>
  </w:style>
  <w:style w:type="paragraph" w:styleId="Revision">
    <w:name w:val="Revision"/>
    <w:hidden/>
    <w:uiPriority w:val="99"/>
    <w:semiHidden/>
    <w:rsid w:val="0020305F"/>
    <w:pPr>
      <w:spacing w:after="0" w:line="240" w:lineRule="auto"/>
    </w:pPr>
  </w:style>
  <w:style w:type="paragraph" w:styleId="ListBullet3">
    <w:name w:val="List Bullet 3"/>
    <w:basedOn w:val="Normal"/>
    <w:uiPriority w:val="99"/>
    <w:unhideWhenUsed/>
    <w:rsid w:val="0020305F"/>
    <w:pPr>
      <w:numPr>
        <w:numId w:val="10"/>
      </w:numPr>
      <w:tabs>
        <w:tab w:val="clear" w:pos="926"/>
      </w:tabs>
      <w:spacing w:before="60" w:after="60" w:line="280" w:lineRule="atLeast"/>
      <w:ind w:left="357" w:hanging="357"/>
    </w:pPr>
    <w:rPr>
      <w:rFonts w:ascii="Arial" w:eastAsia="Times New Roman" w:hAnsi="Arial" w:cs="Times New Roman"/>
      <w:sz w:val="20"/>
    </w:rPr>
  </w:style>
  <w:style w:type="paragraph" w:styleId="Title">
    <w:name w:val="Title"/>
    <w:basedOn w:val="Normal"/>
    <w:next w:val="Normal"/>
    <w:link w:val="TitleChar"/>
    <w:uiPriority w:val="10"/>
    <w:qFormat/>
    <w:rsid w:val="00CC04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4AF"/>
    <w:rPr>
      <w:rFonts w:asciiTheme="majorHAnsi" w:eastAsiaTheme="majorEastAsia" w:hAnsiTheme="majorHAnsi" w:cstheme="majorBidi"/>
      <w:spacing w:val="-10"/>
      <w:kern w:val="28"/>
      <w:sz w:val="56"/>
      <w:szCs w:val="56"/>
    </w:rPr>
  </w:style>
  <w:style w:type="paragraph" w:styleId="ListNumber2">
    <w:name w:val="List Number 2"/>
    <w:basedOn w:val="Normal"/>
    <w:uiPriority w:val="99"/>
    <w:semiHidden/>
    <w:unhideWhenUsed/>
    <w:rsid w:val="00C57DFB"/>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201591">
      <w:bodyDiv w:val="1"/>
      <w:marLeft w:val="0"/>
      <w:marRight w:val="0"/>
      <w:marTop w:val="0"/>
      <w:marBottom w:val="0"/>
      <w:divBdr>
        <w:top w:val="none" w:sz="0" w:space="0" w:color="auto"/>
        <w:left w:val="none" w:sz="0" w:space="0" w:color="auto"/>
        <w:bottom w:val="none" w:sz="0" w:space="0" w:color="auto"/>
        <w:right w:val="none" w:sz="0" w:space="0" w:color="auto"/>
      </w:divBdr>
    </w:div>
    <w:div w:id="10251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fenceindustry.gov.au/abou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efenceindustry.gov.au/abou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rants.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3390/ijerph18020737" TargetMode="External"/><Relationship Id="rId2" Type="http://schemas.openxmlformats.org/officeDocument/2006/relationships/hyperlink" Target="https://www.ethnolink.com.au/blog/cald-culturally-and-linguistically-diverse" TargetMode="External"/><Relationship Id="rId1" Type="http://schemas.openxmlformats.org/officeDocument/2006/relationships/hyperlink" Target="https://www.defence.gov.au/about/reviews-inquiries/south-australian-defence-industry-workforce-skills-report" TargetMode="External"/><Relationship Id="rId6" Type="http://schemas.openxmlformats.org/officeDocument/2006/relationships/hyperlink" Target="https://www.health.gov.au/resources/publications/modified-monash-model-mmm-suburb-and-locality-classification-home-care-subsidy" TargetMode="External"/><Relationship Id="rId5" Type="http://schemas.openxmlformats.org/officeDocument/2006/relationships/hyperlink" Target="https://aifs.gov.au/resources/resource-sheets/lgbtiqa-glossary-common-terms" TargetMode="External"/><Relationship Id="rId4" Type="http://schemas.openxmlformats.org/officeDocument/2006/relationships/hyperlink" Target="https://www.abs.gov.au/statistics/people/people-and-communities/socio-economic-indexes-areas-seifa-australia/latest-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McL22</b:Tag>
    <b:SourceType>DocumentFromInternetSite</b:SourceType>
    <b:Guid>{929AF2D2-5DCD-4E21-AA0D-68AECDD60205}</b:Guid>
    <b:Title>Supporting Children with Neurodiversity</b:Title>
    <b:Year>2022</b:Year>
    <b:InternetSiteTitle>Australian Government - Australian Institute of Family Studies</b:InternetSiteTitle>
    <b:Month>January</b:Month>
    <b:URL>https://aifs.gov.au/resources/policy-and-practice-papers/supporting-children-neurodiversity</b:URL>
    <b:Author>
      <b:Author>
        <b:NameList>
          <b:Person>
            <b:Last>McLean</b:Last>
            <b:First>Sara</b:First>
          </b:Person>
        </b:NameList>
      </b:Author>
    </b:Autho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eeba3d5f-ad86-4535-a09e-e86907e8c434</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40022</Value>
      <Value>1402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246864d340e5a7de074215edcd6f2c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49f0b497cdcc20b412d0c12bce176c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EC5DF4-D702-43F7-B753-6E0BF6D062EB}">
  <ds:schemaRefs>
    <ds:schemaRef ds:uri="http://schemas.microsoft.com/sharepoint/v3/contenttype/forms"/>
  </ds:schemaRefs>
</ds:datastoreItem>
</file>

<file path=customXml/itemProps2.xml><?xml version="1.0" encoding="utf-8"?>
<ds:datastoreItem xmlns:ds="http://schemas.openxmlformats.org/officeDocument/2006/customXml" ds:itemID="{D6A92FDF-ADF4-4623-92F0-7E603BA06340}">
  <ds:schemaRefs>
    <ds:schemaRef ds:uri="http://schemas.openxmlformats.org/officeDocument/2006/bibliography"/>
  </ds:schemaRefs>
</ds:datastoreItem>
</file>

<file path=customXml/itemProps3.xml><?xml version="1.0" encoding="utf-8"?>
<ds:datastoreItem xmlns:ds="http://schemas.openxmlformats.org/officeDocument/2006/customXml" ds:itemID="{CE55F1CA-36EF-47D1-8B06-2FEE04809E85}">
  <ds:schemaRefs>
    <ds:schemaRef ds:uri="http://schemas.microsoft.com/office/2006/documentManagement/types"/>
    <ds:schemaRef ds:uri="http://purl.org/dc/elements/1.1/"/>
    <ds:schemaRef ds:uri="2a251b7e-61e4-4816-a71f-b295a9ad20fb"/>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CB952191-0C2C-4136-BA13-A1A8079B0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B4C752-34D2-43BC-8FB4-66E7427B56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2024-08-15T01:41:00Z</cp:lastPrinted>
  <dcterms:created xsi:type="dcterms:W3CDTF">2024-08-15T01:40:00Z</dcterms:created>
  <dcterms:modified xsi:type="dcterms:W3CDTF">2024-08-15T01:49:00Z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BM77529702</vt:lpwstr>
  </property>
  <property fmtid="{D5CDD505-2E9C-101B-9397-08002B2CF9AE}" pid="4" name="Objective-Title">
    <vt:lpwstr>Schools Pathways Program Open Competitive GO - Reporting and Key Performance Indicator Data Information Sheet</vt:lpwstr>
  </property>
  <property fmtid="{D5CDD505-2E9C-101B-9397-08002B2CF9AE}" pid="5" name="Objective-Comment">
    <vt:lpwstr/>
  </property>
  <property fmtid="{D5CDD505-2E9C-101B-9397-08002B2CF9AE}" pid="6" name="Objective-CreationStamp">
    <vt:filetime>2024-07-18T01:12:57Z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2024-08-09T02:35:28Z</vt:filetime>
  </property>
  <property fmtid="{D5CDD505-2E9C-101B-9397-08002B2CF9AE}" pid="10" name="Objective-ModificationStamp">
    <vt:filetime>2024-08-09T02:35:28Z</vt:filetime>
  </property>
  <property fmtid="{D5CDD505-2E9C-101B-9397-08002B2CF9AE}" pid="11" name="Objective-Owner">
    <vt:lpwstr>Subash, Rachelle Mrs</vt:lpwstr>
  </property>
  <property fmtid="{D5CDD505-2E9C-101B-9397-08002B2CF9AE}" pid="12" name="Objective-Path">
    <vt:lpwstr>Objective Global Folder - PROD:Defence Business Units:Strategy, Policy, and Industry Group:DIP DIV : Defence Industry Policy Division:04 - Defence Industry Domestic Policy Branch:NDISO - National Defence Industry Skills Office:01 - Industry Skilling Progr</vt:lpwstr>
  </property>
  <property fmtid="{D5CDD505-2E9C-101B-9397-08002B2CF9AE}" pid="13" name="Objective-Parent">
    <vt:lpwstr>02. Draft Guidelines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2017/1133457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0x0101004D13603DCBBC0F45A3901C1DD9554701</vt:lpwstr>
  </property>
  <property fmtid="{D5CDD505-2E9C-101B-9397-08002B2CF9AE}" pid="24" name="DocHub_Year">
    <vt:lpwstr>46946;#2024|a9509632-5de2-45f9-9fc7-c24df7848880</vt:lpwstr>
  </property>
  <property fmtid="{D5CDD505-2E9C-101B-9397-08002B2CF9AE}" pid="25" name="DocHub_DocumentType">
    <vt:lpwstr>1402;#Terms of Reference|eeba3d5f-ad86-4535-a09e-e86907e8c434</vt:lpwstr>
  </property>
  <property fmtid="{D5CDD505-2E9C-101B-9397-08002B2CF9AE}" pid="26" name="DocHub_SecurityClassification">
    <vt:lpwstr>40022;#OFFICIAL:Sensitive|11f6fb0b-52ce-4109-8f7f-521b2a62f692</vt:lpwstr>
  </property>
  <property fmtid="{D5CDD505-2E9C-101B-9397-08002B2CF9AE}" pid="27" name="DocHub_WorkActivity">
    <vt:lpwstr>83;#Programme Management|e917d196-d1dd-46ca-8880-b205532cede6</vt:lpwstr>
  </property>
  <property fmtid="{D5CDD505-2E9C-101B-9397-08002B2CF9AE}" pid="28" name="DocHub_Keywords">
    <vt:lpwstr/>
  </property>
</Properties>
</file>