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4D52" w14:textId="42F897E3" w:rsidR="008E4722" w:rsidRPr="006308A1" w:rsidRDefault="00EB2323" w:rsidP="004A2E57">
      <w:pPr>
        <w:pStyle w:val="Heading1"/>
      </w:pPr>
      <w:r>
        <w:t>Space Infrastructure Fund</w:t>
      </w:r>
      <w:r w:rsidR="00137E6D">
        <w:t>:</w:t>
      </w:r>
      <w:r w:rsidR="00AA7A87" w:rsidRPr="00624853">
        <w:br/>
      </w:r>
      <w:r>
        <w:t>Space Payload Qualification</w:t>
      </w:r>
      <w:r w:rsidR="00502925">
        <w:t xml:space="preserve"> Facilities</w:t>
      </w:r>
      <w:r w:rsidR="00533106">
        <w:t xml:space="preserve">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CDBA6A8" w:rsidR="00AA7A87" w:rsidRPr="00F65C53" w:rsidRDefault="00ED3144" w:rsidP="00FB2CBF">
            <w:pPr>
              <w:cnfStyle w:val="100000000000" w:firstRow="1" w:lastRow="0" w:firstColumn="0" w:lastColumn="0" w:oddVBand="0" w:evenVBand="0" w:oddHBand="0" w:evenHBand="0" w:firstRowFirstColumn="0" w:firstRowLastColumn="0" w:lastRowFirstColumn="0" w:lastRowLastColumn="0"/>
              <w:rPr>
                <w:b w:val="0"/>
              </w:rPr>
            </w:pPr>
            <w:r>
              <w:rPr>
                <w:b w:val="0"/>
              </w:rPr>
              <w:t>17</w:t>
            </w:r>
            <w:r w:rsidR="00301BC8">
              <w:rPr>
                <w:b w:val="0"/>
              </w:rPr>
              <w:t xml:space="preserve"> November 2020</w:t>
            </w:r>
          </w:p>
        </w:tc>
      </w:tr>
      <w:tr w:rsidR="00AA7A87" w:rsidRPr="007040EB" w14:paraId="21523CB8"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00FDBD7F" w:rsidR="00AA7A87" w:rsidRPr="005A1DDC" w:rsidRDefault="00301BC8" w:rsidP="00F87B20">
            <w:pPr>
              <w:cnfStyle w:val="100000000000" w:firstRow="1" w:lastRow="0" w:firstColumn="0" w:lastColumn="0" w:oddVBand="0" w:evenVBand="0" w:oddHBand="0" w:evenHBand="0" w:firstRowFirstColumn="0" w:firstRowLastColumn="0" w:lastRowFirstColumn="0" w:lastRowLastColumn="0"/>
              <w:rPr>
                <w:b w:val="0"/>
              </w:rPr>
            </w:pPr>
            <w:r w:rsidRPr="005A1DDC">
              <w:rPr>
                <w:b w:val="0"/>
              </w:rPr>
              <w:t>5:00pm</w:t>
            </w:r>
            <w:r w:rsidR="00AA7A87" w:rsidRPr="005A1DDC">
              <w:rPr>
                <w:b w:val="0"/>
              </w:rPr>
              <w:t xml:space="preserve"> A</w:t>
            </w:r>
            <w:r w:rsidR="00F87B20" w:rsidRPr="005A1DDC">
              <w:rPr>
                <w:b w:val="0"/>
              </w:rPr>
              <w:t xml:space="preserve">ustralian Eastern Daylight </w:t>
            </w:r>
            <w:r w:rsidRPr="005A1DDC">
              <w:rPr>
                <w:b w:val="0"/>
              </w:rPr>
              <w:t>Savings Time</w:t>
            </w:r>
            <w:r w:rsidR="00F87B20" w:rsidRPr="005A1DDC">
              <w:rPr>
                <w:b w:val="0"/>
              </w:rPr>
              <w:t xml:space="preserve"> </w:t>
            </w:r>
            <w:r w:rsidRPr="005A1DDC">
              <w:rPr>
                <w:b w:val="0"/>
              </w:rPr>
              <w:t>on</w:t>
            </w:r>
            <w:r w:rsidR="00C51FFF">
              <w:rPr>
                <w:b w:val="0"/>
              </w:rPr>
              <w:t xml:space="preserve"> </w:t>
            </w:r>
            <w:r w:rsidR="00302FCC">
              <w:rPr>
                <w:b w:val="0"/>
              </w:rPr>
              <w:t>2</w:t>
            </w:r>
            <w:r w:rsidR="00C51FFF">
              <w:rPr>
                <w:b w:val="0"/>
              </w:rPr>
              <w:t>1 January 2021</w:t>
            </w:r>
          </w:p>
          <w:p w14:paraId="3C18DFE6" w14:textId="639DC1E7" w:rsidR="005E49EA" w:rsidRPr="005A1DDC"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5A1DDC">
              <w:rPr>
                <w:b w:val="0"/>
              </w:rPr>
              <w:t>Please take account of time zone differences when submitting your application</w:t>
            </w:r>
          </w:p>
        </w:tc>
      </w:tr>
      <w:tr w:rsidR="00AA7A87" w:rsidRPr="007040EB" w14:paraId="07C3C994"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8F29E5D" w:rsidR="00AA7A87" w:rsidRPr="005A1DDC" w:rsidRDefault="003237DD" w:rsidP="00FB2CBF">
            <w:pPr>
              <w:cnfStyle w:val="100000000000" w:firstRow="1" w:lastRow="0" w:firstColumn="0" w:lastColumn="0" w:oddVBand="0" w:evenVBand="0" w:oddHBand="0" w:evenHBand="0" w:firstRowFirstColumn="0" w:firstRowLastColumn="0" w:lastRowFirstColumn="0" w:lastRowLastColumn="0"/>
              <w:rPr>
                <w:b w:val="0"/>
              </w:rPr>
            </w:pPr>
            <w:r w:rsidRPr="005A1DDC">
              <w:rPr>
                <w:b w:val="0"/>
              </w:rPr>
              <w:t>Australian Space Agency</w:t>
            </w:r>
          </w:p>
        </w:tc>
      </w:tr>
      <w:tr w:rsidR="003237DD" w:rsidRPr="007040EB" w14:paraId="3B977594"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18DF6B" w14:textId="19452854" w:rsidR="003237DD" w:rsidRPr="0004098F" w:rsidRDefault="003237DD" w:rsidP="00FB2CBF">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3E4015F7" w14:textId="6C0299A4" w:rsidR="003237DD" w:rsidRPr="005A1DDC" w:rsidRDefault="003237DD" w:rsidP="00FB2CBF">
            <w:pPr>
              <w:cnfStyle w:val="100000000000" w:firstRow="1" w:lastRow="0" w:firstColumn="0" w:lastColumn="0" w:oddVBand="0" w:evenVBand="0" w:oddHBand="0" w:evenHBand="0" w:firstRowFirstColumn="0" w:firstRowLastColumn="0" w:lastRowFirstColumn="0" w:lastRowLastColumn="0"/>
              <w:rPr>
                <w:b w:val="0"/>
              </w:rPr>
            </w:pPr>
            <w:r w:rsidRPr="005A1DDC">
              <w:rPr>
                <w:b w:val="0"/>
              </w:rPr>
              <w:t>Department of Industry, Science, Energy and Resources</w:t>
            </w:r>
          </w:p>
        </w:tc>
      </w:tr>
      <w:tr w:rsidR="003237DD" w:rsidRPr="007040EB" w14:paraId="79952C1E"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AB88AC2" w:rsidR="003237DD" w:rsidRPr="0004098F" w:rsidRDefault="003237DD" w:rsidP="005F2A4B">
            <w:pPr>
              <w:rPr>
                <w:color w:val="264F90"/>
              </w:rPr>
            </w:pPr>
            <w:r w:rsidRPr="0004098F">
              <w:rPr>
                <w:color w:val="264F90"/>
              </w:rPr>
              <w:t>Enquiries:</w:t>
            </w:r>
          </w:p>
        </w:tc>
        <w:tc>
          <w:tcPr>
            <w:tcW w:w="5937" w:type="dxa"/>
            <w:shd w:val="clear" w:color="auto" w:fill="auto"/>
          </w:tcPr>
          <w:p w14:paraId="102514A1" w14:textId="3624B9B3" w:rsidR="003237DD" w:rsidRPr="005A1DDC" w:rsidRDefault="003237DD" w:rsidP="0044516B">
            <w:pPr>
              <w:cnfStyle w:val="100000000000" w:firstRow="1" w:lastRow="0" w:firstColumn="0" w:lastColumn="0" w:oddVBand="0" w:evenVBand="0" w:oddHBand="0" w:evenHBand="0" w:firstRowFirstColumn="0" w:firstRowLastColumn="0" w:lastRowFirstColumn="0" w:lastRowLastColumn="0"/>
              <w:rPr>
                <w:b w:val="0"/>
              </w:rPr>
            </w:pPr>
            <w:r w:rsidRPr="005A1DDC">
              <w:rPr>
                <w:b w:val="0"/>
              </w:rPr>
              <w:t>If you have any questions, contact us on 13 28 46</w:t>
            </w:r>
          </w:p>
        </w:tc>
      </w:tr>
      <w:tr w:rsidR="003237DD" w:rsidRPr="007040EB" w14:paraId="675CD872"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516CE10E" w:rsidR="003237DD" w:rsidRPr="0004098F" w:rsidRDefault="003237DD" w:rsidP="00FB2CBF">
            <w:pPr>
              <w:rPr>
                <w:color w:val="264F90"/>
              </w:rPr>
            </w:pPr>
            <w:r w:rsidRPr="0004098F">
              <w:rPr>
                <w:color w:val="264F90"/>
              </w:rPr>
              <w:t>Date guidelines released:</w:t>
            </w:r>
          </w:p>
        </w:tc>
        <w:tc>
          <w:tcPr>
            <w:tcW w:w="5937" w:type="dxa"/>
            <w:shd w:val="clear" w:color="auto" w:fill="auto"/>
          </w:tcPr>
          <w:p w14:paraId="7C97D1E9" w14:textId="430C393E" w:rsidR="003237DD" w:rsidRPr="005A1DDC" w:rsidRDefault="00ED3144" w:rsidP="00FB2CBF">
            <w:pPr>
              <w:cnfStyle w:val="100000000000" w:firstRow="1" w:lastRow="0" w:firstColumn="0" w:lastColumn="0" w:oddVBand="0" w:evenVBand="0" w:oddHBand="0" w:evenHBand="0" w:firstRowFirstColumn="0" w:firstRowLastColumn="0" w:lastRowFirstColumn="0" w:lastRowLastColumn="0"/>
              <w:rPr>
                <w:b w:val="0"/>
              </w:rPr>
            </w:pPr>
            <w:r>
              <w:rPr>
                <w:b w:val="0"/>
              </w:rPr>
              <w:t>17</w:t>
            </w:r>
            <w:r w:rsidR="00301BC8" w:rsidRPr="005A1DDC">
              <w:rPr>
                <w:b w:val="0"/>
              </w:rPr>
              <w:t xml:space="preserve"> November 2020</w:t>
            </w:r>
          </w:p>
        </w:tc>
      </w:tr>
      <w:tr w:rsidR="003237DD" w:rsidRPr="007040EB" w14:paraId="0022E681"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26A032BB" w:rsidR="003237DD" w:rsidRPr="0004098F" w:rsidRDefault="003237DD" w:rsidP="00FB2CBF">
            <w:pPr>
              <w:rPr>
                <w:color w:val="264F90"/>
              </w:rPr>
            </w:pPr>
            <w:r w:rsidRPr="0004098F">
              <w:rPr>
                <w:color w:val="264F90"/>
              </w:rPr>
              <w:t>Type of grant opportunity:</w:t>
            </w:r>
          </w:p>
        </w:tc>
        <w:tc>
          <w:tcPr>
            <w:tcW w:w="5937" w:type="dxa"/>
            <w:shd w:val="clear" w:color="auto" w:fill="auto"/>
          </w:tcPr>
          <w:p w14:paraId="43326A40" w14:textId="6AC6F52A" w:rsidR="003237DD" w:rsidRPr="005A1DDC" w:rsidRDefault="003237DD" w:rsidP="00FB2CBF">
            <w:pPr>
              <w:cnfStyle w:val="100000000000" w:firstRow="1" w:lastRow="0" w:firstColumn="0" w:lastColumn="0" w:oddVBand="0" w:evenVBand="0" w:oddHBand="0" w:evenHBand="0" w:firstRowFirstColumn="0" w:firstRowLastColumn="0" w:lastRowFirstColumn="0" w:lastRowLastColumn="0"/>
              <w:rPr>
                <w:b w:val="0"/>
              </w:rPr>
            </w:pPr>
            <w:r w:rsidRPr="005A1DDC">
              <w:rPr>
                <w:b w:val="0"/>
              </w:rPr>
              <w:t>Open competitive</w:t>
            </w:r>
          </w:p>
        </w:tc>
      </w:tr>
      <w:tr w:rsidR="003237DD" w14:paraId="6AA65F5E" w14:textId="77777777" w:rsidTr="005A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CFD22AD" w:rsidR="003237DD" w:rsidRPr="0004098F" w:rsidRDefault="003237DD" w:rsidP="00FB2CBF">
            <w:pPr>
              <w:rPr>
                <w:color w:val="264F90"/>
              </w:rPr>
            </w:pPr>
          </w:p>
        </w:tc>
        <w:tc>
          <w:tcPr>
            <w:tcW w:w="5937" w:type="dxa"/>
            <w:shd w:val="clear" w:color="auto" w:fill="auto"/>
          </w:tcPr>
          <w:p w14:paraId="31B0E74E" w14:textId="16285092" w:rsidR="003237DD" w:rsidRPr="005A1DDC" w:rsidRDefault="003237DD" w:rsidP="00094E05">
            <w:pPr>
              <w:cnfStyle w:val="100000000000" w:firstRow="1" w:lastRow="0" w:firstColumn="0" w:lastColumn="0" w:oddVBand="0" w:evenVBand="0" w:oddHBand="0" w:evenHBand="0" w:firstRowFirstColumn="0" w:firstRowLastColumn="0" w:lastRowFirstColumn="0" w:lastRowLastColumn="0"/>
              <w:rPr>
                <w:b w:val="0"/>
              </w:rPr>
            </w:pPr>
          </w:p>
        </w:tc>
      </w:tr>
    </w:tbl>
    <w:p w14:paraId="25F651C6" w14:textId="77777777" w:rsidR="00C108BC" w:rsidRDefault="00C108BC" w:rsidP="00077C3D"/>
    <w:p w14:paraId="25F651C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4A2E57">
      <w:pPr>
        <w:pStyle w:val="TOCHeading"/>
      </w:pPr>
      <w:bookmarkStart w:id="0" w:name="_Toc164844258"/>
      <w:bookmarkStart w:id="1" w:name="_Toc383003250"/>
      <w:bookmarkStart w:id="2" w:name="_Toc164844257"/>
      <w:r w:rsidRPr="00007E4B">
        <w:lastRenderedPageBreak/>
        <w:t>Contents</w:t>
      </w:r>
      <w:bookmarkEnd w:id="0"/>
      <w:bookmarkEnd w:id="1"/>
    </w:p>
    <w:p w14:paraId="61D346E6" w14:textId="2E055C3E" w:rsidR="007878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878C9">
        <w:rPr>
          <w:noProof/>
        </w:rPr>
        <w:t>1.</w:t>
      </w:r>
      <w:r w:rsidR="007878C9">
        <w:rPr>
          <w:rFonts w:asciiTheme="minorHAnsi" w:eastAsiaTheme="minorEastAsia" w:hAnsiTheme="minorHAnsi" w:cstheme="minorBidi"/>
          <w:b w:val="0"/>
          <w:iCs w:val="0"/>
          <w:noProof/>
          <w:sz w:val="22"/>
          <w:lang w:val="en-AU" w:eastAsia="en-AU"/>
        </w:rPr>
        <w:tab/>
      </w:r>
      <w:r w:rsidR="007878C9">
        <w:rPr>
          <w:noProof/>
        </w:rPr>
        <w:t xml:space="preserve">Space Infrastructure Fund: Space Payload Qualification </w:t>
      </w:r>
      <w:r w:rsidR="00137E6D">
        <w:rPr>
          <w:noProof/>
        </w:rPr>
        <w:t xml:space="preserve">Facilities </w:t>
      </w:r>
      <w:r w:rsidR="007878C9">
        <w:rPr>
          <w:noProof/>
        </w:rPr>
        <w:t>Grant processes</w:t>
      </w:r>
      <w:r w:rsidR="007878C9">
        <w:rPr>
          <w:noProof/>
        </w:rPr>
        <w:tab/>
      </w:r>
      <w:r w:rsidR="007878C9">
        <w:rPr>
          <w:noProof/>
        </w:rPr>
        <w:fldChar w:fldCharType="begin"/>
      </w:r>
      <w:r w:rsidR="007878C9">
        <w:rPr>
          <w:noProof/>
        </w:rPr>
        <w:instrText xml:space="preserve"> PAGEREF _Toc51230470 \h </w:instrText>
      </w:r>
      <w:r w:rsidR="007878C9">
        <w:rPr>
          <w:noProof/>
        </w:rPr>
      </w:r>
      <w:r w:rsidR="007878C9">
        <w:rPr>
          <w:noProof/>
        </w:rPr>
        <w:fldChar w:fldCharType="separate"/>
      </w:r>
      <w:r w:rsidR="0085061C">
        <w:rPr>
          <w:noProof/>
        </w:rPr>
        <w:t>4</w:t>
      </w:r>
      <w:r w:rsidR="007878C9">
        <w:rPr>
          <w:noProof/>
        </w:rPr>
        <w:fldChar w:fldCharType="end"/>
      </w:r>
    </w:p>
    <w:p w14:paraId="0153BDAD" w14:textId="0B62A313" w:rsidR="007878C9" w:rsidRDefault="007878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_Toc51230471 \h </w:instrText>
      </w:r>
      <w:r>
        <w:rPr>
          <w:noProof/>
        </w:rPr>
      </w:r>
      <w:r>
        <w:rPr>
          <w:noProof/>
        </w:rPr>
        <w:fldChar w:fldCharType="separate"/>
      </w:r>
      <w:r w:rsidR="0085061C">
        <w:rPr>
          <w:noProof/>
        </w:rPr>
        <w:t>5</w:t>
      </w:r>
      <w:r>
        <w:rPr>
          <w:noProof/>
        </w:rPr>
        <w:fldChar w:fldCharType="end"/>
      </w:r>
    </w:p>
    <w:p w14:paraId="04A03A57" w14:textId="6216CDF1" w:rsidR="007878C9" w:rsidRDefault="007878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Space Payload Qualification Facilities grant opportunity</w:t>
      </w:r>
      <w:r>
        <w:rPr>
          <w:noProof/>
        </w:rPr>
        <w:tab/>
      </w:r>
      <w:r>
        <w:rPr>
          <w:noProof/>
        </w:rPr>
        <w:fldChar w:fldCharType="begin"/>
      </w:r>
      <w:r>
        <w:rPr>
          <w:noProof/>
        </w:rPr>
        <w:instrText xml:space="preserve"> PAGEREF _Toc51230472 \h </w:instrText>
      </w:r>
      <w:r>
        <w:rPr>
          <w:noProof/>
        </w:rPr>
      </w:r>
      <w:r>
        <w:rPr>
          <w:noProof/>
        </w:rPr>
        <w:fldChar w:fldCharType="separate"/>
      </w:r>
      <w:r w:rsidR="0085061C">
        <w:rPr>
          <w:noProof/>
        </w:rPr>
        <w:t>5</w:t>
      </w:r>
      <w:r>
        <w:rPr>
          <w:noProof/>
        </w:rPr>
        <w:fldChar w:fldCharType="end"/>
      </w:r>
    </w:p>
    <w:p w14:paraId="11EAE0B2" w14:textId="1FE77FAD" w:rsidR="007878C9" w:rsidRDefault="007878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_Toc51230473 \h </w:instrText>
      </w:r>
      <w:r>
        <w:rPr>
          <w:noProof/>
        </w:rPr>
      </w:r>
      <w:r>
        <w:rPr>
          <w:noProof/>
        </w:rPr>
        <w:fldChar w:fldCharType="separate"/>
      </w:r>
      <w:r w:rsidR="0085061C">
        <w:rPr>
          <w:noProof/>
        </w:rPr>
        <w:t>7</w:t>
      </w:r>
      <w:r>
        <w:rPr>
          <w:noProof/>
        </w:rPr>
        <w:fldChar w:fldCharType="end"/>
      </w:r>
    </w:p>
    <w:p w14:paraId="7ABAB767" w14:textId="0F19E39F" w:rsidR="007878C9" w:rsidRDefault="007878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_Toc51230474 \h </w:instrText>
      </w:r>
      <w:r>
        <w:rPr>
          <w:noProof/>
        </w:rPr>
      </w:r>
      <w:r>
        <w:rPr>
          <w:noProof/>
        </w:rPr>
        <w:fldChar w:fldCharType="separate"/>
      </w:r>
      <w:r w:rsidR="0085061C">
        <w:rPr>
          <w:noProof/>
        </w:rPr>
        <w:t>7</w:t>
      </w:r>
      <w:r>
        <w:rPr>
          <w:noProof/>
        </w:rPr>
        <w:fldChar w:fldCharType="end"/>
      </w:r>
    </w:p>
    <w:p w14:paraId="681AE7D4" w14:textId="6F3E0115" w:rsidR="007878C9" w:rsidRDefault="007878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_Toc51230475 \h </w:instrText>
      </w:r>
      <w:r>
        <w:rPr>
          <w:noProof/>
        </w:rPr>
      </w:r>
      <w:r>
        <w:rPr>
          <w:noProof/>
        </w:rPr>
        <w:fldChar w:fldCharType="separate"/>
      </w:r>
      <w:r w:rsidR="0085061C">
        <w:rPr>
          <w:noProof/>
        </w:rPr>
        <w:t>7</w:t>
      </w:r>
      <w:r>
        <w:rPr>
          <w:noProof/>
        </w:rPr>
        <w:fldChar w:fldCharType="end"/>
      </w:r>
    </w:p>
    <w:p w14:paraId="6B3C9458" w14:textId="38BC76EB" w:rsidR="007878C9" w:rsidRDefault="007878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_Toc51230476 \h </w:instrText>
      </w:r>
      <w:r>
        <w:rPr>
          <w:noProof/>
        </w:rPr>
      </w:r>
      <w:r>
        <w:rPr>
          <w:noProof/>
        </w:rPr>
        <w:fldChar w:fldCharType="separate"/>
      </w:r>
      <w:r w:rsidR="0085061C">
        <w:rPr>
          <w:noProof/>
        </w:rPr>
        <w:t>7</w:t>
      </w:r>
      <w:r>
        <w:rPr>
          <w:noProof/>
        </w:rPr>
        <w:fldChar w:fldCharType="end"/>
      </w:r>
    </w:p>
    <w:p w14:paraId="0E13D621" w14:textId="312AEB9D" w:rsidR="007878C9" w:rsidRDefault="007878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_Toc51230477 \h </w:instrText>
      </w:r>
      <w:r>
        <w:rPr>
          <w:noProof/>
        </w:rPr>
      </w:r>
      <w:r>
        <w:rPr>
          <w:noProof/>
        </w:rPr>
        <w:fldChar w:fldCharType="separate"/>
      </w:r>
      <w:r w:rsidR="0085061C">
        <w:rPr>
          <w:noProof/>
        </w:rPr>
        <w:t>7</w:t>
      </w:r>
      <w:r>
        <w:rPr>
          <w:noProof/>
        </w:rPr>
        <w:fldChar w:fldCharType="end"/>
      </w:r>
    </w:p>
    <w:p w14:paraId="2A0A61AB" w14:textId="569DC27F" w:rsidR="007878C9" w:rsidRDefault="007878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_Toc51230478 \h </w:instrText>
      </w:r>
      <w:r>
        <w:rPr>
          <w:noProof/>
        </w:rPr>
      </w:r>
      <w:r>
        <w:rPr>
          <w:noProof/>
        </w:rPr>
        <w:fldChar w:fldCharType="separate"/>
      </w:r>
      <w:r w:rsidR="0085061C">
        <w:rPr>
          <w:noProof/>
        </w:rPr>
        <w:t>8</w:t>
      </w:r>
      <w:r>
        <w:rPr>
          <w:noProof/>
        </w:rPr>
        <w:fldChar w:fldCharType="end"/>
      </w:r>
    </w:p>
    <w:p w14:paraId="6B51A101" w14:textId="7D3B6184" w:rsidR="007878C9" w:rsidRDefault="007878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_Toc51230479 \h </w:instrText>
      </w:r>
      <w:r>
        <w:rPr>
          <w:noProof/>
        </w:rPr>
      </w:r>
      <w:r>
        <w:rPr>
          <w:noProof/>
        </w:rPr>
        <w:fldChar w:fldCharType="separate"/>
      </w:r>
      <w:r w:rsidR="0085061C">
        <w:rPr>
          <w:noProof/>
        </w:rPr>
        <w:t>8</w:t>
      </w:r>
      <w:r>
        <w:rPr>
          <w:noProof/>
        </w:rPr>
        <w:fldChar w:fldCharType="end"/>
      </w:r>
    </w:p>
    <w:p w14:paraId="359A92EF" w14:textId="6A190DEB" w:rsidR="007878C9" w:rsidRDefault="007878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_Toc51230480 \h </w:instrText>
      </w:r>
      <w:r>
        <w:rPr>
          <w:noProof/>
        </w:rPr>
      </w:r>
      <w:r>
        <w:rPr>
          <w:noProof/>
        </w:rPr>
        <w:fldChar w:fldCharType="separate"/>
      </w:r>
      <w:r w:rsidR="0085061C">
        <w:rPr>
          <w:noProof/>
        </w:rPr>
        <w:t>8</w:t>
      </w:r>
      <w:r>
        <w:rPr>
          <w:noProof/>
        </w:rPr>
        <w:fldChar w:fldCharType="end"/>
      </w:r>
    </w:p>
    <w:p w14:paraId="0603A023" w14:textId="5E37F212" w:rsidR="007878C9" w:rsidRDefault="007878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_Toc51230481 \h </w:instrText>
      </w:r>
      <w:r>
        <w:rPr>
          <w:noProof/>
        </w:rPr>
      </w:r>
      <w:r>
        <w:rPr>
          <w:noProof/>
        </w:rPr>
        <w:fldChar w:fldCharType="separate"/>
      </w:r>
      <w:r w:rsidR="0085061C">
        <w:rPr>
          <w:noProof/>
        </w:rPr>
        <w:t>8</w:t>
      </w:r>
      <w:r>
        <w:rPr>
          <w:noProof/>
        </w:rPr>
        <w:fldChar w:fldCharType="end"/>
      </w:r>
    </w:p>
    <w:p w14:paraId="542312DD" w14:textId="234E867D" w:rsidR="007878C9" w:rsidRDefault="007878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_Toc51230482 \h </w:instrText>
      </w:r>
      <w:r>
        <w:rPr>
          <w:noProof/>
        </w:rPr>
      </w:r>
      <w:r>
        <w:rPr>
          <w:noProof/>
        </w:rPr>
        <w:fldChar w:fldCharType="separate"/>
      </w:r>
      <w:r w:rsidR="0085061C">
        <w:rPr>
          <w:noProof/>
        </w:rPr>
        <w:t>9</w:t>
      </w:r>
      <w:r>
        <w:rPr>
          <w:noProof/>
        </w:rPr>
        <w:fldChar w:fldCharType="end"/>
      </w:r>
    </w:p>
    <w:p w14:paraId="6097924F" w14:textId="168A3D1C" w:rsidR="007878C9" w:rsidRDefault="007878C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_Toc51230483 \h </w:instrText>
      </w:r>
      <w:r>
        <w:rPr>
          <w:noProof/>
        </w:rPr>
      </w:r>
      <w:r>
        <w:rPr>
          <w:noProof/>
        </w:rPr>
        <w:fldChar w:fldCharType="separate"/>
      </w:r>
      <w:r w:rsidR="0085061C">
        <w:rPr>
          <w:noProof/>
        </w:rPr>
        <w:t>9</w:t>
      </w:r>
      <w:r>
        <w:rPr>
          <w:noProof/>
        </w:rPr>
        <w:fldChar w:fldCharType="end"/>
      </w:r>
    </w:p>
    <w:p w14:paraId="31D4BB5D" w14:textId="50570A87" w:rsidR="007878C9" w:rsidRDefault="007878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_Toc51230484 \h </w:instrText>
      </w:r>
      <w:r>
        <w:rPr>
          <w:noProof/>
        </w:rPr>
      </w:r>
      <w:r>
        <w:rPr>
          <w:noProof/>
        </w:rPr>
        <w:fldChar w:fldCharType="separate"/>
      </w:r>
      <w:r w:rsidR="0085061C">
        <w:rPr>
          <w:noProof/>
        </w:rPr>
        <w:t>10</w:t>
      </w:r>
      <w:r>
        <w:rPr>
          <w:noProof/>
        </w:rPr>
        <w:fldChar w:fldCharType="end"/>
      </w:r>
    </w:p>
    <w:p w14:paraId="4924B062" w14:textId="363BAF17" w:rsidR="007878C9" w:rsidRDefault="007878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_Toc51230485 \h </w:instrText>
      </w:r>
      <w:r>
        <w:rPr>
          <w:noProof/>
        </w:rPr>
      </w:r>
      <w:r>
        <w:rPr>
          <w:noProof/>
        </w:rPr>
        <w:fldChar w:fldCharType="separate"/>
      </w:r>
      <w:r w:rsidR="0085061C">
        <w:rPr>
          <w:noProof/>
        </w:rPr>
        <w:t>10</w:t>
      </w:r>
      <w:r>
        <w:rPr>
          <w:noProof/>
        </w:rPr>
        <w:fldChar w:fldCharType="end"/>
      </w:r>
    </w:p>
    <w:p w14:paraId="1F8F7206" w14:textId="2AB8DB3A" w:rsidR="007878C9" w:rsidRDefault="007878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_Toc51230486 \h </w:instrText>
      </w:r>
      <w:r>
        <w:rPr>
          <w:noProof/>
        </w:rPr>
      </w:r>
      <w:r>
        <w:rPr>
          <w:noProof/>
        </w:rPr>
        <w:fldChar w:fldCharType="separate"/>
      </w:r>
      <w:r w:rsidR="0085061C">
        <w:rPr>
          <w:noProof/>
        </w:rPr>
        <w:t>10</w:t>
      </w:r>
      <w:r>
        <w:rPr>
          <w:noProof/>
        </w:rPr>
        <w:fldChar w:fldCharType="end"/>
      </w:r>
    </w:p>
    <w:p w14:paraId="5D162286" w14:textId="10BEF9B2" w:rsidR="007878C9" w:rsidRDefault="007878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_Toc51230487 \h </w:instrText>
      </w:r>
      <w:r>
        <w:rPr>
          <w:noProof/>
        </w:rPr>
      </w:r>
      <w:r>
        <w:rPr>
          <w:noProof/>
        </w:rPr>
        <w:fldChar w:fldCharType="separate"/>
      </w:r>
      <w:r w:rsidR="0085061C">
        <w:rPr>
          <w:noProof/>
        </w:rPr>
        <w:t>11</w:t>
      </w:r>
      <w:r>
        <w:rPr>
          <w:noProof/>
        </w:rPr>
        <w:fldChar w:fldCharType="end"/>
      </w:r>
    </w:p>
    <w:p w14:paraId="3537606C" w14:textId="097DC8EE" w:rsidR="007878C9" w:rsidRDefault="007878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_Toc51230488 \h </w:instrText>
      </w:r>
      <w:r>
        <w:rPr>
          <w:noProof/>
        </w:rPr>
      </w:r>
      <w:r>
        <w:rPr>
          <w:noProof/>
        </w:rPr>
        <w:fldChar w:fldCharType="separate"/>
      </w:r>
      <w:r w:rsidR="0085061C">
        <w:rPr>
          <w:noProof/>
        </w:rPr>
        <w:t>11</w:t>
      </w:r>
      <w:r>
        <w:rPr>
          <w:noProof/>
        </w:rPr>
        <w:fldChar w:fldCharType="end"/>
      </w:r>
    </w:p>
    <w:p w14:paraId="287ADEBC" w14:textId="39920CD5" w:rsidR="007878C9" w:rsidRDefault="007878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_Toc51230489 \h </w:instrText>
      </w:r>
      <w:r>
        <w:rPr>
          <w:noProof/>
        </w:rPr>
      </w:r>
      <w:r>
        <w:rPr>
          <w:noProof/>
        </w:rPr>
        <w:fldChar w:fldCharType="separate"/>
      </w:r>
      <w:r w:rsidR="0085061C">
        <w:rPr>
          <w:noProof/>
        </w:rPr>
        <w:t>12</w:t>
      </w:r>
      <w:r>
        <w:rPr>
          <w:noProof/>
        </w:rPr>
        <w:fldChar w:fldCharType="end"/>
      </w:r>
    </w:p>
    <w:p w14:paraId="0CBFA16D" w14:textId="33030DF6" w:rsidR="007878C9" w:rsidRDefault="007878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_Toc51230490 \h </w:instrText>
      </w:r>
      <w:r>
        <w:rPr>
          <w:noProof/>
        </w:rPr>
      </w:r>
      <w:r>
        <w:rPr>
          <w:noProof/>
        </w:rPr>
        <w:fldChar w:fldCharType="separate"/>
      </w:r>
      <w:r w:rsidR="0085061C">
        <w:rPr>
          <w:noProof/>
        </w:rPr>
        <w:t>12</w:t>
      </w:r>
      <w:r>
        <w:rPr>
          <w:noProof/>
        </w:rPr>
        <w:fldChar w:fldCharType="end"/>
      </w:r>
    </w:p>
    <w:p w14:paraId="2EA07EE2" w14:textId="173B7441" w:rsidR="007878C9" w:rsidRDefault="007878C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_Toc51230491 \h </w:instrText>
      </w:r>
      <w:r>
        <w:rPr>
          <w:noProof/>
        </w:rPr>
      </w:r>
      <w:r>
        <w:rPr>
          <w:noProof/>
        </w:rPr>
        <w:fldChar w:fldCharType="separate"/>
      </w:r>
      <w:r w:rsidR="0085061C">
        <w:rPr>
          <w:noProof/>
        </w:rPr>
        <w:t>12</w:t>
      </w:r>
      <w:r>
        <w:rPr>
          <w:noProof/>
        </w:rPr>
        <w:fldChar w:fldCharType="end"/>
      </w:r>
    </w:p>
    <w:p w14:paraId="5E3064FD" w14:textId="5EE7ABF1" w:rsidR="007878C9" w:rsidRDefault="007878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_Toc51230492 \h </w:instrText>
      </w:r>
      <w:r>
        <w:rPr>
          <w:noProof/>
        </w:rPr>
      </w:r>
      <w:r>
        <w:rPr>
          <w:noProof/>
        </w:rPr>
        <w:fldChar w:fldCharType="separate"/>
      </w:r>
      <w:r w:rsidR="0085061C">
        <w:rPr>
          <w:noProof/>
        </w:rPr>
        <w:t>13</w:t>
      </w:r>
      <w:r>
        <w:rPr>
          <w:noProof/>
        </w:rPr>
        <w:fldChar w:fldCharType="end"/>
      </w:r>
    </w:p>
    <w:p w14:paraId="019F234B" w14:textId="78BC1D94" w:rsidR="007878C9" w:rsidRDefault="007878C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_Toc51230493 \h </w:instrText>
      </w:r>
      <w:r>
        <w:rPr>
          <w:noProof/>
        </w:rPr>
      </w:r>
      <w:r>
        <w:rPr>
          <w:noProof/>
        </w:rPr>
        <w:fldChar w:fldCharType="separate"/>
      </w:r>
      <w:r w:rsidR="0085061C">
        <w:rPr>
          <w:noProof/>
        </w:rPr>
        <w:t>13</w:t>
      </w:r>
      <w:r>
        <w:rPr>
          <w:noProof/>
        </w:rPr>
        <w:fldChar w:fldCharType="end"/>
      </w:r>
    </w:p>
    <w:p w14:paraId="51199E81" w14:textId="63C7BF95" w:rsidR="007878C9" w:rsidRDefault="007878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_Toc51230494 \h </w:instrText>
      </w:r>
      <w:r>
        <w:rPr>
          <w:noProof/>
        </w:rPr>
      </w:r>
      <w:r>
        <w:rPr>
          <w:noProof/>
        </w:rPr>
        <w:fldChar w:fldCharType="separate"/>
      </w:r>
      <w:r w:rsidR="0085061C">
        <w:rPr>
          <w:noProof/>
        </w:rPr>
        <w:t>14</w:t>
      </w:r>
      <w:r>
        <w:rPr>
          <w:noProof/>
        </w:rPr>
        <w:fldChar w:fldCharType="end"/>
      </w:r>
    </w:p>
    <w:p w14:paraId="5EE2A5C9" w14:textId="010DAB0C" w:rsidR="007878C9" w:rsidRDefault="007878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_Toc51230495 \h </w:instrText>
      </w:r>
      <w:r>
        <w:rPr>
          <w:noProof/>
        </w:rPr>
      </w:r>
      <w:r>
        <w:rPr>
          <w:noProof/>
        </w:rPr>
        <w:fldChar w:fldCharType="separate"/>
      </w:r>
      <w:r w:rsidR="0085061C">
        <w:rPr>
          <w:noProof/>
        </w:rPr>
        <w:t>14</w:t>
      </w:r>
      <w:r>
        <w:rPr>
          <w:noProof/>
        </w:rPr>
        <w:fldChar w:fldCharType="end"/>
      </w:r>
    </w:p>
    <w:p w14:paraId="37FEFD0A" w14:textId="04679EC4"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_Toc51230496 \h </w:instrText>
      </w:r>
      <w:r>
        <w:rPr>
          <w:noProof/>
        </w:rPr>
      </w:r>
      <w:r>
        <w:rPr>
          <w:noProof/>
        </w:rPr>
        <w:fldChar w:fldCharType="separate"/>
      </w:r>
      <w:r w:rsidR="0085061C">
        <w:rPr>
          <w:noProof/>
        </w:rPr>
        <w:t>14</w:t>
      </w:r>
      <w:r>
        <w:rPr>
          <w:noProof/>
        </w:rPr>
        <w:fldChar w:fldCharType="end"/>
      </w:r>
    </w:p>
    <w:p w14:paraId="4C3E4D7C" w14:textId="04DCA1E9"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Space Payload Qualification Facilit</w:t>
      </w:r>
      <w:r w:rsidR="00137E6D">
        <w:rPr>
          <w:noProof/>
        </w:rPr>
        <w:t>ies</w:t>
      </w:r>
      <w:r>
        <w:rPr>
          <w:noProof/>
        </w:rPr>
        <w:t xml:space="preserve"> specific legislation, policies and industry standards</w:t>
      </w:r>
      <w:r>
        <w:rPr>
          <w:noProof/>
        </w:rPr>
        <w:tab/>
      </w:r>
      <w:r>
        <w:rPr>
          <w:noProof/>
        </w:rPr>
        <w:fldChar w:fldCharType="begin"/>
      </w:r>
      <w:r>
        <w:rPr>
          <w:noProof/>
        </w:rPr>
        <w:instrText xml:space="preserve"> PAGEREF _Toc51230497 \h </w:instrText>
      </w:r>
      <w:r>
        <w:rPr>
          <w:noProof/>
        </w:rPr>
      </w:r>
      <w:r>
        <w:rPr>
          <w:noProof/>
        </w:rPr>
        <w:fldChar w:fldCharType="separate"/>
      </w:r>
      <w:r w:rsidR="0085061C">
        <w:rPr>
          <w:noProof/>
        </w:rPr>
        <w:t>14</w:t>
      </w:r>
      <w:r>
        <w:rPr>
          <w:noProof/>
        </w:rPr>
        <w:fldChar w:fldCharType="end"/>
      </w:r>
    </w:p>
    <w:p w14:paraId="0D2F7A9F" w14:textId="0CD7E282"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_Toc51230498 \h </w:instrText>
      </w:r>
      <w:r>
        <w:rPr>
          <w:noProof/>
        </w:rPr>
      </w:r>
      <w:r>
        <w:rPr>
          <w:noProof/>
        </w:rPr>
        <w:fldChar w:fldCharType="separate"/>
      </w:r>
      <w:r w:rsidR="0085061C">
        <w:rPr>
          <w:noProof/>
        </w:rPr>
        <w:t>15</w:t>
      </w:r>
      <w:r>
        <w:rPr>
          <w:noProof/>
        </w:rPr>
        <w:fldChar w:fldCharType="end"/>
      </w:r>
    </w:p>
    <w:p w14:paraId="717FE0CD" w14:textId="511943BD"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_Toc51230499 \h </w:instrText>
      </w:r>
      <w:r>
        <w:rPr>
          <w:noProof/>
        </w:rPr>
      </w:r>
      <w:r>
        <w:rPr>
          <w:noProof/>
        </w:rPr>
        <w:fldChar w:fldCharType="separate"/>
      </w:r>
      <w:r w:rsidR="0085061C">
        <w:rPr>
          <w:noProof/>
        </w:rPr>
        <w:t>15</w:t>
      </w:r>
      <w:r>
        <w:rPr>
          <w:noProof/>
        </w:rPr>
        <w:fldChar w:fldCharType="end"/>
      </w:r>
    </w:p>
    <w:p w14:paraId="51E01DC5" w14:textId="514883A1" w:rsidR="007878C9" w:rsidRDefault="007878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_Toc51230500 \h </w:instrText>
      </w:r>
      <w:r>
        <w:rPr>
          <w:noProof/>
        </w:rPr>
      </w:r>
      <w:r>
        <w:rPr>
          <w:noProof/>
        </w:rPr>
        <w:fldChar w:fldCharType="separate"/>
      </w:r>
      <w:r w:rsidR="0085061C">
        <w:rPr>
          <w:noProof/>
        </w:rPr>
        <w:t>15</w:t>
      </w:r>
      <w:r>
        <w:rPr>
          <w:noProof/>
        </w:rPr>
        <w:fldChar w:fldCharType="end"/>
      </w:r>
    </w:p>
    <w:p w14:paraId="1DE2EDCD" w14:textId="65EE9EF6" w:rsidR="007878C9" w:rsidRDefault="007878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_Toc51230501 \h </w:instrText>
      </w:r>
      <w:r>
        <w:rPr>
          <w:noProof/>
        </w:rPr>
      </w:r>
      <w:r>
        <w:rPr>
          <w:noProof/>
        </w:rPr>
        <w:fldChar w:fldCharType="separate"/>
      </w:r>
      <w:r w:rsidR="0085061C">
        <w:rPr>
          <w:noProof/>
        </w:rPr>
        <w:t>15</w:t>
      </w:r>
      <w:r>
        <w:rPr>
          <w:noProof/>
        </w:rPr>
        <w:fldChar w:fldCharType="end"/>
      </w:r>
    </w:p>
    <w:p w14:paraId="25C9A625" w14:textId="0E553DA7"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_Toc51230502 \h </w:instrText>
      </w:r>
      <w:r>
        <w:rPr>
          <w:noProof/>
        </w:rPr>
      </w:r>
      <w:r>
        <w:rPr>
          <w:noProof/>
        </w:rPr>
        <w:fldChar w:fldCharType="separate"/>
      </w:r>
      <w:r w:rsidR="0085061C">
        <w:rPr>
          <w:noProof/>
        </w:rPr>
        <w:t>15</w:t>
      </w:r>
      <w:r>
        <w:rPr>
          <w:noProof/>
        </w:rPr>
        <w:fldChar w:fldCharType="end"/>
      </w:r>
    </w:p>
    <w:p w14:paraId="43F796A8" w14:textId="772AF3ED"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_Toc51230503 \h </w:instrText>
      </w:r>
      <w:r>
        <w:rPr>
          <w:noProof/>
        </w:rPr>
      </w:r>
      <w:r>
        <w:rPr>
          <w:noProof/>
        </w:rPr>
        <w:fldChar w:fldCharType="separate"/>
      </w:r>
      <w:r w:rsidR="0085061C">
        <w:rPr>
          <w:noProof/>
        </w:rPr>
        <w:t>16</w:t>
      </w:r>
      <w:r>
        <w:rPr>
          <w:noProof/>
        </w:rPr>
        <w:fldChar w:fldCharType="end"/>
      </w:r>
    </w:p>
    <w:p w14:paraId="0C5B943C" w14:textId="45DCB725" w:rsidR="007878C9" w:rsidRDefault="007878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_Toc51230504 \h </w:instrText>
      </w:r>
      <w:r>
        <w:fldChar w:fldCharType="separate"/>
      </w:r>
      <w:r w:rsidR="0085061C">
        <w:t>16</w:t>
      </w:r>
      <w:r>
        <w:fldChar w:fldCharType="end"/>
      </w:r>
    </w:p>
    <w:p w14:paraId="3052762C" w14:textId="3F6ADD95" w:rsidR="007878C9" w:rsidRDefault="007878C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_Toc51230505 \h </w:instrText>
      </w:r>
      <w:r>
        <w:fldChar w:fldCharType="separate"/>
      </w:r>
      <w:r w:rsidR="0085061C">
        <w:t>16</w:t>
      </w:r>
      <w:r>
        <w:fldChar w:fldCharType="end"/>
      </w:r>
    </w:p>
    <w:p w14:paraId="668C4E8C" w14:textId="01C3807D" w:rsidR="007878C9" w:rsidRDefault="007878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_Toc51230506 \h </w:instrText>
      </w:r>
      <w:r>
        <w:fldChar w:fldCharType="separate"/>
      </w:r>
      <w:r w:rsidR="0085061C">
        <w:t>17</w:t>
      </w:r>
      <w:r>
        <w:fldChar w:fldCharType="end"/>
      </w:r>
    </w:p>
    <w:p w14:paraId="2FAE4586" w14:textId="4424E957" w:rsidR="007878C9" w:rsidRDefault="007878C9">
      <w:pPr>
        <w:pStyle w:val="TOC4"/>
        <w:rPr>
          <w:rFonts w:asciiTheme="minorHAnsi" w:eastAsiaTheme="minorEastAsia" w:hAnsiTheme="minorHAnsi" w:cstheme="minorBidi"/>
          <w:iCs w:val="0"/>
          <w:sz w:val="22"/>
          <w:szCs w:val="22"/>
          <w:lang w:eastAsia="en-AU"/>
        </w:rPr>
      </w:pPr>
      <w:r>
        <w:lastRenderedPageBreak/>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_Toc51230507 \h </w:instrText>
      </w:r>
      <w:r>
        <w:fldChar w:fldCharType="separate"/>
      </w:r>
      <w:r w:rsidR="0085061C">
        <w:t>17</w:t>
      </w:r>
      <w:r>
        <w:fldChar w:fldCharType="end"/>
      </w:r>
    </w:p>
    <w:p w14:paraId="4BADF866" w14:textId="571895B5"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_Toc51230508 \h </w:instrText>
      </w:r>
      <w:r>
        <w:rPr>
          <w:noProof/>
        </w:rPr>
      </w:r>
      <w:r>
        <w:rPr>
          <w:noProof/>
        </w:rPr>
        <w:fldChar w:fldCharType="separate"/>
      </w:r>
      <w:r w:rsidR="0085061C">
        <w:rPr>
          <w:noProof/>
        </w:rPr>
        <w:t>17</w:t>
      </w:r>
      <w:r>
        <w:rPr>
          <w:noProof/>
        </w:rPr>
        <w:fldChar w:fldCharType="end"/>
      </w:r>
    </w:p>
    <w:p w14:paraId="6C1F4F46" w14:textId="65342F32"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_Toc51230509 \h </w:instrText>
      </w:r>
      <w:r>
        <w:rPr>
          <w:noProof/>
        </w:rPr>
      </w:r>
      <w:r>
        <w:rPr>
          <w:noProof/>
        </w:rPr>
        <w:fldChar w:fldCharType="separate"/>
      </w:r>
      <w:r w:rsidR="0085061C">
        <w:rPr>
          <w:noProof/>
        </w:rPr>
        <w:t>17</w:t>
      </w:r>
      <w:r>
        <w:rPr>
          <w:noProof/>
        </w:rPr>
        <w:fldChar w:fldCharType="end"/>
      </w:r>
    </w:p>
    <w:p w14:paraId="083111B1" w14:textId="1E038754"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_Toc51230510 \h </w:instrText>
      </w:r>
      <w:r>
        <w:rPr>
          <w:noProof/>
        </w:rPr>
      </w:r>
      <w:r>
        <w:rPr>
          <w:noProof/>
        </w:rPr>
        <w:fldChar w:fldCharType="separate"/>
      </w:r>
      <w:r w:rsidR="0085061C">
        <w:rPr>
          <w:noProof/>
        </w:rPr>
        <w:t>17</w:t>
      </w:r>
      <w:r>
        <w:rPr>
          <w:noProof/>
        </w:rPr>
        <w:fldChar w:fldCharType="end"/>
      </w:r>
    </w:p>
    <w:p w14:paraId="5D805E15" w14:textId="086B6627"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_Toc51230511 \h </w:instrText>
      </w:r>
      <w:r>
        <w:rPr>
          <w:noProof/>
        </w:rPr>
      </w:r>
      <w:r>
        <w:rPr>
          <w:noProof/>
        </w:rPr>
        <w:fldChar w:fldCharType="separate"/>
      </w:r>
      <w:r w:rsidR="0085061C">
        <w:rPr>
          <w:noProof/>
        </w:rPr>
        <w:t>18</w:t>
      </w:r>
      <w:r>
        <w:rPr>
          <w:noProof/>
        </w:rPr>
        <w:fldChar w:fldCharType="end"/>
      </w:r>
    </w:p>
    <w:p w14:paraId="20A640F8" w14:textId="1B3AA855"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_Toc51230512 \h </w:instrText>
      </w:r>
      <w:r>
        <w:rPr>
          <w:noProof/>
        </w:rPr>
      </w:r>
      <w:r>
        <w:rPr>
          <w:noProof/>
        </w:rPr>
        <w:fldChar w:fldCharType="separate"/>
      </w:r>
      <w:r w:rsidR="0085061C">
        <w:rPr>
          <w:noProof/>
        </w:rPr>
        <w:t>18</w:t>
      </w:r>
      <w:r>
        <w:rPr>
          <w:noProof/>
        </w:rPr>
        <w:fldChar w:fldCharType="end"/>
      </w:r>
    </w:p>
    <w:p w14:paraId="25172ECE" w14:textId="34588744" w:rsidR="007878C9" w:rsidRDefault="007878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_Toc51230513 \h </w:instrText>
      </w:r>
      <w:r>
        <w:rPr>
          <w:noProof/>
        </w:rPr>
      </w:r>
      <w:r>
        <w:rPr>
          <w:noProof/>
        </w:rPr>
        <w:fldChar w:fldCharType="separate"/>
      </w:r>
      <w:r w:rsidR="0085061C">
        <w:rPr>
          <w:noProof/>
        </w:rPr>
        <w:t>18</w:t>
      </w:r>
      <w:r>
        <w:rPr>
          <w:noProof/>
        </w:rPr>
        <w:fldChar w:fldCharType="end"/>
      </w:r>
    </w:p>
    <w:p w14:paraId="056B5DF8" w14:textId="434A12FF"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_Toc51230514 \h </w:instrText>
      </w:r>
      <w:r>
        <w:rPr>
          <w:noProof/>
        </w:rPr>
      </w:r>
      <w:r>
        <w:rPr>
          <w:noProof/>
        </w:rPr>
        <w:fldChar w:fldCharType="separate"/>
      </w:r>
      <w:r w:rsidR="0085061C">
        <w:rPr>
          <w:noProof/>
        </w:rPr>
        <w:t>18</w:t>
      </w:r>
      <w:r>
        <w:rPr>
          <w:noProof/>
        </w:rPr>
        <w:fldChar w:fldCharType="end"/>
      </w:r>
    </w:p>
    <w:p w14:paraId="0300B15D" w14:textId="0BC78B92"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_Toc51230515 \h </w:instrText>
      </w:r>
      <w:r>
        <w:rPr>
          <w:noProof/>
        </w:rPr>
      </w:r>
      <w:r>
        <w:rPr>
          <w:noProof/>
        </w:rPr>
        <w:fldChar w:fldCharType="separate"/>
      </w:r>
      <w:r w:rsidR="0085061C">
        <w:rPr>
          <w:noProof/>
        </w:rPr>
        <w:t>19</w:t>
      </w:r>
      <w:r>
        <w:rPr>
          <w:noProof/>
        </w:rPr>
        <w:fldChar w:fldCharType="end"/>
      </w:r>
    </w:p>
    <w:p w14:paraId="4CA0EE16" w14:textId="014205BB" w:rsidR="007878C9" w:rsidRDefault="007878C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_Toc51230516 \h </w:instrText>
      </w:r>
      <w:r>
        <w:fldChar w:fldCharType="separate"/>
      </w:r>
      <w:r w:rsidR="0085061C">
        <w:t>19</w:t>
      </w:r>
      <w:r>
        <w:fldChar w:fldCharType="end"/>
      </w:r>
    </w:p>
    <w:p w14:paraId="54DAAFC3" w14:textId="5CE2986B" w:rsidR="007878C9" w:rsidRDefault="007878C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_Toc51230517 \h </w:instrText>
      </w:r>
      <w:r>
        <w:fldChar w:fldCharType="separate"/>
      </w:r>
      <w:r w:rsidR="0085061C">
        <w:t>19</w:t>
      </w:r>
      <w:r>
        <w:fldChar w:fldCharType="end"/>
      </w:r>
    </w:p>
    <w:p w14:paraId="6495C0A7" w14:textId="7BFE37A1" w:rsidR="007878C9" w:rsidRDefault="007878C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_Toc51230518 \h </w:instrText>
      </w:r>
      <w:r>
        <w:fldChar w:fldCharType="separate"/>
      </w:r>
      <w:r w:rsidR="0085061C">
        <w:t>19</w:t>
      </w:r>
      <w:r>
        <w:fldChar w:fldCharType="end"/>
      </w:r>
    </w:p>
    <w:p w14:paraId="600CA753" w14:textId="62A92355" w:rsidR="007878C9" w:rsidRDefault="007878C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_Toc51230519 \h </w:instrText>
      </w:r>
      <w:r>
        <w:fldChar w:fldCharType="separate"/>
      </w:r>
      <w:r w:rsidR="0085061C">
        <w:t>20</w:t>
      </w:r>
      <w:r>
        <w:fldChar w:fldCharType="end"/>
      </w:r>
    </w:p>
    <w:p w14:paraId="607C0121" w14:textId="0DBD59DC" w:rsidR="007878C9" w:rsidRDefault="007878C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_Toc51230520 \h </w:instrText>
      </w:r>
      <w:r>
        <w:rPr>
          <w:noProof/>
        </w:rPr>
      </w:r>
      <w:r>
        <w:rPr>
          <w:noProof/>
        </w:rPr>
        <w:fldChar w:fldCharType="separate"/>
      </w:r>
      <w:r w:rsidR="0085061C">
        <w:rPr>
          <w:noProof/>
        </w:rPr>
        <w:t>20</w:t>
      </w:r>
      <w:r>
        <w:rPr>
          <w:noProof/>
        </w:rPr>
        <w:fldChar w:fldCharType="end"/>
      </w:r>
    </w:p>
    <w:p w14:paraId="104430FF" w14:textId="342D0891" w:rsidR="007878C9" w:rsidRDefault="007878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_Toc51230521 \h </w:instrText>
      </w:r>
      <w:r>
        <w:rPr>
          <w:noProof/>
        </w:rPr>
      </w:r>
      <w:r>
        <w:rPr>
          <w:noProof/>
        </w:rPr>
        <w:fldChar w:fldCharType="separate"/>
      </w:r>
      <w:r w:rsidR="0085061C">
        <w:rPr>
          <w:noProof/>
        </w:rPr>
        <w:t>21</w:t>
      </w:r>
      <w:r>
        <w:rPr>
          <w:noProof/>
        </w:rPr>
        <w:fldChar w:fldCharType="end"/>
      </w:r>
    </w:p>
    <w:p w14:paraId="23187098" w14:textId="3EAE6CA1" w:rsidR="007878C9" w:rsidRDefault="007878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Australian Space Qualification Services Audit Report Summary</w:t>
      </w:r>
      <w:r>
        <w:rPr>
          <w:noProof/>
        </w:rPr>
        <w:tab/>
      </w:r>
      <w:r>
        <w:rPr>
          <w:noProof/>
        </w:rPr>
        <w:fldChar w:fldCharType="begin"/>
      </w:r>
      <w:r>
        <w:rPr>
          <w:noProof/>
        </w:rPr>
        <w:instrText xml:space="preserve"> PAGEREF _Toc51230522 \h </w:instrText>
      </w:r>
      <w:r>
        <w:rPr>
          <w:noProof/>
        </w:rPr>
      </w:r>
      <w:r>
        <w:rPr>
          <w:noProof/>
        </w:rPr>
        <w:fldChar w:fldCharType="separate"/>
      </w:r>
      <w:r w:rsidR="0085061C">
        <w:rPr>
          <w:noProof/>
        </w:rPr>
        <w:t>23</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862569B" w:rsidR="00CE6D9D" w:rsidRPr="00F40BDA" w:rsidRDefault="00EB6BB0" w:rsidP="00B400E6">
      <w:pPr>
        <w:pStyle w:val="Heading2"/>
      </w:pPr>
      <w:bookmarkStart w:id="3" w:name="_Toc458420391"/>
      <w:bookmarkStart w:id="4" w:name="_Toc462824846"/>
      <w:bookmarkStart w:id="5" w:name="_Toc496536648"/>
      <w:bookmarkStart w:id="6" w:name="_Toc531277475"/>
      <w:bookmarkStart w:id="7" w:name="_Toc955285"/>
      <w:bookmarkStart w:id="8" w:name="_Toc51230416"/>
      <w:bookmarkStart w:id="9" w:name="_Toc51230470"/>
      <w:r>
        <w:lastRenderedPageBreak/>
        <w:t>Space Infrastructure Fund</w:t>
      </w:r>
      <w:r w:rsidR="00CE6D9D" w:rsidRPr="00CE6D9D">
        <w:t>:</w:t>
      </w:r>
      <w:r w:rsidR="00CE6D9D" w:rsidRPr="00F40BDA">
        <w:t xml:space="preserve"> </w:t>
      </w:r>
      <w:r w:rsidR="002851D6">
        <w:t>Space Payload Q</w:t>
      </w:r>
      <w:r w:rsidR="00094E05">
        <w:t>ua</w:t>
      </w:r>
      <w:r w:rsidR="002851D6">
        <w:t>lification</w:t>
      </w:r>
      <w:r w:rsidR="00137E6D">
        <w:t xml:space="preserve"> Facilities</w:t>
      </w:r>
      <w:r w:rsidR="00CE6D9D">
        <w:t xml:space="preserve"> </w:t>
      </w:r>
      <w:bookmarkEnd w:id="3"/>
      <w:bookmarkEnd w:id="4"/>
      <w:r w:rsidR="009F51E3">
        <w:t xml:space="preserve">Grant </w:t>
      </w:r>
      <w:r w:rsidR="00F7040C">
        <w:t>p</w:t>
      </w:r>
      <w:r w:rsidR="00CE6D9D">
        <w:t>rocess</w:t>
      </w:r>
      <w:r w:rsidR="009F5A19">
        <w:t>es</w:t>
      </w:r>
      <w:bookmarkEnd w:id="5"/>
      <w:bookmarkEnd w:id="6"/>
      <w:bookmarkEnd w:id="7"/>
      <w:bookmarkEnd w:id="8"/>
      <w:bookmarkEnd w:id="9"/>
    </w:p>
    <w:p w14:paraId="7A3A9A81"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0" w:name="_Toc496536649"/>
      <w:bookmarkStart w:id="11" w:name="_Toc531277476"/>
      <w:bookmarkStart w:id="12" w:name="_Toc955286"/>
      <w:r>
        <w:rPr>
          <w:b/>
        </w:rPr>
        <w:t xml:space="preserve">The Space Infrastructure Fund is designed to achieve Australian Government objectives </w:t>
      </w:r>
    </w:p>
    <w:p w14:paraId="35464F15" w14:textId="3D194382" w:rsidR="00DA5EB3" w:rsidRPr="00147FE4"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47FE4">
        <w:rPr>
          <w:sz w:val="19"/>
          <w:szCs w:val="19"/>
        </w:rPr>
        <w:t>This grant opportunity is part of the above grant program which contributes to the Department of Industry</w:t>
      </w:r>
      <w:r w:rsidR="00EB6BB0" w:rsidRPr="00147FE4">
        <w:rPr>
          <w:sz w:val="19"/>
          <w:szCs w:val="19"/>
        </w:rPr>
        <w:t>, Science, Energy and Resources</w:t>
      </w:r>
      <w:r w:rsidRPr="00147FE4">
        <w:rPr>
          <w:sz w:val="19"/>
          <w:szCs w:val="19"/>
        </w:rPr>
        <w:t xml:space="preserve"> </w:t>
      </w:r>
      <w:r w:rsidRPr="00147FE4">
        <w:rPr>
          <w:sz w:val="19"/>
          <w:szCs w:val="19"/>
          <w:lang w:val="en"/>
        </w:rPr>
        <w:t>Outcome’s 1: Enabling growth and productivity for globally competitive industries through supporting science and commercialisation, growing business investment and improving business capability and streamlining regulation</w:t>
      </w:r>
      <w:r w:rsidRPr="00147FE4">
        <w:rPr>
          <w:sz w:val="19"/>
          <w:szCs w:val="19"/>
        </w:rPr>
        <w:t xml:space="preserve">. The Department of Industry, </w:t>
      </w:r>
      <w:r w:rsidR="00EB6BB0" w:rsidRPr="00147FE4">
        <w:rPr>
          <w:sz w:val="19"/>
          <w:szCs w:val="19"/>
        </w:rPr>
        <w:t>Science, Energy and Resources</w:t>
      </w:r>
      <w:r w:rsidRPr="00147FE4">
        <w:rPr>
          <w:sz w:val="19"/>
          <w:szCs w:val="19"/>
        </w:rPr>
        <w:t xml:space="preserve"> and the Australian Space Agency work with stakeholders to plan and design the grant program according to the </w:t>
      </w:r>
      <w:r w:rsidRPr="00147FE4">
        <w:rPr>
          <w:i/>
          <w:sz w:val="19"/>
          <w:szCs w:val="19"/>
        </w:rPr>
        <w:t>Commonwealth Grants Rules and Guidelines</w:t>
      </w:r>
      <w:r w:rsidRPr="00147FE4">
        <w:rPr>
          <w:sz w:val="19"/>
          <w:szCs w:val="19"/>
        </w:rPr>
        <w:t>.</w:t>
      </w:r>
    </w:p>
    <w:p w14:paraId="6554BB28" w14:textId="77777777" w:rsidR="00DA5EB3" w:rsidRDefault="00DA5EB3" w:rsidP="00DA5EB3">
      <w:pPr>
        <w:spacing w:after="0"/>
        <w:jc w:val="center"/>
        <w:rPr>
          <w:rFonts w:ascii="Wingdings" w:hAnsi="Wingdings"/>
          <w:szCs w:val="20"/>
        </w:rPr>
      </w:pPr>
      <w:r>
        <w:rPr>
          <w:rFonts w:ascii="Wingdings" w:hAnsi="Wingdings"/>
          <w:szCs w:val="20"/>
        </w:rPr>
        <w:t></w:t>
      </w:r>
    </w:p>
    <w:p w14:paraId="7E9CE843"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grant opportunity opens</w:t>
      </w:r>
    </w:p>
    <w:p w14:paraId="64874068"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the grant guidelines on business.gov.au and GrantConnect.</w:t>
      </w:r>
    </w:p>
    <w:p w14:paraId="33BECF8A" w14:textId="77777777" w:rsidR="00DA5EB3" w:rsidRDefault="00DA5EB3" w:rsidP="00DA5EB3">
      <w:pPr>
        <w:spacing w:after="0"/>
        <w:jc w:val="center"/>
        <w:rPr>
          <w:rFonts w:ascii="Wingdings" w:hAnsi="Wingdings"/>
          <w:szCs w:val="20"/>
        </w:rPr>
      </w:pPr>
      <w:r>
        <w:rPr>
          <w:rFonts w:ascii="Wingdings" w:hAnsi="Wingdings"/>
          <w:szCs w:val="20"/>
        </w:rPr>
        <w:t></w:t>
      </w:r>
    </w:p>
    <w:p w14:paraId="3A2CC157"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 grant application</w:t>
      </w:r>
    </w:p>
    <w:p w14:paraId="62020922"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the eligibility and assessment criteria in order for your application to be considered.</w:t>
      </w:r>
    </w:p>
    <w:p w14:paraId="03255817" w14:textId="77777777" w:rsidR="00DA5EB3" w:rsidRDefault="00DA5EB3" w:rsidP="00DA5EB3">
      <w:pPr>
        <w:spacing w:after="0"/>
        <w:jc w:val="center"/>
        <w:rPr>
          <w:rFonts w:ascii="Wingdings" w:hAnsi="Wingdings"/>
          <w:szCs w:val="20"/>
        </w:rPr>
      </w:pPr>
      <w:r>
        <w:rPr>
          <w:rFonts w:ascii="Wingdings" w:hAnsi="Wingdings"/>
          <w:szCs w:val="20"/>
        </w:rPr>
        <w:t></w:t>
      </w:r>
    </w:p>
    <w:p w14:paraId="4AB10BB3"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grant applications</w:t>
      </w:r>
    </w:p>
    <w:p w14:paraId="051AA55B"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6A463793"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eligible applications against the assessment criteria including an overall consideration of value with relevant money and compare it to other eligible applications.</w:t>
      </w:r>
    </w:p>
    <w:p w14:paraId="22CEDFFD" w14:textId="77777777" w:rsidR="00DA5EB3" w:rsidRDefault="00DA5EB3" w:rsidP="00DA5EB3">
      <w:pPr>
        <w:spacing w:after="0"/>
        <w:jc w:val="center"/>
        <w:rPr>
          <w:rFonts w:ascii="Wingdings" w:hAnsi="Wingdings"/>
          <w:szCs w:val="20"/>
        </w:rPr>
      </w:pPr>
      <w:r>
        <w:rPr>
          <w:rFonts w:ascii="Wingdings" w:hAnsi="Wingdings"/>
          <w:szCs w:val="20"/>
        </w:rPr>
        <w:t></w:t>
      </w:r>
    </w:p>
    <w:p w14:paraId="7573C1BA"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 make grant recommendations</w:t>
      </w:r>
    </w:p>
    <w:p w14:paraId="74DBEE15"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each application. </w:t>
      </w:r>
    </w:p>
    <w:p w14:paraId="3449A306" w14:textId="77777777" w:rsidR="00DA5EB3" w:rsidRDefault="00DA5EB3" w:rsidP="00DA5EB3">
      <w:pPr>
        <w:spacing w:after="0"/>
        <w:jc w:val="center"/>
        <w:rPr>
          <w:rFonts w:ascii="Wingdings" w:hAnsi="Wingdings"/>
          <w:szCs w:val="20"/>
        </w:rPr>
      </w:pPr>
      <w:r>
        <w:rPr>
          <w:rFonts w:ascii="Wingdings" w:hAnsi="Wingdings"/>
          <w:szCs w:val="20"/>
        </w:rPr>
        <w:t></w:t>
      </w:r>
    </w:p>
    <w:p w14:paraId="07FFFFB7"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Grant decisions are made</w:t>
      </w:r>
    </w:p>
    <w:p w14:paraId="0301BD7E"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 is successful.</w:t>
      </w:r>
    </w:p>
    <w:p w14:paraId="74CF2C1D" w14:textId="77777777" w:rsidR="00DA5EB3" w:rsidRDefault="00DA5EB3" w:rsidP="00DA5EB3">
      <w:pPr>
        <w:spacing w:after="0"/>
        <w:jc w:val="center"/>
        <w:rPr>
          <w:rFonts w:ascii="Wingdings" w:hAnsi="Wingdings"/>
          <w:szCs w:val="20"/>
        </w:rPr>
      </w:pPr>
      <w:r>
        <w:rPr>
          <w:rFonts w:ascii="Wingdings" w:hAnsi="Wingdings"/>
          <w:szCs w:val="20"/>
        </w:rPr>
        <w:t></w:t>
      </w:r>
    </w:p>
    <w:p w14:paraId="4ADC4E39"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 notify you of the outcome</w:t>
      </w:r>
    </w:p>
    <w:p w14:paraId="00B1AAAA"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the successful applicant.</w:t>
      </w:r>
    </w:p>
    <w:p w14:paraId="3AECF9F3" w14:textId="77777777" w:rsidR="00DA5EB3" w:rsidRDefault="00DA5EB3" w:rsidP="00DA5EB3">
      <w:pPr>
        <w:spacing w:after="0"/>
        <w:jc w:val="center"/>
        <w:rPr>
          <w:rFonts w:ascii="Wingdings" w:hAnsi="Wingdings"/>
          <w:szCs w:val="20"/>
        </w:rPr>
      </w:pPr>
      <w:r>
        <w:rPr>
          <w:rFonts w:ascii="Wingdings" w:hAnsi="Wingdings"/>
          <w:szCs w:val="20"/>
        </w:rPr>
        <w:t></w:t>
      </w:r>
    </w:p>
    <w:p w14:paraId="303DAFFA"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 enter into a grant agreement</w:t>
      </w:r>
    </w:p>
    <w:p w14:paraId="4994E0D0"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the successful applicant. The type of grant agreement is based on the nature of the grant and proportional to the risks involved.</w:t>
      </w:r>
    </w:p>
    <w:p w14:paraId="6F8160FA" w14:textId="77777777" w:rsidR="00DA5EB3" w:rsidRDefault="00DA5EB3" w:rsidP="00DA5EB3">
      <w:pPr>
        <w:spacing w:after="0"/>
        <w:jc w:val="center"/>
        <w:rPr>
          <w:rFonts w:ascii="Wingdings" w:hAnsi="Wingdings"/>
          <w:szCs w:val="20"/>
        </w:rPr>
      </w:pPr>
      <w:r>
        <w:rPr>
          <w:rFonts w:ascii="Wingdings" w:hAnsi="Wingdings"/>
          <w:szCs w:val="20"/>
        </w:rPr>
        <w:t></w:t>
      </w:r>
    </w:p>
    <w:p w14:paraId="517259B8"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rPr>
        <w:t>Delivery of grant</w:t>
      </w:r>
    </w:p>
    <w:p w14:paraId="2AE8CE46" w14:textId="77777777"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Cs/>
        </w:rPr>
        <w:t>You undertake the grant activity as set out in your grant agreement. We manage the grant by working with you, monitoring your progress and making payments.</w:t>
      </w:r>
    </w:p>
    <w:p w14:paraId="403E1285" w14:textId="77777777" w:rsidR="00DA5EB3" w:rsidRDefault="00DA5EB3" w:rsidP="00DA5EB3">
      <w:pPr>
        <w:spacing w:after="0"/>
        <w:jc w:val="center"/>
        <w:rPr>
          <w:rFonts w:ascii="Wingdings" w:hAnsi="Wingdings"/>
          <w:szCs w:val="20"/>
        </w:rPr>
      </w:pPr>
      <w:r>
        <w:rPr>
          <w:rFonts w:ascii="Wingdings" w:hAnsi="Wingdings"/>
          <w:szCs w:val="20"/>
        </w:rPr>
        <w:t></w:t>
      </w:r>
    </w:p>
    <w:p w14:paraId="28594FE9" w14:textId="1F3C0FCF" w:rsidR="00DA5EB3" w:rsidRDefault="00DA5EB3" w:rsidP="00DA5E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Space Infrastructure Fund</w:t>
      </w:r>
      <w:r w:rsidR="002E2D9A">
        <w:rPr>
          <w:b/>
        </w:rPr>
        <w:t>:</w:t>
      </w:r>
      <w:r>
        <w:rPr>
          <w:b/>
        </w:rPr>
        <w:t xml:space="preserve"> Space Payload Qualification</w:t>
      </w:r>
      <w:r w:rsidR="00137E6D">
        <w:rPr>
          <w:b/>
        </w:rPr>
        <w:t xml:space="preserve"> Facilities</w:t>
      </w:r>
    </w:p>
    <w:p w14:paraId="6818B261" w14:textId="686A46B1" w:rsidR="00F87B20" w:rsidRDefault="00DA5EB3" w:rsidP="00730F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the Space Infrastructure Fund as a whole. We base this on information you provide to us and that we collect from various sources. </w:t>
      </w:r>
    </w:p>
    <w:p w14:paraId="646402A1" w14:textId="7C80725A" w:rsidR="00686047" w:rsidRPr="000553F2" w:rsidRDefault="00686047" w:rsidP="00B400E6">
      <w:pPr>
        <w:pStyle w:val="Heading2"/>
      </w:pPr>
      <w:bookmarkStart w:id="13" w:name="_Toc51230417"/>
      <w:bookmarkStart w:id="14" w:name="_Toc51230471"/>
      <w:r>
        <w:lastRenderedPageBreak/>
        <w:t>About the grant program</w:t>
      </w:r>
      <w:bookmarkEnd w:id="10"/>
      <w:bookmarkEnd w:id="11"/>
      <w:bookmarkEnd w:id="12"/>
      <w:bookmarkEnd w:id="13"/>
      <w:bookmarkEnd w:id="14"/>
    </w:p>
    <w:p w14:paraId="399A38D1" w14:textId="77777777" w:rsidR="00DA5EB3" w:rsidRDefault="00DA5EB3" w:rsidP="00DA5EB3">
      <w:bookmarkStart w:id="15" w:name="_Toc496536650"/>
      <w:bookmarkStart w:id="16" w:name="_Toc531277477"/>
      <w:bookmarkStart w:id="17" w:name="_Toc955287"/>
      <w:r>
        <w:t>The Space Infrastructure Fund is a $19.5 million investment in seven infrastructure projects to drive the growth of Australia’s space sector.</w:t>
      </w:r>
    </w:p>
    <w:p w14:paraId="6C826F75" w14:textId="77777777" w:rsidR="00DA5EB3" w:rsidRDefault="00DA5EB3" w:rsidP="00DA5EB3">
      <w:r>
        <w:t>Filling gaps in Australia’s space infrastructure allows businesses and researchers to focus on growing and developing their day-to-day operations, and providing space-related solutions to drive economic benefit across the whole economy. It also provides the tools that businesses need to access international opportunities – opening doors for Australia internationally.</w:t>
      </w:r>
    </w:p>
    <w:p w14:paraId="62FACAEC" w14:textId="77777777" w:rsidR="00DA5EB3" w:rsidRDefault="00DA5EB3" w:rsidP="00DA5EB3">
      <w:r>
        <w:t xml:space="preserve">The projects form an important element of the </w:t>
      </w:r>
      <w:hyperlink r:id="rId17" w:history="1">
        <w:r>
          <w:rPr>
            <w:rStyle w:val="Hyperlink"/>
          </w:rPr>
          <w:t>Advancing Space: Australian Civil Space Strategy</w:t>
        </w:r>
      </w:hyperlink>
      <w:r>
        <w:rPr>
          <w:rStyle w:val="Hyperlink"/>
        </w:rPr>
        <w:t xml:space="preserve"> 2019-2028</w:t>
      </w:r>
      <w:r>
        <w:t>, primarily addressing the ‘National’ pillar to increase capability in the sector. They will be developed in locations across Australia, providing investment in multiple states and territories, and building upon Australia’s National Civil Space Priorities and strengths.</w:t>
      </w:r>
    </w:p>
    <w:p w14:paraId="25350CA7" w14:textId="77777777" w:rsidR="00981B3D" w:rsidRDefault="00981B3D" w:rsidP="00981B3D">
      <w:r>
        <w:t>The objectives of the program are to:</w:t>
      </w:r>
    </w:p>
    <w:p w14:paraId="7F333071" w14:textId="3A6812CC" w:rsidR="00981B3D" w:rsidRDefault="00981B3D" w:rsidP="00405923">
      <w:pPr>
        <w:pStyle w:val="ListBullet"/>
        <w:numPr>
          <w:ilvl w:val="0"/>
          <w:numId w:val="15"/>
        </w:numPr>
      </w:pPr>
      <w:r>
        <w:t xml:space="preserve">address infrastructure gaps in the Australian space </w:t>
      </w:r>
      <w:r w:rsidR="00B348BC">
        <w:t>sector</w:t>
      </w:r>
    </w:p>
    <w:p w14:paraId="69D64DB8" w14:textId="629CA6BE" w:rsidR="00981B3D" w:rsidRDefault="00981B3D" w:rsidP="00405923">
      <w:pPr>
        <w:pStyle w:val="ListBullet"/>
        <w:numPr>
          <w:ilvl w:val="0"/>
          <w:numId w:val="15"/>
        </w:numPr>
        <w:spacing w:after="120"/>
      </w:pPr>
      <w:r>
        <w:t xml:space="preserve">support the growth and transformation in the </w:t>
      </w:r>
      <w:r w:rsidR="00B348BC">
        <w:t>Australian space sector</w:t>
      </w:r>
      <w:r w:rsidR="00B348BC" w:rsidDel="00B348BC">
        <w:t xml:space="preserve"> </w:t>
      </w:r>
    </w:p>
    <w:p w14:paraId="5D70709F" w14:textId="77777777" w:rsidR="00981B3D" w:rsidRDefault="00981B3D" w:rsidP="00405923">
      <w:pPr>
        <w:pStyle w:val="ListBullet"/>
        <w:numPr>
          <w:ilvl w:val="0"/>
          <w:numId w:val="15"/>
        </w:numPr>
        <w:spacing w:after="120"/>
      </w:pPr>
      <w:r>
        <w:t>capture and leverage investment opportunities.</w:t>
      </w:r>
    </w:p>
    <w:p w14:paraId="3D9D695D" w14:textId="77777777" w:rsidR="00981B3D" w:rsidRDefault="00981B3D" w:rsidP="00981B3D">
      <w:pPr>
        <w:spacing w:after="80"/>
      </w:pPr>
      <w:r>
        <w:t>The intended outcomes of the program are:</w:t>
      </w:r>
    </w:p>
    <w:p w14:paraId="5ADFFA50" w14:textId="3885E893" w:rsidR="00981B3D" w:rsidRDefault="00981B3D" w:rsidP="00405923">
      <w:pPr>
        <w:pStyle w:val="ListBullet"/>
        <w:numPr>
          <w:ilvl w:val="0"/>
          <w:numId w:val="15"/>
        </w:numPr>
      </w:pPr>
      <w:r>
        <w:t xml:space="preserve">increase in Australian space </w:t>
      </w:r>
      <w:r w:rsidR="00537D9B">
        <w:t xml:space="preserve">sector </w:t>
      </w:r>
      <w:r>
        <w:t>capability</w:t>
      </w:r>
    </w:p>
    <w:p w14:paraId="5D92AD9F" w14:textId="77777777" w:rsidR="00981B3D" w:rsidRDefault="00981B3D" w:rsidP="00405923">
      <w:pPr>
        <w:pStyle w:val="ListBullet"/>
        <w:numPr>
          <w:ilvl w:val="0"/>
          <w:numId w:val="15"/>
        </w:numPr>
      </w:pPr>
      <w:r>
        <w:t>accelerated growth of the Australian space sector</w:t>
      </w:r>
    </w:p>
    <w:p w14:paraId="5F1B8F71" w14:textId="77777777" w:rsidR="00981B3D" w:rsidRDefault="00981B3D" w:rsidP="00405923">
      <w:pPr>
        <w:pStyle w:val="ListBullet"/>
        <w:numPr>
          <w:ilvl w:val="0"/>
          <w:numId w:val="15"/>
        </w:numPr>
      </w:pPr>
      <w:r>
        <w:t>broader economic benefits beyond the space sector.</w:t>
      </w:r>
    </w:p>
    <w:p w14:paraId="3F5AC45B" w14:textId="77777777" w:rsidR="00981B3D" w:rsidRDefault="00981B3D" w:rsidP="00981B3D">
      <w:r>
        <w:t xml:space="preserve">We administer the program according to the </w:t>
      </w:r>
      <w:hyperlink r:id="rId18" w:history="1">
        <w:r>
          <w:rPr>
            <w:rStyle w:val="Hyperlink"/>
            <w:i/>
          </w:rPr>
          <w:t xml:space="preserve">Commonwealth Grants Rules and Guidelines </w:t>
        </w:r>
        <w:r>
          <w:rPr>
            <w:rStyle w:val="Hyperlink"/>
          </w:rPr>
          <w:t>(CGRGs)</w:t>
        </w:r>
      </w:hyperlink>
      <w:r>
        <w:rPr>
          <w:vertAlign w:val="superscript"/>
        </w:rPr>
        <w:footnoteReference w:id="2"/>
      </w:r>
      <w:r>
        <w:t>.</w:t>
      </w:r>
    </w:p>
    <w:p w14:paraId="25F651FF" w14:textId="22F8166B" w:rsidR="003001C7" w:rsidRDefault="00686047" w:rsidP="00174696">
      <w:pPr>
        <w:pStyle w:val="Heading3"/>
      </w:pPr>
      <w:bookmarkStart w:id="18" w:name="_Toc51230418"/>
      <w:bookmarkStart w:id="19" w:name="_Toc51230472"/>
      <w:r w:rsidRPr="001844D5">
        <w:t>About</w:t>
      </w:r>
      <w:r>
        <w:t xml:space="preserve"> the </w:t>
      </w:r>
      <w:r w:rsidR="00DA5EB3">
        <w:t>Space Payload Qualification</w:t>
      </w:r>
      <w:r>
        <w:t xml:space="preserve"> </w:t>
      </w:r>
      <w:r w:rsidR="00502925">
        <w:t xml:space="preserve">Facilities </w:t>
      </w:r>
      <w:r>
        <w:t>grant opportunity</w:t>
      </w:r>
      <w:bookmarkEnd w:id="15"/>
      <w:bookmarkEnd w:id="16"/>
      <w:bookmarkEnd w:id="17"/>
      <w:bookmarkEnd w:id="18"/>
      <w:bookmarkEnd w:id="19"/>
    </w:p>
    <w:p w14:paraId="3FA85487" w14:textId="5E373976" w:rsidR="007D500F" w:rsidRDefault="007D500F" w:rsidP="00E16B7C">
      <w:pPr>
        <w:rPr>
          <w:rFonts w:cs="Arial"/>
          <w:szCs w:val="20"/>
        </w:rPr>
      </w:pPr>
      <w:r>
        <w:rPr>
          <w:rFonts w:cs="Arial"/>
          <w:szCs w:val="20"/>
        </w:rPr>
        <w:t xml:space="preserve">These guidelines contain information </w:t>
      </w:r>
      <w:r w:rsidR="00DC6ABA">
        <w:rPr>
          <w:rFonts w:cs="Arial"/>
          <w:szCs w:val="20"/>
        </w:rPr>
        <w:t xml:space="preserve">about </w:t>
      </w:r>
      <w:r>
        <w:rPr>
          <w:rFonts w:cs="Arial"/>
          <w:szCs w:val="20"/>
        </w:rPr>
        <w:t xml:space="preserve">the Space Infrastructure </w:t>
      </w:r>
      <w:r w:rsidR="002001C6">
        <w:rPr>
          <w:rFonts w:cs="Arial"/>
          <w:szCs w:val="20"/>
        </w:rPr>
        <w:t>F</w:t>
      </w:r>
      <w:r>
        <w:rPr>
          <w:rFonts w:cs="Arial"/>
          <w:szCs w:val="20"/>
        </w:rPr>
        <w:t>und</w:t>
      </w:r>
      <w:r w:rsidR="002E2D9A">
        <w:rPr>
          <w:rFonts w:cs="Arial"/>
          <w:szCs w:val="20"/>
        </w:rPr>
        <w:t>:</w:t>
      </w:r>
      <w:r>
        <w:rPr>
          <w:rFonts w:cs="Arial"/>
          <w:szCs w:val="20"/>
        </w:rPr>
        <w:t xml:space="preserve"> Space Payload Qualification Facilit</w:t>
      </w:r>
      <w:r w:rsidR="00651A0B">
        <w:rPr>
          <w:rFonts w:cs="Arial"/>
          <w:szCs w:val="20"/>
        </w:rPr>
        <w:t>ies</w:t>
      </w:r>
      <w:r>
        <w:rPr>
          <w:rFonts w:cs="Arial"/>
          <w:szCs w:val="20"/>
        </w:rPr>
        <w:t xml:space="preserve"> grant opportunity.</w:t>
      </w:r>
    </w:p>
    <w:p w14:paraId="6B9BC276" w14:textId="2D108C50" w:rsidR="00B518A4" w:rsidRDefault="006A301A" w:rsidP="00E16B7C">
      <w:pPr>
        <w:rPr>
          <w:rFonts w:cs="Arial"/>
          <w:szCs w:val="20"/>
        </w:rPr>
      </w:pPr>
      <w:r w:rsidRPr="00FD2610">
        <w:rPr>
          <w:rFonts w:cs="Arial"/>
          <w:szCs w:val="20"/>
        </w:rPr>
        <w:t>In 2020 the Australian Space Agency commissioned a national audit of Australian space payload qualification capability</w:t>
      </w:r>
      <w:r w:rsidR="00841ACF">
        <w:rPr>
          <w:rFonts w:cs="Arial"/>
          <w:szCs w:val="20"/>
        </w:rPr>
        <w:t xml:space="preserve">. </w:t>
      </w:r>
      <w:r w:rsidR="004E5D71">
        <w:rPr>
          <w:rFonts w:cs="Arial"/>
          <w:szCs w:val="20"/>
        </w:rPr>
        <w:t>This audit set out</w:t>
      </w:r>
      <w:r w:rsidR="00A80109">
        <w:rPr>
          <w:rFonts w:cs="Arial"/>
          <w:szCs w:val="20"/>
        </w:rPr>
        <w:t xml:space="preserve"> to quantify and qualify the current availability of space testing facilities in the </w:t>
      </w:r>
      <w:r w:rsidR="00B518A4">
        <w:rPr>
          <w:rFonts w:cs="Arial"/>
          <w:szCs w:val="20"/>
        </w:rPr>
        <w:t>country</w:t>
      </w:r>
      <w:r w:rsidR="00C67D12">
        <w:rPr>
          <w:rFonts w:cs="Arial"/>
          <w:szCs w:val="20"/>
        </w:rPr>
        <w:t>.</w:t>
      </w:r>
      <w:r w:rsidR="00A80109">
        <w:rPr>
          <w:rFonts w:cs="Arial"/>
          <w:szCs w:val="20"/>
        </w:rPr>
        <w:t xml:space="preserve"> </w:t>
      </w:r>
      <w:r w:rsidR="00B518A4">
        <w:rPr>
          <w:rFonts w:cs="Arial"/>
          <w:szCs w:val="20"/>
        </w:rPr>
        <w:t>Appendix A</w:t>
      </w:r>
      <w:r w:rsidR="00E6411F">
        <w:rPr>
          <w:rFonts w:cs="Arial"/>
          <w:szCs w:val="20"/>
        </w:rPr>
        <w:t>: National Payload Qualification Facility Audit</w:t>
      </w:r>
      <w:r w:rsidR="00B518A4">
        <w:rPr>
          <w:rFonts w:cs="Arial"/>
          <w:szCs w:val="20"/>
        </w:rPr>
        <w:t xml:space="preserve"> contains t</w:t>
      </w:r>
      <w:r w:rsidR="00A80109">
        <w:rPr>
          <w:rFonts w:cs="Arial"/>
          <w:szCs w:val="20"/>
        </w:rPr>
        <w:t>he re</w:t>
      </w:r>
      <w:r w:rsidR="00B518A4">
        <w:rPr>
          <w:rFonts w:cs="Arial"/>
          <w:szCs w:val="20"/>
        </w:rPr>
        <w:t>s</w:t>
      </w:r>
      <w:r w:rsidR="00A80109">
        <w:rPr>
          <w:rFonts w:cs="Arial"/>
          <w:szCs w:val="20"/>
        </w:rPr>
        <w:t>ults of this audit</w:t>
      </w:r>
      <w:r w:rsidR="00B518A4">
        <w:rPr>
          <w:rFonts w:cs="Arial"/>
          <w:szCs w:val="20"/>
        </w:rPr>
        <w:t>, including an annex which list</w:t>
      </w:r>
      <w:r w:rsidR="00841ACF">
        <w:rPr>
          <w:rFonts w:cs="Arial"/>
          <w:szCs w:val="20"/>
        </w:rPr>
        <w:t>s</w:t>
      </w:r>
      <w:r w:rsidR="00B518A4">
        <w:rPr>
          <w:rFonts w:cs="Arial"/>
          <w:szCs w:val="20"/>
        </w:rPr>
        <w:t xml:space="preserve"> in detail the facilities, type and location, identified during the audit</w:t>
      </w:r>
      <w:r w:rsidR="00A80109">
        <w:rPr>
          <w:rFonts w:cs="Arial"/>
          <w:szCs w:val="20"/>
        </w:rPr>
        <w:t xml:space="preserve">. </w:t>
      </w:r>
      <w:r w:rsidR="00492F13">
        <w:rPr>
          <w:rFonts w:cs="Arial"/>
          <w:szCs w:val="20"/>
        </w:rPr>
        <w:t xml:space="preserve">This report is included to ensure </w:t>
      </w:r>
      <w:r w:rsidR="005C647D">
        <w:rPr>
          <w:rFonts w:cs="Arial"/>
          <w:szCs w:val="20"/>
        </w:rPr>
        <w:t>all</w:t>
      </w:r>
      <w:r w:rsidR="00492F13">
        <w:rPr>
          <w:rFonts w:cs="Arial"/>
          <w:szCs w:val="20"/>
        </w:rPr>
        <w:t xml:space="preserve"> applicants have the same </w:t>
      </w:r>
      <w:r w:rsidR="0031192D">
        <w:rPr>
          <w:rFonts w:cs="Arial"/>
          <w:szCs w:val="20"/>
        </w:rPr>
        <w:t xml:space="preserve">access to background </w:t>
      </w:r>
      <w:r w:rsidR="00492F13">
        <w:rPr>
          <w:rFonts w:cs="Arial"/>
          <w:szCs w:val="20"/>
        </w:rPr>
        <w:t xml:space="preserve">information. </w:t>
      </w:r>
    </w:p>
    <w:p w14:paraId="22998006" w14:textId="6F60110D" w:rsidR="00ED43C4" w:rsidRDefault="006A301A" w:rsidP="00E16B7C">
      <w:pPr>
        <w:rPr>
          <w:rFonts w:cs="Arial"/>
          <w:szCs w:val="20"/>
        </w:rPr>
      </w:pPr>
      <w:r>
        <w:t xml:space="preserve">Figure </w:t>
      </w:r>
      <w:r w:rsidR="004E5D71">
        <w:t>1</w:t>
      </w:r>
      <w:r w:rsidR="00E6411F">
        <w:t>: Space Payload Qualification</w:t>
      </w:r>
      <w:r w:rsidR="00137E6D">
        <w:t xml:space="preserve"> Facilities</w:t>
      </w:r>
      <w:r w:rsidR="00E6411F">
        <w:t xml:space="preserve"> Classification</w:t>
      </w:r>
      <w:r w:rsidR="00137E6D">
        <w:t>s</w:t>
      </w:r>
      <w:r w:rsidDel="004E5D71">
        <w:t xml:space="preserve"> </w:t>
      </w:r>
      <w:r w:rsidR="004E5D71">
        <w:t xml:space="preserve">illustrates </w:t>
      </w:r>
      <w:r>
        <w:t>the three levels of testing capability identified in the audit report</w:t>
      </w:r>
      <w:r w:rsidR="00BE312F">
        <w:t xml:space="preserve">, </w:t>
      </w:r>
      <w:r w:rsidR="00B518A4">
        <w:t>and how each level of testing contributes to the assurance of space payloads</w:t>
      </w:r>
      <w:r w:rsidR="00B518A4" w:rsidDel="004E5D71">
        <w:t xml:space="preserve"> </w:t>
      </w:r>
      <w:r w:rsidR="004E5D71">
        <w:t xml:space="preserve">during </w:t>
      </w:r>
      <w:r w:rsidR="00B518A4">
        <w:t>space flight</w:t>
      </w:r>
      <w:r w:rsidR="004E5D71">
        <w:t>.</w:t>
      </w:r>
      <w:r w:rsidR="00BE312F">
        <w:t xml:space="preserve"> </w:t>
      </w:r>
      <w:r w:rsidR="00BE312F" w:rsidRPr="00EF2A1C">
        <w:rPr>
          <w:szCs w:val="20"/>
        </w:rPr>
        <w:t xml:space="preserve">Level </w:t>
      </w:r>
      <w:r w:rsidR="00BE312F">
        <w:rPr>
          <w:szCs w:val="20"/>
        </w:rPr>
        <w:t xml:space="preserve">1 </w:t>
      </w:r>
      <w:r w:rsidR="00BE312F" w:rsidRPr="00EF2A1C">
        <w:rPr>
          <w:szCs w:val="20"/>
        </w:rPr>
        <w:t>covers the mandatory testing require</w:t>
      </w:r>
      <w:r w:rsidR="00BE312F">
        <w:rPr>
          <w:szCs w:val="20"/>
        </w:rPr>
        <w:t>d</w:t>
      </w:r>
      <w:r w:rsidR="00BE312F" w:rsidRPr="00EF2A1C">
        <w:rPr>
          <w:szCs w:val="20"/>
        </w:rPr>
        <w:t xml:space="preserve"> for launch </w:t>
      </w:r>
      <w:r w:rsidR="00E010B0">
        <w:rPr>
          <w:szCs w:val="20"/>
        </w:rPr>
        <w:t xml:space="preserve">and on-orbit </w:t>
      </w:r>
      <w:r w:rsidR="00B344C5">
        <w:rPr>
          <w:szCs w:val="20"/>
        </w:rPr>
        <w:t>“switch on</w:t>
      </w:r>
      <w:r w:rsidR="005F2DCF">
        <w:rPr>
          <w:szCs w:val="20"/>
        </w:rPr>
        <w:t>”</w:t>
      </w:r>
      <w:r w:rsidR="00BE312F" w:rsidRPr="001617A1">
        <w:rPr>
          <w:szCs w:val="20"/>
        </w:rPr>
        <w:t xml:space="preserve">. </w:t>
      </w:r>
      <w:r w:rsidR="00BE312F">
        <w:rPr>
          <w:szCs w:val="20"/>
        </w:rPr>
        <w:t>Levels 2 and 3 cover more sophisticated tests which lead to greater mission assurance.</w:t>
      </w:r>
      <w:r>
        <w:t xml:space="preserve"> </w:t>
      </w:r>
    </w:p>
    <w:p w14:paraId="4A6D7E3A" w14:textId="77777777" w:rsidR="00B344C5" w:rsidRDefault="00B344C5">
      <w:pPr>
        <w:spacing w:before="0" w:after="0" w:line="240" w:lineRule="auto"/>
        <w:rPr>
          <w:rFonts w:cs="Arial"/>
          <w:szCs w:val="20"/>
        </w:rPr>
      </w:pPr>
      <w:r>
        <w:rPr>
          <w:rFonts w:cs="Arial"/>
          <w:szCs w:val="20"/>
        </w:rPr>
        <w:br w:type="page"/>
      </w:r>
    </w:p>
    <w:p w14:paraId="74C65E54" w14:textId="0C935E7D" w:rsidR="001B146A" w:rsidRDefault="001B146A" w:rsidP="00E16B7C">
      <w:pPr>
        <w:rPr>
          <w:rFonts w:cs="Arial"/>
          <w:szCs w:val="20"/>
        </w:rPr>
      </w:pPr>
      <w:r>
        <w:rPr>
          <w:rFonts w:cs="Arial"/>
          <w:szCs w:val="20"/>
        </w:rPr>
        <w:lastRenderedPageBreak/>
        <w:t xml:space="preserve">Figure 1: Space Payload </w:t>
      </w:r>
      <w:r w:rsidR="00841ACF">
        <w:rPr>
          <w:rFonts w:cs="Arial"/>
          <w:szCs w:val="20"/>
        </w:rPr>
        <w:t xml:space="preserve">Qualification </w:t>
      </w:r>
      <w:r w:rsidR="00137E6D">
        <w:rPr>
          <w:rFonts w:cs="Arial"/>
          <w:szCs w:val="20"/>
        </w:rPr>
        <w:t xml:space="preserve">Facilities </w:t>
      </w:r>
      <w:r w:rsidR="00841ACF">
        <w:rPr>
          <w:rFonts w:cs="Arial"/>
          <w:szCs w:val="20"/>
        </w:rPr>
        <w:t>Classifications</w:t>
      </w:r>
    </w:p>
    <w:p w14:paraId="193B4AFB" w14:textId="4CD46474" w:rsidR="00BE312F" w:rsidRPr="00B21403" w:rsidRDefault="00BE312F" w:rsidP="00E16B7C">
      <w:pPr>
        <w:rPr>
          <w:rFonts w:cs="Arial"/>
          <w:szCs w:val="20"/>
        </w:rPr>
      </w:pPr>
      <w:r>
        <w:rPr>
          <w:noProof/>
          <w:lang w:eastAsia="en-AU"/>
        </w:rPr>
        <w:drawing>
          <wp:inline distT="0" distB="0" distL="0" distR="0" wp14:anchorId="0B1EA676" wp14:editId="31E4BB0F">
            <wp:extent cx="4621309" cy="2503644"/>
            <wp:effectExtent l="0" t="0" r="8255" b="0"/>
            <wp:docPr id="3" name="Picture 3" descr="Diagram showing 3 levels of test capability of increasing sophistication. Level 1 covers basic tests needed for launching auxiliary pay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21309" cy="2503644"/>
                    </a:xfrm>
                    <a:prstGeom prst="rect">
                      <a:avLst/>
                    </a:prstGeom>
                  </pic:spPr>
                </pic:pic>
              </a:graphicData>
            </a:graphic>
          </wp:inline>
        </w:drawing>
      </w:r>
    </w:p>
    <w:p w14:paraId="4665D642" w14:textId="77777777" w:rsidR="00BC272D" w:rsidRDefault="00BC272D" w:rsidP="00E16B7C">
      <w:pPr>
        <w:rPr>
          <w:rFonts w:cs="Arial"/>
          <w:szCs w:val="20"/>
        </w:rPr>
      </w:pPr>
    </w:p>
    <w:p w14:paraId="0B3D1EEB" w14:textId="3FA8038F" w:rsidR="00BC272D" w:rsidRDefault="00BC272D" w:rsidP="00E16B7C">
      <w:pPr>
        <w:rPr>
          <w:rFonts w:cs="Arial"/>
          <w:szCs w:val="20"/>
        </w:rPr>
      </w:pPr>
      <w:r>
        <w:rPr>
          <w:rFonts w:cs="Arial"/>
          <w:szCs w:val="20"/>
        </w:rPr>
        <w:t>The audit found that</w:t>
      </w:r>
      <w:r w:rsidR="001925C6">
        <w:rPr>
          <w:rFonts w:cs="Arial"/>
          <w:szCs w:val="20"/>
        </w:rPr>
        <w:t>:</w:t>
      </w:r>
    </w:p>
    <w:p w14:paraId="0CD3CD71" w14:textId="3C7310D1" w:rsidR="00BC272D" w:rsidRPr="00D07B14" w:rsidRDefault="00730F7B" w:rsidP="00D07B14">
      <w:pPr>
        <w:pStyle w:val="ListBullet"/>
        <w:numPr>
          <w:ilvl w:val="0"/>
          <w:numId w:val="7"/>
        </w:numPr>
      </w:pPr>
      <w:r w:rsidRPr="00D07B14">
        <w:t>there is L</w:t>
      </w:r>
      <w:r w:rsidR="007A6A41" w:rsidRPr="00D07B14">
        <w:t xml:space="preserve">evel </w:t>
      </w:r>
      <w:r w:rsidRPr="00D07B14">
        <w:t>1</w:t>
      </w:r>
      <w:r w:rsidR="007A6A41" w:rsidRPr="00D07B14">
        <w:t xml:space="preserve"> </w:t>
      </w:r>
      <w:r w:rsidR="006660B8" w:rsidRPr="00D07B14">
        <w:t xml:space="preserve">qualification </w:t>
      </w:r>
      <w:r w:rsidR="007A6A41" w:rsidRPr="00D07B14">
        <w:t>capacity</w:t>
      </w:r>
      <w:r w:rsidRPr="00D07B14">
        <w:t xml:space="preserve"> in Australia, however improvement in awareness, </w:t>
      </w:r>
      <w:r w:rsidR="001C037B">
        <w:t>availability</w:t>
      </w:r>
      <w:r w:rsidRPr="00D07B14">
        <w:t xml:space="preserve">, capability and accreditation </w:t>
      </w:r>
      <w:r w:rsidR="000031F7">
        <w:t xml:space="preserve">will benefit </w:t>
      </w:r>
      <w:r w:rsidRPr="00D07B14">
        <w:t>the needs of the space sector</w:t>
      </w:r>
    </w:p>
    <w:p w14:paraId="17F9AD4C" w14:textId="0E15A8C7" w:rsidR="007A6A41" w:rsidRPr="00D07B14" w:rsidRDefault="00730F7B" w:rsidP="00D07B14">
      <w:pPr>
        <w:pStyle w:val="ListBullet"/>
        <w:numPr>
          <w:ilvl w:val="0"/>
          <w:numId w:val="7"/>
        </w:numPr>
      </w:pPr>
      <w:r w:rsidRPr="00D07B14">
        <w:t>there are gaps in L</w:t>
      </w:r>
      <w:r w:rsidR="007A6A41" w:rsidRPr="00D07B14">
        <w:t xml:space="preserve">evel </w:t>
      </w:r>
      <w:r w:rsidRPr="00D07B14">
        <w:t>2</w:t>
      </w:r>
      <w:r w:rsidR="007A6A41" w:rsidRPr="00D07B14">
        <w:t xml:space="preserve"> </w:t>
      </w:r>
      <w:r w:rsidR="00D07B14" w:rsidRPr="00D07B14">
        <w:t xml:space="preserve">qualification </w:t>
      </w:r>
      <w:r w:rsidR="007A6A41" w:rsidRPr="00D07B14">
        <w:t xml:space="preserve">capability and capacity </w:t>
      </w:r>
      <w:r w:rsidRPr="00D07B14">
        <w:t xml:space="preserve">in </w:t>
      </w:r>
      <w:r w:rsidR="00B579D3" w:rsidRPr="00D07B14">
        <w:t>Australia</w:t>
      </w:r>
      <w:r w:rsidRPr="00D07B14">
        <w:t xml:space="preserve"> which</w:t>
      </w:r>
      <w:r w:rsidR="007A6A41" w:rsidRPr="00D07B14">
        <w:t xml:space="preserve"> </w:t>
      </w:r>
      <w:r w:rsidR="00130530">
        <w:t>if filled, will support</w:t>
      </w:r>
      <w:r w:rsidR="007A6A41" w:rsidRPr="00D07B14">
        <w:t xml:space="preserve"> the growth and </w:t>
      </w:r>
      <w:r w:rsidR="00130530">
        <w:t xml:space="preserve">transformation </w:t>
      </w:r>
      <w:r w:rsidR="007A6A41">
        <w:t>of the Australian space sector</w:t>
      </w:r>
    </w:p>
    <w:p w14:paraId="7ABEB424" w14:textId="26ACE6CA" w:rsidR="00047E68" w:rsidRPr="00D07B14" w:rsidRDefault="00C6420F" w:rsidP="00D07B14">
      <w:pPr>
        <w:pStyle w:val="ListBullet"/>
        <w:numPr>
          <w:ilvl w:val="0"/>
          <w:numId w:val="7"/>
        </w:numPr>
      </w:pPr>
      <w:r>
        <w:t>L</w:t>
      </w:r>
      <w:r w:rsidR="007A6A41" w:rsidRPr="00D07B14">
        <w:t xml:space="preserve">evel 3 </w:t>
      </w:r>
      <w:r w:rsidR="00D07B14" w:rsidRPr="00D07B14">
        <w:t xml:space="preserve">qualification </w:t>
      </w:r>
      <w:r w:rsidR="007A6A41" w:rsidRPr="00D07B14">
        <w:t>capability and capacity is very limited in Australia</w:t>
      </w:r>
      <w:r w:rsidR="00E747F2" w:rsidRPr="00D07B14">
        <w:t xml:space="preserve"> and</w:t>
      </w:r>
      <w:r w:rsidR="00725ED0">
        <w:t>, at present,</w:t>
      </w:r>
      <w:r w:rsidR="007A6A41" w:rsidRPr="00D07B14">
        <w:t xml:space="preserve"> </w:t>
      </w:r>
      <w:r w:rsidR="001925C6" w:rsidRPr="00D07B14">
        <w:t xml:space="preserve">Level 3 qualification is usually </w:t>
      </w:r>
      <w:r w:rsidR="00E747F2" w:rsidRPr="00D07B14">
        <w:t>accessed</w:t>
      </w:r>
      <w:r w:rsidR="001925C6" w:rsidRPr="00D07B14">
        <w:t xml:space="preserve"> outside Australia</w:t>
      </w:r>
      <w:r w:rsidR="00130530">
        <w:t>. If filled, this could also support</w:t>
      </w:r>
      <w:r w:rsidR="00725ED0" w:rsidRPr="00D07B14">
        <w:t xml:space="preserve"> the growth and </w:t>
      </w:r>
      <w:r w:rsidR="00130530">
        <w:t xml:space="preserve">transformation </w:t>
      </w:r>
      <w:r w:rsidR="00725ED0">
        <w:t>of the Australian space sector</w:t>
      </w:r>
      <w:r w:rsidR="001925C6" w:rsidRPr="00D07B14">
        <w:t>.</w:t>
      </w:r>
    </w:p>
    <w:p w14:paraId="1E1E6F37" w14:textId="521EA847" w:rsidR="00E16B7C" w:rsidRPr="009E3C5E" w:rsidRDefault="00E16B7C" w:rsidP="00E16B7C">
      <w:pPr>
        <w:rPr>
          <w:rFonts w:cs="Arial"/>
          <w:szCs w:val="20"/>
        </w:rPr>
      </w:pPr>
      <w:r w:rsidRPr="006054FC">
        <w:t>Th</w:t>
      </w:r>
      <w:r w:rsidR="007D500F" w:rsidRPr="006054FC">
        <w:t>e</w:t>
      </w:r>
      <w:r w:rsidRPr="006054FC">
        <w:t xml:space="preserve"> </w:t>
      </w:r>
      <w:r w:rsidR="007D500F" w:rsidRPr="006054FC">
        <w:t xml:space="preserve">Space Payload Qualification Facilities </w:t>
      </w:r>
      <w:r w:rsidRPr="006054FC">
        <w:t xml:space="preserve">grant opportunity will </w:t>
      </w:r>
      <w:r w:rsidR="003237DD" w:rsidRPr="006054FC">
        <w:t>provide a single grant to</w:t>
      </w:r>
      <w:r w:rsidR="008B01DA" w:rsidRPr="006054FC">
        <w:t xml:space="preserve"> </w:t>
      </w:r>
      <w:r w:rsidR="00DD587D" w:rsidRPr="006054FC">
        <w:t xml:space="preserve">build niche Level 2 or Level 3 </w:t>
      </w:r>
      <w:r w:rsidR="006054FC">
        <w:t>capability</w:t>
      </w:r>
      <w:r w:rsidR="00176D6C">
        <w:t>.</w:t>
      </w:r>
      <w:r w:rsidR="00DD587D" w:rsidRPr="006054FC">
        <w:t xml:space="preserve"> </w:t>
      </w:r>
      <w:r w:rsidR="006F5B10">
        <w:t>Through this investment, t</w:t>
      </w:r>
      <w:r w:rsidR="006E5674">
        <w:t>he project may also complement Level</w:t>
      </w:r>
      <w:r w:rsidR="006F5B10">
        <w:t xml:space="preserve"> </w:t>
      </w:r>
      <w:r w:rsidR="006E5674" w:rsidRPr="006054FC">
        <w:t xml:space="preserve">1 facilities across Australia. </w:t>
      </w:r>
      <w:r w:rsidR="00434F52">
        <w:t>We expect</w:t>
      </w:r>
      <w:r w:rsidR="00A50E0D">
        <w:t xml:space="preserve"> the capability developed </w:t>
      </w:r>
      <w:r w:rsidR="00434F52">
        <w:t>to</w:t>
      </w:r>
      <w:r w:rsidR="00A50E0D">
        <w:t xml:space="preserve"> be self-sustaining after the grant period.</w:t>
      </w:r>
    </w:p>
    <w:p w14:paraId="197C909D" w14:textId="0553E5EB" w:rsidR="00981B3D" w:rsidRDefault="00981B3D" w:rsidP="00E16B7C">
      <w:r>
        <w:t xml:space="preserve">The objectives of the </w:t>
      </w:r>
      <w:r w:rsidR="00203219">
        <w:t xml:space="preserve">grant opportunity </w:t>
      </w:r>
      <w:r>
        <w:t>are to:</w:t>
      </w:r>
    </w:p>
    <w:p w14:paraId="1E0BD5BF" w14:textId="20F4AC8F" w:rsidR="0003444E" w:rsidRDefault="004058DC" w:rsidP="006054FC">
      <w:pPr>
        <w:pStyle w:val="ListBullet"/>
        <w:numPr>
          <w:ilvl w:val="0"/>
          <w:numId w:val="7"/>
        </w:numPr>
      </w:pPr>
      <w:r>
        <w:t>increase</w:t>
      </w:r>
      <w:r w:rsidRPr="00776F2A">
        <w:t xml:space="preserve"> </w:t>
      </w:r>
      <w:r w:rsidR="00733B39" w:rsidRPr="00776F2A">
        <w:t xml:space="preserve">space qualification </w:t>
      </w:r>
      <w:r w:rsidR="0003444E" w:rsidRPr="00776F2A">
        <w:t xml:space="preserve">capability and capacity </w:t>
      </w:r>
      <w:r w:rsidR="00C0098C">
        <w:t>in</w:t>
      </w:r>
      <w:r w:rsidR="0003444E" w:rsidRPr="00776F2A">
        <w:t xml:space="preserve"> Australia</w:t>
      </w:r>
      <w:r w:rsidR="00E8219F">
        <w:t xml:space="preserve"> </w:t>
      </w:r>
    </w:p>
    <w:p w14:paraId="4E23657F" w14:textId="586890BC" w:rsidR="006660B8" w:rsidRDefault="003C2A03" w:rsidP="00981B3D">
      <w:pPr>
        <w:pStyle w:val="ListBullet"/>
        <w:numPr>
          <w:ilvl w:val="0"/>
          <w:numId w:val="7"/>
        </w:numPr>
      </w:pPr>
      <w:r>
        <w:t>improve</w:t>
      </w:r>
      <w:r w:rsidR="006660B8">
        <w:t xml:space="preserve"> the </w:t>
      </w:r>
      <w:r w:rsidR="00935533">
        <w:t>availability</w:t>
      </w:r>
      <w:r w:rsidR="00176D6C">
        <w:t xml:space="preserve"> </w:t>
      </w:r>
      <w:r>
        <w:t xml:space="preserve">and </w:t>
      </w:r>
      <w:r w:rsidR="007B1939">
        <w:t>coordination</w:t>
      </w:r>
      <w:r w:rsidR="008B01DA">
        <w:t xml:space="preserve"> </w:t>
      </w:r>
      <w:r w:rsidR="006660B8">
        <w:t>of</w:t>
      </w:r>
      <w:r w:rsidR="00981B3D">
        <w:t xml:space="preserve"> </w:t>
      </w:r>
      <w:r w:rsidR="00733B39">
        <w:t xml:space="preserve">space payload </w:t>
      </w:r>
      <w:r w:rsidR="006660B8">
        <w:t>qualification in Australia</w:t>
      </w:r>
      <w:r w:rsidR="00AB09EC">
        <w:t xml:space="preserve"> </w:t>
      </w:r>
    </w:p>
    <w:p w14:paraId="1AA510F9" w14:textId="77777777" w:rsidR="003C2A03" w:rsidRDefault="00981B3D" w:rsidP="00981B3D">
      <w:pPr>
        <w:pStyle w:val="ListBullet"/>
        <w:numPr>
          <w:ilvl w:val="0"/>
          <w:numId w:val="7"/>
        </w:numPr>
        <w:spacing w:after="120"/>
      </w:pPr>
      <w:r>
        <w:t xml:space="preserve">increase </w:t>
      </w:r>
      <w:r w:rsidR="0016551C">
        <w:t xml:space="preserve">accreditation and </w:t>
      </w:r>
      <w:r>
        <w:t>internationa</w:t>
      </w:r>
      <w:r w:rsidR="00B05B23">
        <w:t>l</w:t>
      </w:r>
      <w:r w:rsidR="00213D8F">
        <w:t xml:space="preserve"> </w:t>
      </w:r>
      <w:r>
        <w:t>recogn</w:t>
      </w:r>
      <w:r w:rsidR="00B05B23">
        <w:t>i</w:t>
      </w:r>
      <w:r w:rsidR="00213D8F">
        <w:t xml:space="preserve">tion of </w:t>
      </w:r>
      <w:r>
        <w:t xml:space="preserve">space payload qualification </w:t>
      </w:r>
      <w:r w:rsidR="006660B8">
        <w:t>in Australia</w:t>
      </w:r>
    </w:p>
    <w:p w14:paraId="1C8F745E" w14:textId="190B5536" w:rsidR="00981B3D" w:rsidRDefault="003C2A03" w:rsidP="00405923">
      <w:pPr>
        <w:pStyle w:val="ListBullet"/>
        <w:numPr>
          <w:ilvl w:val="0"/>
          <w:numId w:val="15"/>
        </w:numPr>
        <w:spacing w:after="120"/>
      </w:pPr>
      <w:r>
        <w:t>meet the needs</w:t>
      </w:r>
      <w:r w:rsidRPr="003C2A03">
        <w:t xml:space="preserve"> </w:t>
      </w:r>
      <w:r>
        <w:t>of the emerging space sector</w:t>
      </w:r>
      <w:r w:rsidR="00733B39">
        <w:t xml:space="preserve"> into the future</w:t>
      </w:r>
      <w:r w:rsidR="00F13130">
        <w:t>.</w:t>
      </w:r>
    </w:p>
    <w:p w14:paraId="4670042D" w14:textId="55110F49" w:rsidR="00981B3D" w:rsidRDefault="00981B3D" w:rsidP="00981B3D">
      <w:pPr>
        <w:spacing w:after="80"/>
      </w:pPr>
      <w:r>
        <w:t xml:space="preserve">The intended outcomes of the </w:t>
      </w:r>
      <w:r w:rsidR="00203219">
        <w:t xml:space="preserve">grant opportunity </w:t>
      </w:r>
      <w:r>
        <w:t>are:</w:t>
      </w:r>
    </w:p>
    <w:p w14:paraId="0AEDFDCD" w14:textId="64DDFD5C" w:rsidR="0003444E" w:rsidRDefault="00733B39" w:rsidP="0003444E">
      <w:pPr>
        <w:pStyle w:val="ListBullet"/>
        <w:numPr>
          <w:ilvl w:val="0"/>
          <w:numId w:val="7"/>
        </w:numPr>
      </w:pPr>
      <w:r>
        <w:t xml:space="preserve">increased </w:t>
      </w:r>
      <w:r w:rsidR="0003444E">
        <w:t xml:space="preserve">space </w:t>
      </w:r>
      <w:r w:rsidR="00046304">
        <w:t xml:space="preserve">payload </w:t>
      </w:r>
      <w:r w:rsidR="0003444E">
        <w:t>qualification capability and capacity</w:t>
      </w:r>
      <w:r w:rsidR="000C3832">
        <w:t xml:space="preserve"> </w:t>
      </w:r>
      <w:r w:rsidR="00046304">
        <w:t>in</w:t>
      </w:r>
      <w:r w:rsidR="0003444E">
        <w:t xml:space="preserve"> Australia</w:t>
      </w:r>
    </w:p>
    <w:p w14:paraId="74C1FDF3" w14:textId="42D6A352" w:rsidR="00046304" w:rsidRDefault="00A40470" w:rsidP="00405923">
      <w:pPr>
        <w:pStyle w:val="ListBullet"/>
        <w:numPr>
          <w:ilvl w:val="0"/>
          <w:numId w:val="15"/>
        </w:numPr>
        <w:rPr>
          <w:iCs/>
        </w:rPr>
      </w:pPr>
      <w:r>
        <w:rPr>
          <w:iCs/>
        </w:rPr>
        <w:t>i</w:t>
      </w:r>
      <w:r w:rsidR="00046304">
        <w:rPr>
          <w:iCs/>
        </w:rPr>
        <w:t>ncreased availability of space payload qualification facilities</w:t>
      </w:r>
    </w:p>
    <w:p w14:paraId="1DC33243" w14:textId="4B56BD26" w:rsidR="00A17FBA" w:rsidRDefault="00A17FBA" w:rsidP="00405923">
      <w:pPr>
        <w:pStyle w:val="ListBullet"/>
        <w:numPr>
          <w:ilvl w:val="0"/>
          <w:numId w:val="15"/>
        </w:numPr>
        <w:rPr>
          <w:iCs/>
        </w:rPr>
      </w:pPr>
      <w:r w:rsidRPr="009C59E0">
        <w:rPr>
          <w:iCs/>
        </w:rPr>
        <w:t xml:space="preserve">increased </w:t>
      </w:r>
      <w:r w:rsidR="00046304">
        <w:rPr>
          <w:iCs/>
        </w:rPr>
        <w:t>investment in Australian space industry</w:t>
      </w:r>
    </w:p>
    <w:p w14:paraId="4AD547BD" w14:textId="33077405" w:rsidR="00D07B14" w:rsidRPr="009C59E0" w:rsidRDefault="00046304" w:rsidP="00D07B14">
      <w:pPr>
        <w:pStyle w:val="ListBullet"/>
        <w:numPr>
          <w:ilvl w:val="0"/>
          <w:numId w:val="7"/>
        </w:numPr>
        <w:rPr>
          <w:iCs/>
        </w:rPr>
      </w:pPr>
      <w:r>
        <w:rPr>
          <w:iCs/>
        </w:rPr>
        <w:t>increased Australian space industry capability</w:t>
      </w:r>
      <w:r w:rsidR="00F63C9B">
        <w:rPr>
          <w:iCs/>
        </w:rPr>
        <w:t>.</w:t>
      </w:r>
      <w:r w:rsidR="00D07B14" w:rsidRPr="00BC272D">
        <w:rPr>
          <w:iCs/>
        </w:rPr>
        <w:t xml:space="preserve"> </w:t>
      </w:r>
    </w:p>
    <w:p w14:paraId="796DE863" w14:textId="77777777" w:rsidR="00981B3D" w:rsidRDefault="00981B3D" w:rsidP="00981B3D">
      <w:r>
        <w:t xml:space="preserve">We administer the program according to the </w:t>
      </w:r>
      <w:hyperlink r:id="rId20" w:history="1">
        <w:r>
          <w:rPr>
            <w:rStyle w:val="Hyperlink"/>
            <w:i/>
          </w:rPr>
          <w:t xml:space="preserve">Commonwealth Grants Rules and Guidelines </w:t>
        </w:r>
        <w:r>
          <w:rPr>
            <w:rStyle w:val="Hyperlink"/>
          </w:rPr>
          <w:t>(CGRGs)</w:t>
        </w:r>
      </w:hyperlink>
      <w:r>
        <w:rPr>
          <w:vertAlign w:val="superscript"/>
        </w:rPr>
        <w:footnoteReference w:id="3"/>
      </w:r>
      <w:r>
        <w:t>.</w:t>
      </w:r>
    </w:p>
    <w:p w14:paraId="45F34652" w14:textId="4FFD0CFE" w:rsidR="00107697" w:rsidRPr="00022A7F" w:rsidRDefault="00107697" w:rsidP="007C0720">
      <w:pPr>
        <w:spacing w:after="80"/>
      </w:pPr>
      <w:r w:rsidRPr="00022A7F">
        <w:lastRenderedPageBreak/>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3B3B5E1E"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85061C">
        <w:t>14</w:t>
      </w:r>
      <w:r w:rsidR="00082460">
        <w:fldChar w:fldCharType="end"/>
      </w:r>
      <w:r>
        <w:t>.</w:t>
      </w:r>
    </w:p>
    <w:p w14:paraId="00136F93" w14:textId="77777777" w:rsidR="00107697" w:rsidRDefault="00107697" w:rsidP="00107697">
      <w:r>
        <w:t>You should read this document carefully before you fill out an application.</w:t>
      </w:r>
    </w:p>
    <w:p w14:paraId="1725A57A" w14:textId="1881BD91" w:rsidR="009557AD" w:rsidRPr="004731F2" w:rsidRDefault="00405D85" w:rsidP="00572945">
      <w:pPr>
        <w:pStyle w:val="Heading2"/>
      </w:pPr>
      <w:bookmarkStart w:id="20" w:name="_Toc496536651"/>
      <w:bookmarkStart w:id="21" w:name="_Toc531277478"/>
      <w:bookmarkStart w:id="22" w:name="_Toc955288"/>
      <w:bookmarkStart w:id="23" w:name="_Toc51230419"/>
      <w:bookmarkStart w:id="24" w:name="_Toc51230473"/>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0"/>
      <w:bookmarkEnd w:id="21"/>
      <w:bookmarkEnd w:id="22"/>
      <w:bookmarkEnd w:id="23"/>
      <w:bookmarkEnd w:id="24"/>
      <w:r w:rsidR="009557AD">
        <w:t xml:space="preserve"> </w:t>
      </w:r>
    </w:p>
    <w:p w14:paraId="573F5A09" w14:textId="62615D21" w:rsidR="004A733E" w:rsidRDefault="004A733E" w:rsidP="004A733E">
      <w:bookmarkStart w:id="27" w:name="_Toc496536652"/>
      <w:bookmarkStart w:id="28" w:name="_Toc531277479"/>
      <w:bookmarkStart w:id="29" w:name="_Toc955289"/>
      <w:r>
        <w:t xml:space="preserve">The Australian Government has announced a total of $19.5 </w:t>
      </w:r>
      <w:r w:rsidR="005A43AE">
        <w:t>million</w:t>
      </w:r>
      <w:r>
        <w:t xml:space="preserve"> over three years for the Space Infrastructure Program. </w:t>
      </w:r>
      <w:r w:rsidR="00D9656D">
        <w:t xml:space="preserve">Up to </w:t>
      </w:r>
      <w:r>
        <w:t xml:space="preserve">$2.5 </w:t>
      </w:r>
      <w:r w:rsidR="005A43AE">
        <w:t xml:space="preserve">million </w:t>
      </w:r>
      <w:r>
        <w:t xml:space="preserve">is available </w:t>
      </w:r>
      <w:r w:rsidR="00D9656D">
        <w:t>for this grant opportunity</w:t>
      </w:r>
      <w:r>
        <w:t>.</w:t>
      </w:r>
    </w:p>
    <w:p w14:paraId="25F6521D" w14:textId="4196D699" w:rsidR="00A04E7B" w:rsidRDefault="00A04E7B" w:rsidP="00174696">
      <w:pPr>
        <w:pStyle w:val="Heading3"/>
      </w:pPr>
      <w:bookmarkStart w:id="30" w:name="_Toc51230420"/>
      <w:bookmarkStart w:id="31" w:name="_Toc51230474"/>
      <w:r>
        <w:t>Grants available</w:t>
      </w:r>
      <w:bookmarkEnd w:id="27"/>
      <w:bookmarkEnd w:id="28"/>
      <w:bookmarkEnd w:id="29"/>
      <w:bookmarkEnd w:id="30"/>
      <w:bookmarkEnd w:id="31"/>
    </w:p>
    <w:p w14:paraId="31BEEE34" w14:textId="4869E93B" w:rsidR="004A733E" w:rsidRDefault="004A733E" w:rsidP="004A733E">
      <w:bookmarkStart w:id="32" w:name="_Toc496536653"/>
      <w:bookmarkStart w:id="33" w:name="_Toc531277480"/>
      <w:bookmarkStart w:id="34" w:name="_Toc955290"/>
      <w:r>
        <w:t>T</w:t>
      </w:r>
      <w:r w:rsidR="00324A86">
        <w:t xml:space="preserve">here is </w:t>
      </w:r>
      <w:r>
        <w:t>a single grant of</w:t>
      </w:r>
      <w:r w:rsidR="00203219">
        <w:t xml:space="preserve"> up to</w:t>
      </w:r>
      <w:r>
        <w:t xml:space="preserve"> $2.5 million</w:t>
      </w:r>
      <w:r w:rsidR="00324A86">
        <w:t xml:space="preserve"> available under this grant opportunity</w:t>
      </w:r>
      <w:r>
        <w:t xml:space="preserve">. </w:t>
      </w:r>
    </w:p>
    <w:p w14:paraId="6309FDDB" w14:textId="24DC5F17" w:rsidR="0003444E" w:rsidRDefault="004A733E" w:rsidP="004A733E">
      <w:r w:rsidRPr="005E4299">
        <w:t>The grant amount will be up to</w:t>
      </w:r>
      <w:r w:rsidR="00213D8F" w:rsidRPr="005E4299">
        <w:t xml:space="preserve"> </w:t>
      </w:r>
      <w:r w:rsidR="00CC5970" w:rsidRPr="005E4299">
        <w:t>75</w:t>
      </w:r>
      <w:r w:rsidR="00EB6BB0">
        <w:t xml:space="preserve"> per cent</w:t>
      </w:r>
      <w:r w:rsidR="00EB6BB0" w:rsidRPr="005E4299">
        <w:t xml:space="preserve"> </w:t>
      </w:r>
      <w:r w:rsidRPr="005E4299">
        <w:t xml:space="preserve">of project costs. </w:t>
      </w:r>
      <w:r w:rsidR="0003444E">
        <w:t>You are responsible for the remaining 25 per cent of eligible project expenditure plus any ineligible expenditure.</w:t>
      </w:r>
    </w:p>
    <w:p w14:paraId="1518B237" w14:textId="4C3EB75E" w:rsidR="004A733E" w:rsidRDefault="004A733E" w:rsidP="004A733E">
      <w:r>
        <w:t>You cannot use funding from other Commonwealth grants to fund your share of eligible project costs. You can fund your contribution from any other source including State, Territory and local government grants. Your contribution must be cash.</w:t>
      </w:r>
    </w:p>
    <w:p w14:paraId="25F65226" w14:textId="252BF7D9" w:rsidR="00A04E7B" w:rsidRDefault="00A04E7B" w:rsidP="00174696">
      <w:pPr>
        <w:pStyle w:val="Heading3"/>
      </w:pPr>
      <w:bookmarkStart w:id="35" w:name="_Toc51230421"/>
      <w:bookmarkStart w:id="36" w:name="_Toc51230475"/>
      <w:r>
        <w:t xml:space="preserve">Project </w:t>
      </w:r>
      <w:r w:rsidR="00476A36" w:rsidRPr="005A61FE">
        <w:t>period</w:t>
      </w:r>
      <w:bookmarkEnd w:id="32"/>
      <w:bookmarkEnd w:id="33"/>
      <w:bookmarkEnd w:id="34"/>
      <w:bookmarkEnd w:id="35"/>
      <w:bookmarkEnd w:id="36"/>
    </w:p>
    <w:p w14:paraId="25F65229" w14:textId="5752EB22" w:rsidR="00712F06" w:rsidRPr="006F4968" w:rsidRDefault="00577D3F" w:rsidP="00981B3D">
      <w:r>
        <w:t>You must complete your p</w:t>
      </w:r>
      <w:r w:rsidR="009A0990" w:rsidRPr="00B215DF">
        <w:t xml:space="preserve">roject </w:t>
      </w:r>
      <w:r w:rsidR="00461AAE">
        <w:t>by</w:t>
      </w:r>
      <w:r w:rsidR="00981B3D">
        <w:t xml:space="preserve"> </w:t>
      </w:r>
      <w:r w:rsidR="005E4299">
        <w:t xml:space="preserve">30 April </w:t>
      </w:r>
      <w:r w:rsidR="00981B3D">
        <w:t>2022</w:t>
      </w:r>
      <w:r w:rsidR="0017423B" w:rsidRPr="006F4968">
        <w:t>.</w:t>
      </w:r>
    </w:p>
    <w:p w14:paraId="25F6522A" w14:textId="3E062F08" w:rsidR="00285F58" w:rsidRPr="00DF637B" w:rsidRDefault="00285F58" w:rsidP="00B400E6">
      <w:pPr>
        <w:pStyle w:val="Heading2"/>
      </w:pPr>
      <w:bookmarkStart w:id="37" w:name="_Toc530072971"/>
      <w:bookmarkStart w:id="38" w:name="_Toc496536654"/>
      <w:bookmarkStart w:id="39" w:name="_Toc531277481"/>
      <w:bookmarkStart w:id="40" w:name="_Toc955291"/>
      <w:bookmarkStart w:id="41" w:name="_Toc51230422"/>
      <w:bookmarkStart w:id="42" w:name="_Toc51230476"/>
      <w:bookmarkEnd w:id="25"/>
      <w:bookmarkEnd w:id="26"/>
      <w:bookmarkEnd w:id="37"/>
      <w:r>
        <w:t>Eligibility criteria</w:t>
      </w:r>
      <w:bookmarkEnd w:id="38"/>
      <w:bookmarkEnd w:id="39"/>
      <w:bookmarkEnd w:id="40"/>
      <w:bookmarkEnd w:id="41"/>
      <w:bookmarkEnd w:id="42"/>
    </w:p>
    <w:p w14:paraId="25F6522B" w14:textId="77777777" w:rsidR="00C84E84" w:rsidRDefault="009D33F3" w:rsidP="00C84E84">
      <w:bookmarkStart w:id="43" w:name="_Ref437348317"/>
      <w:bookmarkStart w:id="44" w:name="_Ref437348323"/>
      <w:bookmarkStart w:id="45" w:name="_Ref437349175"/>
      <w:r>
        <w:t xml:space="preserve">We cannot consider your application if you do not satisfy all eligibility criteria. </w:t>
      </w:r>
    </w:p>
    <w:p w14:paraId="25F6522C" w14:textId="4A047791" w:rsidR="00A35F51" w:rsidRDefault="001A6862" w:rsidP="00174696">
      <w:pPr>
        <w:pStyle w:val="Heading3"/>
      </w:pPr>
      <w:bookmarkStart w:id="46" w:name="_Toc496536655"/>
      <w:bookmarkStart w:id="47" w:name="_Ref530054835"/>
      <w:bookmarkStart w:id="48" w:name="_Toc531277482"/>
      <w:bookmarkStart w:id="49" w:name="_Toc955292"/>
      <w:bookmarkStart w:id="50" w:name="_Toc51230423"/>
      <w:bookmarkStart w:id="51" w:name="_Toc51230477"/>
      <w:r>
        <w:t xml:space="preserve">Who </w:t>
      </w:r>
      <w:r w:rsidR="009F7B46">
        <w:t>is eligible?</w:t>
      </w:r>
      <w:bookmarkEnd w:id="43"/>
      <w:bookmarkEnd w:id="44"/>
      <w:bookmarkEnd w:id="45"/>
      <w:bookmarkEnd w:id="46"/>
      <w:bookmarkEnd w:id="47"/>
      <w:bookmarkEnd w:id="48"/>
      <w:bookmarkEnd w:id="49"/>
      <w:bookmarkEnd w:id="50"/>
      <w:bookmarkEnd w:id="51"/>
    </w:p>
    <w:p w14:paraId="25F65232" w14:textId="3D9B04DE" w:rsidR="00762BB3" w:rsidRPr="00E162FF" w:rsidRDefault="00A35F51" w:rsidP="00760D2E">
      <w:pPr>
        <w:spacing w:after="80"/>
      </w:pPr>
      <w:r w:rsidRPr="00E162FF">
        <w:t xml:space="preserve">To </w:t>
      </w:r>
      <w:r w:rsidR="009F7B46">
        <w:t>be eligible you must</w:t>
      </w:r>
      <w:r w:rsidR="00EB260A">
        <w:t xml:space="preserve"> </w:t>
      </w:r>
      <w:r w:rsidR="009F7B46">
        <w:t>be one of the following</w:t>
      </w:r>
      <w:r w:rsidR="00093BA1">
        <w:t xml:space="preserve"> entities</w:t>
      </w:r>
      <w:r w:rsidR="00B6306B">
        <w:t>:</w:t>
      </w:r>
    </w:p>
    <w:p w14:paraId="25F65237" w14:textId="1F9753DE"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A" w14:textId="1E900735" w:rsidR="009F7B46" w:rsidRDefault="00C401DA" w:rsidP="00981B3D">
      <w:pPr>
        <w:pStyle w:val="ListBullet"/>
        <w:numPr>
          <w:ilvl w:val="1"/>
          <w:numId w:val="10"/>
        </w:numPr>
      </w:pPr>
      <w:r>
        <w:t>are a substantial and not merely periphe</w:t>
      </w:r>
      <w:r w:rsidR="00981B3D">
        <w:t>ral activity of the corporation</w:t>
      </w:r>
    </w:p>
    <w:p w14:paraId="5D0A579F" w14:textId="68EFB4C1" w:rsidR="001E1FD1"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85061C">
        <w:t>14</w:t>
      </w:r>
      <w:r w:rsidR="007441B8">
        <w:fldChar w:fldCharType="end"/>
      </w:r>
      <w:r w:rsidR="00E6411F">
        <w:t>.</w:t>
      </w:r>
    </w:p>
    <w:p w14:paraId="1D952BAD" w14:textId="1765A62A" w:rsidR="0060722F" w:rsidRDefault="00E545FE" w:rsidP="005F69D2">
      <w:r>
        <w:t>Joint applications are acceptable</w:t>
      </w:r>
      <w:r w:rsidR="003077C5">
        <w:t xml:space="preserve"> and encouraged</w:t>
      </w:r>
      <w:r>
        <w:t xml:space="preserv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85061C">
        <w:t>7.2</w:t>
      </w:r>
      <w:r w:rsidR="009049DE" w:rsidRPr="005A61FE">
        <w:fldChar w:fldCharType="end"/>
      </w:r>
      <w:r w:rsidR="00DF1A74">
        <w:t>.</w:t>
      </w:r>
    </w:p>
    <w:p w14:paraId="7CBB105C" w14:textId="5F604AEC" w:rsidR="002A0E03" w:rsidRDefault="002A0E03" w:rsidP="00174696">
      <w:pPr>
        <w:pStyle w:val="Heading3"/>
      </w:pPr>
      <w:bookmarkStart w:id="52" w:name="_Toc496536656"/>
      <w:bookmarkStart w:id="53" w:name="_Toc531277483"/>
      <w:bookmarkStart w:id="54" w:name="_Toc955293"/>
      <w:bookmarkStart w:id="55" w:name="_Toc51230424"/>
      <w:bookmarkStart w:id="56" w:name="_Toc51230478"/>
      <w:r>
        <w:lastRenderedPageBreak/>
        <w:t>Additional eligibility requirements</w:t>
      </w:r>
      <w:bookmarkEnd w:id="52"/>
      <w:bookmarkEnd w:id="53"/>
      <w:bookmarkEnd w:id="54"/>
      <w:bookmarkEnd w:id="55"/>
      <w:bookmarkEnd w:id="56"/>
    </w:p>
    <w:p w14:paraId="15283BE6" w14:textId="5856CBAE" w:rsidR="00F608BE" w:rsidRDefault="00F608BE" w:rsidP="00760D2E">
      <w:pPr>
        <w:keepNext/>
        <w:spacing w:after="80"/>
      </w:pPr>
      <w:r>
        <w:t>We can only accept applications</w:t>
      </w:r>
      <w:r w:rsidR="00B6306B">
        <w:t>:</w:t>
      </w:r>
    </w:p>
    <w:p w14:paraId="5EC63947" w14:textId="16D70AA4" w:rsidR="00F608BE" w:rsidRPr="000C3EA6"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that you can complete the project and meet the costs of the proje</w:t>
      </w:r>
      <w:r w:rsidR="00FD3C0C">
        <w:t>ct not covered by grant funding</w:t>
      </w:r>
      <w:r w:rsidR="00D8450D">
        <w:t>, and confirm you are a trading corporation</w:t>
      </w:r>
      <w:r w:rsidR="00841ACF">
        <w:t>.</w:t>
      </w:r>
    </w:p>
    <w:p w14:paraId="4B05166F" w14:textId="29362905"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74696">
      <w:pPr>
        <w:pStyle w:val="Heading3"/>
      </w:pPr>
      <w:bookmarkStart w:id="57" w:name="_Toc496536657"/>
      <w:bookmarkStart w:id="58" w:name="_Toc531277484"/>
      <w:bookmarkStart w:id="59" w:name="_Toc955294"/>
      <w:bookmarkStart w:id="60" w:name="_Toc51230425"/>
      <w:bookmarkStart w:id="61" w:name="_Toc51230479"/>
      <w:bookmarkStart w:id="62" w:name="_Toc164844264"/>
      <w:bookmarkStart w:id="63" w:name="_Toc383003257"/>
      <w:r>
        <w:t>Who is not eligible?</w:t>
      </w:r>
      <w:bookmarkEnd w:id="57"/>
      <w:bookmarkEnd w:id="58"/>
      <w:bookmarkEnd w:id="59"/>
      <w:bookmarkEnd w:id="60"/>
      <w:bookmarkEnd w:id="61"/>
    </w:p>
    <w:p w14:paraId="03E619C7" w14:textId="754A2797" w:rsidR="00C32C6B" w:rsidRPr="00F34E3C" w:rsidRDefault="00C32C6B" w:rsidP="00FD3C0C">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1DEE4C22" w14:textId="77777777" w:rsidR="005F70F3" w:rsidRPr="005A61FE" w:rsidRDefault="005F70F3" w:rsidP="005F70F3">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85061C">
        <w:t>4.1</w:t>
      </w:r>
      <w:r w:rsidRPr="005A61FE">
        <w:fldChar w:fldCharType="end"/>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2335370A" w14:textId="3D1C0C45" w:rsidR="001844D5" w:rsidRPr="00203219" w:rsidRDefault="001844D5" w:rsidP="00C32C6B">
      <w:pPr>
        <w:pStyle w:val="ListBullet"/>
      </w:pPr>
      <w:r w:rsidRPr="00203219">
        <w:t>a non-corporate Commonwealth entity</w:t>
      </w:r>
      <w:r w:rsidR="001A30F4">
        <w:t>.</w:t>
      </w:r>
    </w:p>
    <w:p w14:paraId="4E2E3F28" w14:textId="50823FE6" w:rsidR="00E27755" w:rsidRDefault="00F52948" w:rsidP="00B400E6">
      <w:pPr>
        <w:pStyle w:val="Heading2"/>
      </w:pPr>
      <w:bookmarkStart w:id="64" w:name="_Toc531277486"/>
      <w:bookmarkStart w:id="65" w:name="_Toc489952676"/>
      <w:bookmarkStart w:id="66" w:name="_Toc496536659"/>
      <w:bookmarkStart w:id="67" w:name="_Toc955296"/>
      <w:bookmarkStart w:id="68" w:name="_Toc51230426"/>
      <w:bookmarkStart w:id="69" w:name="_Toc51230480"/>
      <w:r w:rsidRPr="005A61FE">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bookmarkEnd w:id="69"/>
    </w:p>
    <w:p w14:paraId="25F65256" w14:textId="36FF3F97" w:rsidR="00E95540" w:rsidRPr="00C330AE" w:rsidRDefault="00E95540" w:rsidP="00174696">
      <w:pPr>
        <w:pStyle w:val="Heading3"/>
      </w:pPr>
      <w:bookmarkStart w:id="70" w:name="_Toc530072978"/>
      <w:bookmarkStart w:id="71" w:name="_Toc530072979"/>
      <w:bookmarkStart w:id="72" w:name="_Toc530072980"/>
      <w:bookmarkStart w:id="73" w:name="_Toc530072981"/>
      <w:bookmarkStart w:id="74" w:name="_Toc530072982"/>
      <w:bookmarkStart w:id="75" w:name="_Toc530072983"/>
      <w:bookmarkStart w:id="76" w:name="_Toc530072984"/>
      <w:bookmarkStart w:id="77" w:name="_Toc530072985"/>
      <w:bookmarkStart w:id="78" w:name="_Toc530072986"/>
      <w:bookmarkStart w:id="79" w:name="_Toc530072987"/>
      <w:bookmarkStart w:id="80" w:name="_Toc530072988"/>
      <w:bookmarkStart w:id="81" w:name="_Ref468355814"/>
      <w:bookmarkStart w:id="82" w:name="_Toc496536661"/>
      <w:bookmarkStart w:id="83" w:name="_Toc531277487"/>
      <w:bookmarkStart w:id="84" w:name="_Toc955297"/>
      <w:bookmarkStart w:id="85" w:name="_Toc51230427"/>
      <w:bookmarkStart w:id="86" w:name="_Toc51230481"/>
      <w:bookmarkStart w:id="87" w:name="_Toc383003258"/>
      <w:bookmarkStart w:id="88" w:name="_Toc164844265"/>
      <w:bookmarkEnd w:id="62"/>
      <w:bookmarkEnd w:id="63"/>
      <w:bookmarkEnd w:id="70"/>
      <w:bookmarkEnd w:id="71"/>
      <w:bookmarkEnd w:id="72"/>
      <w:bookmarkEnd w:id="73"/>
      <w:bookmarkEnd w:id="74"/>
      <w:bookmarkEnd w:id="75"/>
      <w:bookmarkEnd w:id="76"/>
      <w:bookmarkEnd w:id="77"/>
      <w:bookmarkEnd w:id="78"/>
      <w:bookmarkEnd w:id="79"/>
      <w:bookmarkEnd w:id="80"/>
      <w:r w:rsidRPr="00C330AE">
        <w:t xml:space="preserve">Eligible </w:t>
      </w:r>
      <w:r w:rsidR="008A5CD2" w:rsidRPr="00C330AE">
        <w:t>a</w:t>
      </w:r>
      <w:r w:rsidRPr="00C330AE">
        <w:t>ctivities</w:t>
      </w:r>
      <w:bookmarkEnd w:id="81"/>
      <w:bookmarkEnd w:id="82"/>
      <w:bookmarkEnd w:id="83"/>
      <w:bookmarkEnd w:id="84"/>
      <w:bookmarkEnd w:id="85"/>
      <w:bookmarkEnd w:id="86"/>
    </w:p>
    <w:p w14:paraId="0AE221F8" w14:textId="63D17954" w:rsidR="00981B3D" w:rsidRPr="00AE5632" w:rsidRDefault="00E13842" w:rsidP="009875BB">
      <w:pPr>
        <w:tabs>
          <w:tab w:val="right" w:pos="8788"/>
        </w:tabs>
        <w:spacing w:after="80"/>
        <w:rPr>
          <w:rFonts w:cs="Arial"/>
        </w:rPr>
      </w:pPr>
      <w:r>
        <w:t xml:space="preserve">The </w:t>
      </w:r>
      <w:r w:rsidR="007F1A9F">
        <w:t>s</w:t>
      </w:r>
      <w:r w:rsidRPr="006054FC">
        <w:t xml:space="preserve">pace </w:t>
      </w:r>
      <w:r w:rsidR="007F1A9F">
        <w:t>p</w:t>
      </w:r>
      <w:r w:rsidRPr="006054FC">
        <w:t xml:space="preserve">ayload </w:t>
      </w:r>
      <w:r w:rsidR="007F1A9F">
        <w:t>q</w:t>
      </w:r>
      <w:r w:rsidRPr="006054FC">
        <w:t>ualification</w:t>
      </w:r>
      <w:r>
        <w:t xml:space="preserve"> facility must be capable of supporting the following activities</w:t>
      </w:r>
      <w:r w:rsidR="00981B3D" w:rsidRPr="00AE5632">
        <w:t>:</w:t>
      </w:r>
      <w:r w:rsidR="00981B3D" w:rsidRPr="00AE5632">
        <w:rPr>
          <w:rFonts w:cs="Arial"/>
        </w:rPr>
        <w:t xml:space="preserve"> </w:t>
      </w:r>
    </w:p>
    <w:p w14:paraId="3537D254" w14:textId="4B6AA1B4" w:rsidR="00EB6BB0" w:rsidRPr="00AE5632" w:rsidRDefault="00EB6BB0" w:rsidP="00405923">
      <w:pPr>
        <w:pStyle w:val="ListBullet"/>
        <w:numPr>
          <w:ilvl w:val="0"/>
          <w:numId w:val="15"/>
        </w:numPr>
      </w:pPr>
      <w:r w:rsidRPr="00AE5632">
        <w:t xml:space="preserve">building </w:t>
      </w:r>
      <w:r w:rsidR="007B1939" w:rsidRPr="00AE5632">
        <w:t xml:space="preserve">niche or unique </w:t>
      </w:r>
      <w:r w:rsidRPr="00AE5632">
        <w:t xml:space="preserve">Level 2 or </w:t>
      </w:r>
      <w:r w:rsidR="0072202A" w:rsidRPr="00AE5632">
        <w:t xml:space="preserve">Level </w:t>
      </w:r>
      <w:r w:rsidRPr="00AE5632">
        <w:t>3 qualification capability and capacity in Australia</w:t>
      </w:r>
    </w:p>
    <w:p w14:paraId="4FCF422A" w14:textId="5C121FF1" w:rsidR="00EE1913" w:rsidRPr="00AE5632" w:rsidRDefault="000E0840" w:rsidP="00405923">
      <w:pPr>
        <w:pStyle w:val="ListBullet"/>
        <w:numPr>
          <w:ilvl w:val="0"/>
          <w:numId w:val="15"/>
        </w:numPr>
        <w:rPr>
          <w:rStyle w:val="CommentReference"/>
          <w:sz w:val="20"/>
          <w:szCs w:val="24"/>
        </w:rPr>
      </w:pPr>
      <w:r w:rsidRPr="00AE5632">
        <w:t>support</w:t>
      </w:r>
      <w:r w:rsidR="008E723D">
        <w:t>,</w:t>
      </w:r>
      <w:r w:rsidRPr="00AE5632">
        <w:t xml:space="preserve"> cooperation </w:t>
      </w:r>
      <w:r w:rsidR="0071798E">
        <w:t xml:space="preserve">and/or coordination </w:t>
      </w:r>
      <w:r w:rsidRPr="00AE5632">
        <w:t xml:space="preserve">across space payload qualification facilities </w:t>
      </w:r>
      <w:r w:rsidR="00C525AB" w:rsidRPr="00AE5632">
        <w:t xml:space="preserve">and capabilities </w:t>
      </w:r>
      <w:r w:rsidRPr="00AE5632">
        <w:t>in Australia</w:t>
      </w:r>
    </w:p>
    <w:p w14:paraId="5F8DC2A5" w14:textId="1188CFE4" w:rsidR="00EE1913" w:rsidRDefault="008E723D" w:rsidP="00405923">
      <w:pPr>
        <w:pStyle w:val="ListBullet"/>
        <w:numPr>
          <w:ilvl w:val="0"/>
          <w:numId w:val="15"/>
        </w:numPr>
      </w:pPr>
      <w:r>
        <w:t>support that</w:t>
      </w:r>
      <w:r w:rsidR="00EE1913">
        <w:t xml:space="preserve"> expand</w:t>
      </w:r>
      <w:r>
        <w:t>s</w:t>
      </w:r>
      <w:r w:rsidR="00EE1913">
        <w:t xml:space="preserve"> Australian space industry capability and capacity</w:t>
      </w:r>
      <w:r w:rsidR="00DF025B">
        <w:t>, for exampl</w:t>
      </w:r>
      <w:r w:rsidR="00EE1913">
        <w:t>e:</w:t>
      </w:r>
    </w:p>
    <w:p w14:paraId="46C44053" w14:textId="32C34D92" w:rsidR="00EE1913" w:rsidRDefault="009826AB" w:rsidP="00405923">
      <w:pPr>
        <w:pStyle w:val="ListBullet"/>
        <w:numPr>
          <w:ilvl w:val="1"/>
          <w:numId w:val="15"/>
        </w:numPr>
      </w:pPr>
      <w:r>
        <w:t xml:space="preserve">research </w:t>
      </w:r>
      <w:r w:rsidR="00EE1913">
        <w:t>and development (R&amp;D)</w:t>
      </w:r>
    </w:p>
    <w:p w14:paraId="6131B372" w14:textId="0983A6D8" w:rsidR="00EE1913" w:rsidRDefault="009826AB" w:rsidP="00405923">
      <w:pPr>
        <w:pStyle w:val="ListBullet"/>
        <w:numPr>
          <w:ilvl w:val="1"/>
          <w:numId w:val="15"/>
        </w:numPr>
      </w:pPr>
      <w:r>
        <w:t>training</w:t>
      </w:r>
    </w:p>
    <w:p w14:paraId="27840438" w14:textId="1AA466EA" w:rsidR="00EE1913" w:rsidRDefault="009826AB" w:rsidP="00405923">
      <w:pPr>
        <w:pStyle w:val="ListBullet"/>
        <w:numPr>
          <w:ilvl w:val="1"/>
          <w:numId w:val="15"/>
        </w:numPr>
      </w:pPr>
      <w:r>
        <w:t xml:space="preserve">testing </w:t>
      </w:r>
      <w:r w:rsidR="00EE1913">
        <w:t>and validation</w:t>
      </w:r>
    </w:p>
    <w:p w14:paraId="20607BAF" w14:textId="300CEC8F" w:rsidR="009D71D0" w:rsidRPr="00EE1913" w:rsidRDefault="009826AB" w:rsidP="00405923">
      <w:pPr>
        <w:pStyle w:val="ListBullet"/>
        <w:numPr>
          <w:ilvl w:val="1"/>
          <w:numId w:val="15"/>
        </w:numPr>
      </w:pPr>
      <w:r>
        <w:t xml:space="preserve">collaborative </w:t>
      </w:r>
      <w:r w:rsidR="00EE1913">
        <w:t>R&amp;D.</w:t>
      </w:r>
    </w:p>
    <w:p w14:paraId="387F1DB2" w14:textId="77777777" w:rsidR="00981B3D" w:rsidRPr="003C7CB1" w:rsidRDefault="00981B3D" w:rsidP="00981B3D">
      <w:r w:rsidRPr="003C7CB1">
        <w:t>Eligible activities may include:</w:t>
      </w:r>
    </w:p>
    <w:p w14:paraId="57416C13" w14:textId="4F9F543E" w:rsidR="00CE5FB5" w:rsidRPr="003C7CB1" w:rsidRDefault="005C26B3" w:rsidP="00405923">
      <w:pPr>
        <w:pStyle w:val="ListBullet"/>
        <w:numPr>
          <w:ilvl w:val="0"/>
          <w:numId w:val="15"/>
        </w:numPr>
        <w:spacing w:after="120"/>
      </w:pPr>
      <w:r w:rsidRPr="003C7CB1">
        <w:t>purchasing, upgrading and commissioning testing equipment</w:t>
      </w:r>
    </w:p>
    <w:p w14:paraId="06AE31E9" w14:textId="4E10FB84" w:rsidR="005C26B3" w:rsidRPr="003C7CB1" w:rsidRDefault="005C26B3" w:rsidP="00405923">
      <w:pPr>
        <w:pStyle w:val="ListBullet"/>
        <w:numPr>
          <w:ilvl w:val="0"/>
          <w:numId w:val="15"/>
        </w:numPr>
      </w:pPr>
      <w:r w:rsidRPr="003C7CB1">
        <w:t xml:space="preserve">marketing and communications activities to improve </w:t>
      </w:r>
      <w:r w:rsidR="008C1CEF" w:rsidRPr="003C7CB1">
        <w:t xml:space="preserve">knowledge of and </w:t>
      </w:r>
      <w:r w:rsidRPr="003C7CB1">
        <w:t xml:space="preserve">access </w:t>
      </w:r>
      <w:r w:rsidR="00CE5FB5" w:rsidRPr="003C7CB1">
        <w:t>to testing facilities</w:t>
      </w:r>
      <w:r w:rsidR="00EE1913" w:rsidRPr="003C7CB1">
        <w:t xml:space="preserve"> by SMEs and researchers</w:t>
      </w:r>
    </w:p>
    <w:p w14:paraId="1796EE80" w14:textId="67437DFE" w:rsidR="00EE1913" w:rsidRPr="00C62A50" w:rsidRDefault="008B4A40" w:rsidP="00405923">
      <w:pPr>
        <w:pStyle w:val="ListBullet"/>
        <w:numPr>
          <w:ilvl w:val="0"/>
          <w:numId w:val="15"/>
        </w:numPr>
      </w:pPr>
      <w:r w:rsidRPr="003C7CB1">
        <w:t xml:space="preserve">support the coordination </w:t>
      </w:r>
      <w:r w:rsidR="0072202A" w:rsidRPr="003C7CB1">
        <w:t>across</w:t>
      </w:r>
      <w:r w:rsidR="005C26B3" w:rsidRPr="003C7CB1">
        <w:t xml:space="preserve"> </w:t>
      </w:r>
      <w:r w:rsidR="00CE5FB5" w:rsidRPr="003C7CB1">
        <w:t>testing facilities across Australia</w:t>
      </w:r>
      <w:r w:rsidR="005C26B3" w:rsidRPr="003C7CB1">
        <w:t xml:space="preserve"> </w:t>
      </w:r>
    </w:p>
    <w:p w14:paraId="144869D0" w14:textId="77777777" w:rsidR="00EE1913" w:rsidRDefault="00EE1913" w:rsidP="00EE1913">
      <w:pPr>
        <w:pStyle w:val="ListBullet"/>
      </w:pPr>
      <w:r>
        <w:t xml:space="preserve">preparing a functional design brief or equivalent </w:t>
      </w:r>
    </w:p>
    <w:p w14:paraId="391004B7" w14:textId="12180840" w:rsidR="00EE1913" w:rsidRDefault="00EE1913" w:rsidP="00EE1913">
      <w:pPr>
        <w:pStyle w:val="ListBullet"/>
      </w:pPr>
      <w:r>
        <w:t>purchasing hardware (screens, cables, furniture, antennas, fibre optic links, other ICT etc.) and software to run t</w:t>
      </w:r>
      <w:r w:rsidR="00841ACF">
        <w:t>he required qualification tests</w:t>
      </w:r>
    </w:p>
    <w:p w14:paraId="3691A424" w14:textId="169439DD" w:rsidR="00EE1913" w:rsidRDefault="00EE1913" w:rsidP="00EE1913">
      <w:pPr>
        <w:pStyle w:val="ListBullet"/>
      </w:pPr>
      <w:r>
        <w:t>hiring appropriate staff and contractors to f</w:t>
      </w:r>
      <w:r w:rsidR="00841ACF">
        <w:t>it-out and operate the facility</w:t>
      </w:r>
    </w:p>
    <w:p w14:paraId="0C52D3BF" w14:textId="77777777" w:rsidR="00EE1913" w:rsidRDefault="00EE1913" w:rsidP="00EE1913">
      <w:pPr>
        <w:pStyle w:val="ListBullet"/>
      </w:pPr>
      <w:r>
        <w:t xml:space="preserve">managing the security requirements for the centre, including its public elements </w:t>
      </w:r>
    </w:p>
    <w:p w14:paraId="59EF332E" w14:textId="77777777" w:rsidR="00EE1913" w:rsidRDefault="00EE1913" w:rsidP="00EE1913">
      <w:pPr>
        <w:pStyle w:val="ListBullet"/>
      </w:pPr>
      <w:r>
        <w:t>operating, managing and controlling the centre for the grant funding period</w:t>
      </w:r>
    </w:p>
    <w:p w14:paraId="488B646C" w14:textId="77777777" w:rsidR="00EE1913" w:rsidRDefault="00EE1913" w:rsidP="00EE1913">
      <w:pPr>
        <w:pStyle w:val="ListBullet"/>
      </w:pPr>
      <w:r>
        <w:t xml:space="preserve">establishing a financially self-sustaining operating model </w:t>
      </w:r>
    </w:p>
    <w:p w14:paraId="4D43D2E5" w14:textId="77777777" w:rsidR="00EE1913" w:rsidRDefault="00EE1913" w:rsidP="00EE1913">
      <w:pPr>
        <w:pStyle w:val="ListBullet"/>
      </w:pPr>
      <w:r>
        <w:t>organising and managing training activities in conjunction with universities/schools.</w:t>
      </w:r>
    </w:p>
    <w:p w14:paraId="14CD9941" w14:textId="4F93CA25" w:rsidR="00EE1913" w:rsidRPr="00E162FF" w:rsidRDefault="00486156" w:rsidP="00EE1913">
      <w:r w:rsidRPr="00C62A50">
        <w:lastRenderedPageBreak/>
        <w:t>We may also approve other activities</w:t>
      </w:r>
      <w:r w:rsidR="007F5EBC">
        <w:t xml:space="preserve"> where they directly relate to achieving project outcomes</w:t>
      </w:r>
      <w:r w:rsidR="00E67FC6" w:rsidRPr="00C62A50">
        <w:t>.</w:t>
      </w:r>
    </w:p>
    <w:p w14:paraId="25F6525B" w14:textId="63CC82B4" w:rsidR="00C17E72" w:rsidRDefault="00C17E72" w:rsidP="00174696">
      <w:pPr>
        <w:pStyle w:val="Heading3"/>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51230428"/>
      <w:bookmarkStart w:id="98" w:name="_Toc51230482"/>
      <w:bookmarkEnd w:id="89"/>
      <w:bookmarkEnd w:id="90"/>
      <w:bookmarkEnd w:id="91"/>
      <w:bookmarkEnd w:id="92"/>
      <w:r>
        <w:t xml:space="preserve">Eligible </w:t>
      </w:r>
      <w:r w:rsidR="001F215C">
        <w:t>e</w:t>
      </w:r>
      <w:r w:rsidR="00490C48">
        <w:t>xpenditure</w:t>
      </w:r>
      <w:bookmarkEnd w:id="93"/>
      <w:bookmarkEnd w:id="94"/>
      <w:bookmarkEnd w:id="95"/>
      <w:bookmarkEnd w:id="96"/>
      <w:bookmarkEnd w:id="97"/>
      <w:bookmarkEnd w:id="98"/>
    </w:p>
    <w:p w14:paraId="55727C23" w14:textId="77777777" w:rsidR="008A5574" w:rsidRDefault="008A5574" w:rsidP="008A5574">
      <w:bookmarkStart w:id="99" w:name="_Toc496536663"/>
      <w:bookmarkStart w:id="100" w:name="_Toc531277490"/>
      <w:bookmarkStart w:id="101" w:name="_Toc955300"/>
      <w:r>
        <w:t>You can only spend grant funds on eligible expenditure you have incurred on an agreed project as defined in your grant agreement.</w:t>
      </w:r>
    </w:p>
    <w:p w14:paraId="24113DA8" w14:textId="77777777" w:rsidR="008A5574" w:rsidRDefault="008A5574" w:rsidP="008A5574">
      <w:pPr>
        <w:spacing w:after="80"/>
      </w:pPr>
      <w:r>
        <w:t>Eligible expenditure items are:</w:t>
      </w:r>
    </w:p>
    <w:p w14:paraId="55206DDB" w14:textId="77777777" w:rsidR="008A5574" w:rsidRDefault="008A5574" w:rsidP="005A2322">
      <w:pPr>
        <w:pStyle w:val="ListBullet"/>
        <w:numPr>
          <w:ilvl w:val="0"/>
          <w:numId w:val="15"/>
        </w:numPr>
      </w:pPr>
      <w:r>
        <w:t>direct labour costs of employees you directly employ on the core elements of the project. We consider a person an employee when you pay them a regular salary or wage, out of which you make regular tax instalment deductions</w:t>
      </w:r>
    </w:p>
    <w:p w14:paraId="5823484B" w14:textId="77777777" w:rsidR="008A5574" w:rsidRDefault="008A5574" w:rsidP="005A2322">
      <w:pPr>
        <w:pStyle w:val="ListBullet"/>
        <w:numPr>
          <w:ilvl w:val="0"/>
          <w:numId w:val="15"/>
        </w:numPr>
      </w:pPr>
      <w:r>
        <w:t>up to 30% labour on-costs to cover employer paid superannuation, payroll tax, workers compensation insurance, and overheads such as office rent and the provision of computers for staff directly working on the project</w:t>
      </w:r>
    </w:p>
    <w:p w14:paraId="5C994800" w14:textId="77777777" w:rsidR="008A5574" w:rsidRDefault="008A5574" w:rsidP="005A2322">
      <w:pPr>
        <w:pStyle w:val="ListBullet"/>
        <w:numPr>
          <w:ilvl w:val="0"/>
          <w:numId w:val="15"/>
        </w:numPr>
      </w:pPr>
      <w:r>
        <w:t>contract expenditure, which is the cost of any agreed project activities that you contract to others</w:t>
      </w:r>
    </w:p>
    <w:p w14:paraId="7D3DA655" w14:textId="77777777" w:rsidR="009800B4" w:rsidRDefault="009800B4" w:rsidP="005A2322">
      <w:pPr>
        <w:pStyle w:val="ListBullet"/>
        <w:numPr>
          <w:ilvl w:val="0"/>
          <w:numId w:val="15"/>
        </w:numPr>
      </w:pPr>
      <w:r>
        <w:t>capital expenditure for the purchase of assets directly related to the project</w:t>
      </w:r>
    </w:p>
    <w:p w14:paraId="4123084F" w14:textId="77777777" w:rsidR="009800B4" w:rsidRDefault="009800B4" w:rsidP="005A2322">
      <w:pPr>
        <w:pStyle w:val="ListBullet"/>
        <w:numPr>
          <w:ilvl w:val="0"/>
          <w:numId w:val="15"/>
        </w:numPr>
      </w:pPr>
      <w:r>
        <w:t xml:space="preserve">building modifications, where the modification is necessary to undertake the project </w:t>
      </w:r>
    </w:p>
    <w:p w14:paraId="438F37B2" w14:textId="77777777" w:rsidR="009800B4" w:rsidRDefault="009800B4" w:rsidP="005A2322">
      <w:pPr>
        <w:pStyle w:val="ListBullet"/>
        <w:numPr>
          <w:ilvl w:val="0"/>
          <w:numId w:val="15"/>
        </w:numPr>
      </w:pPr>
      <w:r>
        <w:t xml:space="preserve">installation and commissioning costs </w:t>
      </w:r>
    </w:p>
    <w:p w14:paraId="6BE905E4" w14:textId="38A881A2" w:rsidR="00D300CB" w:rsidRDefault="00D300CB" w:rsidP="005A2322">
      <w:pPr>
        <w:pStyle w:val="ListBullet"/>
        <w:numPr>
          <w:ilvl w:val="0"/>
          <w:numId w:val="15"/>
        </w:numPr>
      </w:pPr>
      <w:r>
        <w:t>marketing and communication costs</w:t>
      </w:r>
    </w:p>
    <w:p w14:paraId="7F6C1145" w14:textId="6858767D" w:rsidR="008A5574" w:rsidRDefault="008A5574" w:rsidP="005A2322">
      <w:pPr>
        <w:pStyle w:val="ListBullet"/>
        <w:numPr>
          <w:ilvl w:val="0"/>
          <w:numId w:val="15"/>
        </w:numPr>
      </w:pPr>
      <w:r>
        <w:t>staff training that directly supports the achievement of project outcomes</w:t>
      </w:r>
    </w:p>
    <w:p w14:paraId="68C190EB" w14:textId="3A4190ED" w:rsidR="008253A5" w:rsidRDefault="008A5574" w:rsidP="005A2322">
      <w:pPr>
        <w:pStyle w:val="ListBullet"/>
        <w:numPr>
          <w:ilvl w:val="0"/>
          <w:numId w:val="15"/>
        </w:numPr>
      </w:pPr>
      <w:r>
        <w:t xml:space="preserve">domestic </w:t>
      </w:r>
      <w:r w:rsidR="009800B4">
        <w:t xml:space="preserve">and overseas </w:t>
      </w:r>
      <w:r>
        <w:t xml:space="preserve">travel limited to the reasonable cost of accommodation and transportation required to conduct the agreed project and collaboration activities </w:t>
      </w:r>
    </w:p>
    <w:p w14:paraId="4B2951F0" w14:textId="76286FB2" w:rsidR="008253A5" w:rsidRDefault="008A5574" w:rsidP="005A2322">
      <w:pPr>
        <w:pStyle w:val="ListBullet"/>
        <w:numPr>
          <w:ilvl w:val="0"/>
          <w:numId w:val="15"/>
        </w:numPr>
      </w:pPr>
      <w:r>
        <w:t>the cost of an independent audit of project expenditure up to a maximum of 1% of total eligible project expenditure</w:t>
      </w:r>
      <w:r w:rsidR="009875BB">
        <w:t xml:space="preserve">. </w:t>
      </w:r>
      <w:r w:rsidR="009875BB" w:rsidRPr="009875BB">
        <w:t>Projects with a total value over $500,000 (excluding GST) will be required to complete an independent audit</w:t>
      </w:r>
    </w:p>
    <w:p w14:paraId="23D92007" w14:textId="18CF2FC4" w:rsidR="008A5574" w:rsidRDefault="008A5574" w:rsidP="005A2322">
      <w:pPr>
        <w:pStyle w:val="ListBullet"/>
        <w:numPr>
          <w:ilvl w:val="0"/>
          <w:numId w:val="15"/>
        </w:numPr>
      </w:pPr>
      <w:r>
        <w:t>other eligible expenditure as approved by the program delegate (who is an AusIndustry manager within the department with responsibility for the program)</w:t>
      </w:r>
      <w:r w:rsidR="00800009">
        <w:t>.</w:t>
      </w:r>
    </w:p>
    <w:p w14:paraId="5BAE64AA" w14:textId="77777777" w:rsidR="008A5574" w:rsidRDefault="008A5574" w:rsidP="008A5574">
      <w:pPr>
        <w:pStyle w:val="ListBullet"/>
        <w:numPr>
          <w:ilvl w:val="0"/>
          <w:numId w:val="0"/>
        </w:numPr>
        <w:spacing w:after="120"/>
      </w:pPr>
      <w:r>
        <w:t>Not all expenditure on your project may be eligible for grant funding. The program delegate makes the final decision on what is eligible expenditure and may give additional guidance on eligible expenditure if required.</w:t>
      </w:r>
    </w:p>
    <w:p w14:paraId="4C58A978" w14:textId="77777777" w:rsidR="008A5574" w:rsidRDefault="008A5574" w:rsidP="008A5574">
      <w:pPr>
        <w:spacing w:after="80"/>
      </w:pPr>
      <w:r>
        <w:t>To be eligible, expenditure must:</w:t>
      </w:r>
    </w:p>
    <w:p w14:paraId="006A4706" w14:textId="77777777" w:rsidR="008A5574" w:rsidRDefault="008A5574" w:rsidP="00405923">
      <w:pPr>
        <w:pStyle w:val="ListBullet"/>
        <w:numPr>
          <w:ilvl w:val="0"/>
          <w:numId w:val="15"/>
        </w:numPr>
      </w:pPr>
      <w:r>
        <w:t>be a direct cost of the project</w:t>
      </w:r>
    </w:p>
    <w:p w14:paraId="08337046" w14:textId="77777777" w:rsidR="008A5574" w:rsidRDefault="008A5574" w:rsidP="00405923">
      <w:pPr>
        <w:pStyle w:val="ListBullet"/>
        <w:numPr>
          <w:ilvl w:val="0"/>
          <w:numId w:val="15"/>
        </w:numPr>
        <w:spacing w:after="120"/>
      </w:pPr>
      <w:r>
        <w:t>be incurred by you for required project audit activities.</w:t>
      </w:r>
    </w:p>
    <w:p w14:paraId="3866DEA9" w14:textId="73BECE05" w:rsidR="008A5574" w:rsidRDefault="008A5574" w:rsidP="008A5574">
      <w:pPr>
        <w:pStyle w:val="ListBullet"/>
        <w:numPr>
          <w:ilvl w:val="0"/>
          <w:numId w:val="0"/>
        </w:numPr>
        <w:spacing w:after="120"/>
      </w:pPr>
      <w:r>
        <w:t>You must incur the project expenditure between the project start and end date for it to be eligible.</w:t>
      </w:r>
    </w:p>
    <w:p w14:paraId="236F056A" w14:textId="109394B9" w:rsidR="000A39AF" w:rsidRDefault="00794E70" w:rsidP="007F5EBC">
      <w:pPr>
        <w:pStyle w:val="ListBullet"/>
        <w:numPr>
          <w:ilvl w:val="0"/>
          <w:numId w:val="0"/>
        </w:numPr>
        <w:spacing w:after="120"/>
      </w:pPr>
      <w:r w:rsidRPr="00FA307C">
        <w:t>You may elect to commence your project from the date we notify you that your application is successful. We are not responsible for any expenditure you i</w:t>
      </w:r>
      <w:r w:rsidR="00841ACF">
        <w:t xml:space="preserve">ncur until a grant agreement is </w:t>
      </w:r>
      <w:r w:rsidRPr="00FA307C">
        <w:t>executed. The Commonwealth will not be liable, and should not be held out as being liable, for any activities undertaken before the grant agreement is executed.</w:t>
      </w:r>
      <w:r w:rsidR="008A5574" w:rsidRPr="005A61FE">
        <w:t xml:space="preserve"> </w:t>
      </w:r>
      <w:bookmarkStart w:id="102" w:name="_Toc51230429"/>
      <w:bookmarkStart w:id="103" w:name="_Toc51230483"/>
    </w:p>
    <w:p w14:paraId="3CD7D84F" w14:textId="2026C1BF" w:rsidR="00E3085F" w:rsidRDefault="005C7680" w:rsidP="00174696">
      <w:pPr>
        <w:pStyle w:val="Heading3"/>
      </w:pPr>
      <w:r w:rsidRPr="005A61FE">
        <w:t xml:space="preserve">What </w:t>
      </w:r>
      <w:r w:rsidR="008E0A14" w:rsidRPr="005A61FE">
        <w:t>you</w:t>
      </w:r>
      <w:r w:rsidRPr="005A61FE">
        <w:t xml:space="preserve"> cannot </w:t>
      </w:r>
      <w:r w:rsidR="008E0A14" w:rsidRPr="005A61FE">
        <w:t xml:space="preserve">use the </w:t>
      </w:r>
      <w:r w:rsidRPr="005A61FE">
        <w:t>grant for</w:t>
      </w:r>
      <w:bookmarkEnd w:id="99"/>
      <w:bookmarkEnd w:id="100"/>
      <w:bookmarkEnd w:id="101"/>
      <w:bookmarkEnd w:id="102"/>
      <w:bookmarkEnd w:id="103"/>
    </w:p>
    <w:p w14:paraId="08DF0F12" w14:textId="22ED11CF" w:rsidR="008A5574" w:rsidRDefault="008A5574" w:rsidP="008A5574">
      <w:pPr>
        <w:spacing w:after="80"/>
      </w:pPr>
      <w:bookmarkStart w:id="104" w:name="_Toc955301"/>
      <w:bookmarkStart w:id="105" w:name="_Toc496536664"/>
      <w:bookmarkStart w:id="106" w:name="_Toc531277491"/>
      <w:r>
        <w:t>Expenditure items that are not eligible include but are not limited to:</w:t>
      </w:r>
    </w:p>
    <w:p w14:paraId="02AB50E7" w14:textId="77777777" w:rsidR="009C59E0" w:rsidRDefault="009C59E0" w:rsidP="009C59E0">
      <w:pPr>
        <w:pStyle w:val="ListBullet"/>
      </w:pPr>
      <w:r>
        <w:t>business as usual expenses, or maintenance costs</w:t>
      </w:r>
    </w:p>
    <w:p w14:paraId="014B5D34" w14:textId="77777777" w:rsidR="009C59E0" w:rsidRPr="00E162FF" w:rsidRDefault="009C59E0" w:rsidP="009C59E0">
      <w:pPr>
        <w:pStyle w:val="ListBullet"/>
      </w:pPr>
      <w:r w:rsidRPr="00E162FF">
        <w:lastRenderedPageBreak/>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7051CB13" w14:textId="6AE10584" w:rsidR="008A5574" w:rsidRDefault="009C59E0" w:rsidP="00531FF5">
      <w:pPr>
        <w:pStyle w:val="ListBullet"/>
      </w:pPr>
      <w:r>
        <w:t xml:space="preserve">non project-related costs, costs associated with ineligible activities, or </w:t>
      </w:r>
      <w:r w:rsidR="008A5574">
        <w:t>any ongoing costs beyond the term of the grant</w:t>
      </w:r>
    </w:p>
    <w:p w14:paraId="7CB0AFF9" w14:textId="77777777" w:rsidR="00EC1559" w:rsidRPr="00E162FF" w:rsidRDefault="00EC1559" w:rsidP="00EC1559">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5222F55A" w14:textId="77777777" w:rsidR="008A5574" w:rsidRDefault="008A5574" w:rsidP="00405923">
      <w:pPr>
        <w:pStyle w:val="ListBullet"/>
        <w:numPr>
          <w:ilvl w:val="0"/>
          <w:numId w:val="15"/>
        </w:numPr>
      </w:pPr>
      <w:r>
        <w:t>research not directly supporting eligible activities</w:t>
      </w:r>
    </w:p>
    <w:p w14:paraId="731A9C54" w14:textId="77777777" w:rsidR="008A5574" w:rsidRDefault="008A5574" w:rsidP="00405923">
      <w:pPr>
        <w:pStyle w:val="ListBullet"/>
        <w:numPr>
          <w:ilvl w:val="0"/>
          <w:numId w:val="15"/>
        </w:numPr>
      </w:pPr>
      <w:r>
        <w:t>non-project-related staff training and development costs</w:t>
      </w:r>
    </w:p>
    <w:p w14:paraId="5EEC311C" w14:textId="1B15E943" w:rsidR="008A5574" w:rsidRDefault="008A5574" w:rsidP="00405923">
      <w:pPr>
        <w:pStyle w:val="ListBullet"/>
        <w:numPr>
          <w:ilvl w:val="0"/>
          <w:numId w:val="15"/>
        </w:numPr>
      </w:pPr>
      <w:r>
        <w:t>licensing fees paid to Australian government bodies, for example the Australian Media and Communications Authority (ACMA)</w:t>
      </w:r>
    </w:p>
    <w:p w14:paraId="7814660F" w14:textId="6A4326D2" w:rsidR="006A301A" w:rsidRDefault="00D33DC9" w:rsidP="00405923">
      <w:pPr>
        <w:pStyle w:val="ListBullet"/>
        <w:numPr>
          <w:ilvl w:val="0"/>
          <w:numId w:val="15"/>
        </w:numPr>
      </w:pPr>
      <w:r>
        <w:t>a</w:t>
      </w:r>
      <w:r w:rsidR="006A301A">
        <w:t xml:space="preserve">ccreditation </w:t>
      </w:r>
      <w:r>
        <w:t>costs</w:t>
      </w:r>
    </w:p>
    <w:p w14:paraId="6F3B9309" w14:textId="77777777" w:rsidR="008A5574" w:rsidRDefault="008A5574" w:rsidP="00405923">
      <w:pPr>
        <w:pStyle w:val="ListBullet"/>
        <w:numPr>
          <w:ilvl w:val="0"/>
          <w:numId w:val="15"/>
        </w:numPr>
      </w:pPr>
      <w:r>
        <w:t>costs related to preparing the grant application, preparing any project reports (except costs of independent audit reports we require) and preparing any project variation requests.</w:t>
      </w:r>
    </w:p>
    <w:p w14:paraId="25F6526D" w14:textId="18B12F91" w:rsidR="0039610D" w:rsidRPr="00747B26" w:rsidRDefault="0036055C" w:rsidP="00B400E6">
      <w:pPr>
        <w:pStyle w:val="Heading2"/>
      </w:pPr>
      <w:bookmarkStart w:id="107" w:name="_Toc51230430"/>
      <w:bookmarkStart w:id="108" w:name="_Toc51230484"/>
      <w:r>
        <w:t xml:space="preserve">The </w:t>
      </w:r>
      <w:r w:rsidR="00E93B21">
        <w:t>assessment</w:t>
      </w:r>
      <w:r w:rsidR="0053412C">
        <w:t xml:space="preserve"> </w:t>
      </w:r>
      <w:r>
        <w:t>criteria</w:t>
      </w:r>
      <w:bookmarkEnd w:id="104"/>
      <w:bookmarkEnd w:id="105"/>
      <w:bookmarkEnd w:id="106"/>
      <w:bookmarkEnd w:id="107"/>
      <w:bookmarkEnd w:id="108"/>
    </w:p>
    <w:p w14:paraId="24C54D8E" w14:textId="77777777" w:rsidR="008A5574" w:rsidRDefault="008A5574" w:rsidP="008A5574">
      <w:bookmarkStart w:id="109" w:name="_Toc496536665"/>
      <w:bookmarkStart w:id="110" w:name="_Toc531277492"/>
      <w:bookmarkStart w:id="111" w:name="_Toc955302"/>
      <w:r>
        <w:t>You must address all assessment criteria in your application. We will assess your application based on the weighting given to each criterion.</w:t>
      </w:r>
    </w:p>
    <w:p w14:paraId="403D18C7" w14:textId="77777777" w:rsidR="008A5574" w:rsidRDefault="008A5574" w:rsidP="008A5574">
      <w:r>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size limits for answers.</w:t>
      </w:r>
    </w:p>
    <w:p w14:paraId="02EC5C1E" w14:textId="77777777" w:rsidR="008A5574" w:rsidRDefault="008A5574" w:rsidP="008A5574">
      <w:r>
        <w:t>We will only consider funding applications that score at least 50 per cent against each assessment criterion, as these represent best value for money.</w:t>
      </w:r>
    </w:p>
    <w:p w14:paraId="25F65272" w14:textId="0069714C" w:rsidR="0039610D" w:rsidRPr="00AD742E" w:rsidRDefault="001475D6" w:rsidP="00174696">
      <w:pPr>
        <w:pStyle w:val="Heading3"/>
      </w:pPr>
      <w:bookmarkStart w:id="112" w:name="_Toc51230431"/>
      <w:bookmarkStart w:id="113" w:name="_Toc51230485"/>
      <w:r>
        <w:t>Assessment</w:t>
      </w:r>
      <w:r w:rsidR="0039610D" w:rsidRPr="00AD742E">
        <w:t xml:space="preserve"> </w:t>
      </w:r>
      <w:r w:rsidR="003D09C5">
        <w:t>c</w:t>
      </w:r>
      <w:r w:rsidR="003D09C5" w:rsidRPr="00AD742E">
        <w:t xml:space="preserve">riterion </w:t>
      </w:r>
      <w:r w:rsidR="0039610D" w:rsidRPr="00AD742E">
        <w:t>1</w:t>
      </w:r>
      <w:bookmarkEnd w:id="109"/>
      <w:bookmarkEnd w:id="110"/>
      <w:bookmarkEnd w:id="111"/>
      <w:bookmarkEnd w:id="112"/>
      <w:bookmarkEnd w:id="113"/>
    </w:p>
    <w:p w14:paraId="25F65273" w14:textId="24DBE46A" w:rsidR="0039610D" w:rsidRDefault="005875EA" w:rsidP="00115C6B">
      <w:pPr>
        <w:pStyle w:val="Normalbold"/>
      </w:pPr>
      <w:r>
        <w:t>H</w:t>
      </w:r>
      <w:r w:rsidR="008A5574">
        <w:t xml:space="preserve">ow your project will </w:t>
      </w:r>
      <w:r w:rsidR="00004724">
        <w:t xml:space="preserve">improve </w:t>
      </w:r>
      <w:r w:rsidR="008A5574">
        <w:t xml:space="preserve">space payload qualification </w:t>
      </w:r>
      <w:r w:rsidR="00004724">
        <w:t xml:space="preserve">in Australia </w:t>
      </w:r>
      <w:r w:rsidR="008A5574">
        <w:t>(40 points)</w:t>
      </w:r>
      <w:r w:rsidR="0039610D" w:rsidRPr="00E162FF">
        <w:t>.</w:t>
      </w:r>
    </w:p>
    <w:p w14:paraId="25F65274" w14:textId="4D37C8F0" w:rsidR="00E03219" w:rsidRDefault="008A5574" w:rsidP="008A5574">
      <w:pPr>
        <w:pStyle w:val="ListNumber2"/>
        <w:tabs>
          <w:tab w:val="left" w:pos="720"/>
        </w:tabs>
        <w:ind w:left="0" w:firstLine="0"/>
      </w:pPr>
      <w:r>
        <w:rPr>
          <w:rFonts w:cs="Arial"/>
        </w:rPr>
        <w:t>Describe</w:t>
      </w:r>
      <w:r w:rsidR="008E1A2B">
        <w:rPr>
          <w:rFonts w:cs="Arial"/>
        </w:rPr>
        <w:t xml:space="preserve"> your approach to </w:t>
      </w:r>
      <w:r w:rsidR="009C59E0">
        <w:rPr>
          <w:rFonts w:cs="Arial"/>
        </w:rPr>
        <w:t xml:space="preserve">improving </w:t>
      </w:r>
      <w:r w:rsidR="00004724">
        <w:rPr>
          <w:rFonts w:cs="Arial"/>
        </w:rPr>
        <w:t xml:space="preserve">Australian </w:t>
      </w:r>
      <w:r>
        <w:rPr>
          <w:rFonts w:cs="Arial"/>
        </w:rPr>
        <w:t xml:space="preserve">space payload qualification </w:t>
      </w:r>
      <w:r w:rsidR="00004724">
        <w:rPr>
          <w:rFonts w:cs="Arial"/>
        </w:rPr>
        <w:t xml:space="preserve">and </w:t>
      </w:r>
      <w:r>
        <w:rPr>
          <w:rFonts w:cs="Arial"/>
        </w:rPr>
        <w:t>provide information that demonstrates how your project will:</w:t>
      </w:r>
    </w:p>
    <w:p w14:paraId="44AECD69" w14:textId="5F6FFB25" w:rsidR="004A5E41" w:rsidRDefault="001E1FD1" w:rsidP="00AF1826">
      <w:pPr>
        <w:pStyle w:val="ListNumber2"/>
        <w:numPr>
          <w:ilvl w:val="0"/>
          <w:numId w:val="45"/>
        </w:numPr>
        <w:tabs>
          <w:tab w:val="left" w:pos="720"/>
        </w:tabs>
      </w:pPr>
      <w:r>
        <w:t xml:space="preserve">increase </w:t>
      </w:r>
      <w:r w:rsidR="00AA7915" w:rsidRPr="00776F2A">
        <w:t xml:space="preserve">niche and/or unique </w:t>
      </w:r>
      <w:r w:rsidR="007F765F">
        <w:t xml:space="preserve">Level 2 </w:t>
      </w:r>
      <w:r>
        <w:t xml:space="preserve">or 3 </w:t>
      </w:r>
      <w:r w:rsidR="001C037B">
        <w:t xml:space="preserve">qualification </w:t>
      </w:r>
      <w:r>
        <w:t xml:space="preserve">capacity and </w:t>
      </w:r>
      <w:r w:rsidR="007F765F">
        <w:t>capability in Australia</w:t>
      </w:r>
      <w:r w:rsidR="001C037B">
        <w:t xml:space="preserve"> </w:t>
      </w:r>
    </w:p>
    <w:p w14:paraId="26530A82" w14:textId="4D3BB53C" w:rsidR="00804963" w:rsidRDefault="00C4456A" w:rsidP="00AF1826">
      <w:pPr>
        <w:pStyle w:val="ListNumber2"/>
        <w:numPr>
          <w:ilvl w:val="0"/>
          <w:numId w:val="45"/>
        </w:numPr>
        <w:tabs>
          <w:tab w:val="left" w:pos="720"/>
        </w:tabs>
      </w:pPr>
      <w:r>
        <w:t>provide</w:t>
      </w:r>
      <w:r w:rsidR="00804963" w:rsidDel="00F00C2E">
        <w:t xml:space="preserve"> </w:t>
      </w:r>
      <w:r w:rsidR="00804963">
        <w:t xml:space="preserve">access and availability of </w:t>
      </w:r>
      <w:r w:rsidR="00804963" w:rsidRPr="00776F2A">
        <w:t xml:space="preserve">niche and/or unique </w:t>
      </w:r>
      <w:r w:rsidR="00804963">
        <w:t xml:space="preserve">Level 2 and/or Level 3 qualification capability for the Australian and </w:t>
      </w:r>
      <w:r w:rsidR="008830A1">
        <w:t xml:space="preserve">international </w:t>
      </w:r>
      <w:r w:rsidR="00804963">
        <w:t>space sector</w:t>
      </w:r>
    </w:p>
    <w:p w14:paraId="223C3F57" w14:textId="263A75D3" w:rsidR="00EB0911" w:rsidRDefault="00840CB5" w:rsidP="00AF1826">
      <w:pPr>
        <w:pStyle w:val="ListNumber2"/>
        <w:numPr>
          <w:ilvl w:val="0"/>
          <w:numId w:val="45"/>
        </w:numPr>
        <w:tabs>
          <w:tab w:val="left" w:pos="720"/>
        </w:tabs>
      </w:pPr>
      <w:r>
        <w:t>complement and coordinate with existing</w:t>
      </w:r>
      <w:r w:rsidR="00620CBD">
        <w:t xml:space="preserve"> space payload </w:t>
      </w:r>
      <w:r w:rsidR="00620CBD" w:rsidRPr="00D07B14">
        <w:t>qualification</w:t>
      </w:r>
      <w:r w:rsidR="00620CBD">
        <w:t xml:space="preserve"> facilities in Australia.</w:t>
      </w:r>
    </w:p>
    <w:p w14:paraId="3FB335EC" w14:textId="6D24A601" w:rsidR="00845D1E" w:rsidRDefault="00845D1E" w:rsidP="00174696">
      <w:pPr>
        <w:pStyle w:val="Heading3"/>
      </w:pPr>
      <w:bookmarkStart w:id="114" w:name="_Toc49334542"/>
      <w:bookmarkStart w:id="115" w:name="_Toc49334547"/>
      <w:bookmarkStart w:id="116" w:name="_Toc51230432"/>
      <w:bookmarkStart w:id="117" w:name="_Toc51230486"/>
      <w:bookmarkStart w:id="118" w:name="_Toc496536667"/>
      <w:bookmarkStart w:id="119" w:name="_Toc531277494"/>
      <w:bookmarkStart w:id="120" w:name="_Toc955304"/>
      <w:bookmarkEnd w:id="114"/>
      <w:bookmarkEnd w:id="115"/>
      <w:r>
        <w:t xml:space="preserve">Assessment criterion </w:t>
      </w:r>
      <w:r w:rsidR="00B73041">
        <w:t>2</w:t>
      </w:r>
      <w:bookmarkEnd w:id="116"/>
      <w:bookmarkEnd w:id="117"/>
    </w:p>
    <w:p w14:paraId="00F9803E" w14:textId="2C6759F4" w:rsidR="00845D1E" w:rsidRDefault="005875EA" w:rsidP="00EB6BB0">
      <w:pPr>
        <w:pStyle w:val="Normalbold"/>
        <w:tabs>
          <w:tab w:val="right" w:pos="8788"/>
        </w:tabs>
      </w:pPr>
      <w:bookmarkStart w:id="121" w:name="_Toc955305"/>
      <w:bookmarkStart w:id="122" w:name="_Toc531277495"/>
      <w:bookmarkStart w:id="123" w:name="_Toc496536668"/>
      <w:bookmarkStart w:id="124" w:name="_Toc496536669"/>
      <w:bookmarkStart w:id="125" w:name="_Toc531277496"/>
      <w:bookmarkStart w:id="126" w:name="_Toc955306"/>
      <w:bookmarkStart w:id="127" w:name="_Toc164844283"/>
      <w:bookmarkStart w:id="128" w:name="_Toc383003272"/>
      <w:bookmarkEnd w:id="87"/>
      <w:bookmarkEnd w:id="88"/>
      <w:bookmarkEnd w:id="118"/>
      <w:bookmarkEnd w:id="119"/>
      <w:bookmarkEnd w:id="120"/>
      <w:r>
        <w:t>Y</w:t>
      </w:r>
      <w:r w:rsidR="00845D1E">
        <w:t>our capacity, capability and resources to deliver the project (30 points).</w:t>
      </w:r>
      <w:r w:rsidR="00FB183E">
        <w:tab/>
      </w:r>
    </w:p>
    <w:bookmarkEnd w:id="121"/>
    <w:bookmarkEnd w:id="122"/>
    <w:bookmarkEnd w:id="123"/>
    <w:p w14:paraId="7EB9741B" w14:textId="77777777" w:rsidR="00845D1E" w:rsidRDefault="00845D1E" w:rsidP="00845D1E">
      <w:pPr>
        <w:pStyle w:val="ListNumber2"/>
        <w:tabs>
          <w:tab w:val="left" w:pos="720"/>
        </w:tabs>
      </w:pPr>
      <w:r>
        <w:t>You should demonstrate this by describing:</w:t>
      </w:r>
    </w:p>
    <w:p w14:paraId="4B144024" w14:textId="164B02B9" w:rsidR="005E4299" w:rsidRDefault="00845D1E" w:rsidP="00AF1826">
      <w:pPr>
        <w:pStyle w:val="ListNumber2"/>
        <w:numPr>
          <w:ilvl w:val="0"/>
          <w:numId w:val="48"/>
        </w:numPr>
        <w:tabs>
          <w:tab w:val="left" w:pos="720"/>
        </w:tabs>
      </w:pPr>
      <w:r>
        <w:t xml:space="preserve">your track record in managing similar projects, </w:t>
      </w:r>
      <w:r w:rsidR="00F1330E">
        <w:t xml:space="preserve">including </w:t>
      </w:r>
      <w:r>
        <w:t>your access to</w:t>
      </w:r>
      <w:r w:rsidR="00D26A4B">
        <w:t xml:space="preserve"> relevant skills, experience, </w:t>
      </w:r>
      <w:r w:rsidR="00417A7C">
        <w:t>networks, i</w:t>
      </w:r>
      <w:r>
        <w:t>nfrastructure, technology and intellectual property</w:t>
      </w:r>
    </w:p>
    <w:p w14:paraId="6736EA20" w14:textId="651EDC53" w:rsidR="00681606" w:rsidRDefault="00681606" w:rsidP="00AF1826">
      <w:pPr>
        <w:pStyle w:val="ListNumber2"/>
        <w:numPr>
          <w:ilvl w:val="0"/>
          <w:numId w:val="48"/>
        </w:numPr>
        <w:tabs>
          <w:tab w:val="left" w:pos="720"/>
        </w:tabs>
      </w:pPr>
      <w:r>
        <w:t>your project plan, including your plan to:</w:t>
      </w:r>
    </w:p>
    <w:p w14:paraId="40C0BFAB" w14:textId="77777777" w:rsidR="00681606" w:rsidRDefault="00681606" w:rsidP="00681606">
      <w:pPr>
        <w:pStyle w:val="ListNumber2"/>
        <w:numPr>
          <w:ilvl w:val="1"/>
          <w:numId w:val="8"/>
        </w:numPr>
        <w:tabs>
          <w:tab w:val="left" w:pos="720"/>
        </w:tabs>
      </w:pPr>
      <w:r>
        <w:t>manage the project including scope, implementation methodology and timeframes</w:t>
      </w:r>
    </w:p>
    <w:p w14:paraId="505B7EFE" w14:textId="6F2A9813" w:rsidR="00681606" w:rsidRDefault="00681606" w:rsidP="00681606">
      <w:pPr>
        <w:pStyle w:val="ListNumber2"/>
        <w:numPr>
          <w:ilvl w:val="1"/>
          <w:numId w:val="8"/>
        </w:numPr>
        <w:tabs>
          <w:tab w:val="left" w:pos="720"/>
        </w:tabs>
      </w:pPr>
      <w:r>
        <w:t xml:space="preserve">mitigate </w:t>
      </w:r>
      <w:r w:rsidR="00DB45A1">
        <w:t xml:space="preserve">cyber security and </w:t>
      </w:r>
      <w:r>
        <w:t>national security risks, including potential for foreign interference, in the establishment and on-going operations of the centre</w:t>
      </w:r>
    </w:p>
    <w:p w14:paraId="6123AA6B" w14:textId="39A2BE24" w:rsidR="00681606" w:rsidRDefault="00681606" w:rsidP="00681606">
      <w:pPr>
        <w:pStyle w:val="ListNumber2"/>
        <w:numPr>
          <w:ilvl w:val="1"/>
          <w:numId w:val="8"/>
        </w:numPr>
        <w:tabs>
          <w:tab w:val="left" w:pos="720"/>
        </w:tabs>
      </w:pPr>
      <w:r>
        <w:lastRenderedPageBreak/>
        <w:t>secure required regulatory or other approvals</w:t>
      </w:r>
      <w:r w:rsidR="00C70DD4">
        <w:t>.</w:t>
      </w:r>
    </w:p>
    <w:p w14:paraId="4DCAF9E0" w14:textId="5A9F5BF5" w:rsidR="006031FD" w:rsidRDefault="00D33DC9" w:rsidP="00405923">
      <w:pPr>
        <w:pStyle w:val="ListNumber2"/>
        <w:numPr>
          <w:ilvl w:val="0"/>
          <w:numId w:val="17"/>
        </w:numPr>
      </w:pPr>
      <w:r>
        <w:t xml:space="preserve">how your project meets international best practice for testing and/or qualification, including alignment with relevant standards or accreditations that may be achieved in the </w:t>
      </w:r>
      <w:r w:rsidRPr="00B65AD5">
        <w:t>future</w:t>
      </w:r>
      <w:r w:rsidRPr="00B65AD5" w:rsidDel="00D33DC9">
        <w:t xml:space="preserve"> </w:t>
      </w:r>
    </w:p>
    <w:p w14:paraId="5198D391" w14:textId="27ECB633" w:rsidR="00CB61C0" w:rsidRDefault="00301D11" w:rsidP="00AF1826">
      <w:pPr>
        <w:pStyle w:val="ListNumber2"/>
        <w:numPr>
          <w:ilvl w:val="0"/>
          <w:numId w:val="17"/>
        </w:numPr>
      </w:pPr>
      <w:r>
        <w:t>y</w:t>
      </w:r>
      <w:r w:rsidR="00B65AD5">
        <w:t xml:space="preserve">our </w:t>
      </w:r>
      <w:r w:rsidR="00733B39">
        <w:t>ability to meet the future needs</w:t>
      </w:r>
      <w:r w:rsidR="00CB61C0">
        <w:t xml:space="preserve"> of the space industry </w:t>
      </w:r>
      <w:r w:rsidR="00CC6496">
        <w:t>and provide</w:t>
      </w:r>
      <w:r w:rsidR="00F917C2">
        <w:t xml:space="preserve"> financially </w:t>
      </w:r>
      <w:r w:rsidR="00CB61C0">
        <w:t>sustainab</w:t>
      </w:r>
      <w:r w:rsidR="00F917C2">
        <w:t>le space qualification services beyond the period of project funding.</w:t>
      </w:r>
      <w:r w:rsidR="00CB61C0">
        <w:t xml:space="preserve"> </w:t>
      </w:r>
    </w:p>
    <w:p w14:paraId="6FDE440C" w14:textId="77777777" w:rsidR="00053253" w:rsidRDefault="00845D1E" w:rsidP="00053253">
      <w:pPr>
        <w:pStyle w:val="ListNumber2"/>
        <w:tabs>
          <w:tab w:val="left" w:pos="720"/>
        </w:tabs>
        <w:ind w:left="0" w:firstLine="0"/>
      </w:pPr>
      <w:r>
        <w:t>You must make a strong case that you can effectively manage national security risk to be awarded funding.</w:t>
      </w:r>
      <w:bookmarkStart w:id="129" w:name="_Toc47698419"/>
      <w:bookmarkStart w:id="130" w:name="_Toc47705525"/>
      <w:bookmarkStart w:id="131" w:name="_Toc47707373"/>
      <w:bookmarkStart w:id="132" w:name="_Toc47705432"/>
    </w:p>
    <w:p w14:paraId="4C183142" w14:textId="2F6E56DF" w:rsidR="00844EF5" w:rsidRDefault="00844EF5" w:rsidP="00844EF5">
      <w:pPr>
        <w:pStyle w:val="ListNumber2"/>
        <w:tabs>
          <w:tab w:val="left" w:pos="720"/>
        </w:tabs>
        <w:ind w:left="0" w:firstLine="0"/>
      </w:pPr>
      <w:r>
        <w:t>You must attach a project plan and</w:t>
      </w:r>
      <w:r w:rsidR="00841ACF">
        <w:t xml:space="preserve"> budget to your application. T</w:t>
      </w:r>
      <w:r>
        <w:t xml:space="preserve">emplate </w:t>
      </w:r>
      <w:r w:rsidR="00841ACF">
        <w:t>are</w:t>
      </w:r>
      <w:r>
        <w:t xml:space="preserve"> available on business.gov.au and GrantConnect.</w:t>
      </w:r>
    </w:p>
    <w:p w14:paraId="35CA644B" w14:textId="3CE572A0" w:rsidR="00B73041" w:rsidRPr="00ED2E1A" w:rsidRDefault="00B73041" w:rsidP="00174696">
      <w:pPr>
        <w:pStyle w:val="Heading3"/>
      </w:pPr>
      <w:bookmarkStart w:id="133" w:name="_Toc51230433"/>
      <w:bookmarkStart w:id="134" w:name="_Toc51230487"/>
      <w:r>
        <w:t>Assessment</w:t>
      </w:r>
      <w:r w:rsidRPr="00ED2E1A">
        <w:t xml:space="preserve"> </w:t>
      </w:r>
      <w:r>
        <w:t>c</w:t>
      </w:r>
      <w:r w:rsidRPr="00ED2E1A">
        <w:t>riteri</w:t>
      </w:r>
      <w:r>
        <w:t xml:space="preserve">on </w:t>
      </w:r>
      <w:bookmarkEnd w:id="129"/>
      <w:bookmarkEnd w:id="130"/>
      <w:bookmarkEnd w:id="131"/>
      <w:r>
        <w:t>3</w:t>
      </w:r>
      <w:bookmarkEnd w:id="133"/>
      <w:bookmarkEnd w:id="134"/>
    </w:p>
    <w:bookmarkEnd w:id="132"/>
    <w:p w14:paraId="307653B5" w14:textId="5F4244C0" w:rsidR="00B73041" w:rsidRDefault="00B73041" w:rsidP="00B73041">
      <w:pPr>
        <w:pStyle w:val="Normalbold"/>
      </w:pPr>
      <w:r>
        <w:t>The impact of grant funding (</w:t>
      </w:r>
      <w:r w:rsidR="0030098A">
        <w:t>30</w:t>
      </w:r>
      <w:r>
        <w:t xml:space="preserve"> points) </w:t>
      </w:r>
    </w:p>
    <w:p w14:paraId="46762503" w14:textId="6F20B914" w:rsidR="00B73041" w:rsidRDefault="00B73041" w:rsidP="00053253">
      <w:pPr>
        <w:pStyle w:val="ListNumber2"/>
        <w:ind w:left="0" w:firstLine="0"/>
      </w:pPr>
      <w:r>
        <w:t>You should demonstrate this by describing:</w:t>
      </w:r>
    </w:p>
    <w:p w14:paraId="564DFABC" w14:textId="2E6EA3FB" w:rsidR="00961C5C" w:rsidRPr="000A39AF" w:rsidRDefault="004B0B8F" w:rsidP="00961C5C">
      <w:pPr>
        <w:pStyle w:val="ListNumber2"/>
        <w:numPr>
          <w:ilvl w:val="0"/>
          <w:numId w:val="9"/>
        </w:numPr>
      </w:pPr>
      <w:r w:rsidRPr="00C40180">
        <w:t>the</w:t>
      </w:r>
      <w:r w:rsidRPr="00C40180" w:rsidDel="00961C5C">
        <w:t xml:space="preserve"> </w:t>
      </w:r>
      <w:r w:rsidRPr="00C40180">
        <w:t xml:space="preserve">need/demand </w:t>
      </w:r>
      <w:r w:rsidR="00961C5C" w:rsidRPr="00C40180">
        <w:t xml:space="preserve">and industry support </w:t>
      </w:r>
      <w:r w:rsidRPr="00C40180">
        <w:t>for your project</w:t>
      </w:r>
      <w:r w:rsidR="006761BA">
        <w:t xml:space="preserve"> which could</w:t>
      </w:r>
      <w:r w:rsidR="00961C5C" w:rsidRPr="000A39AF">
        <w:t xml:space="preserve"> includ</w:t>
      </w:r>
      <w:r w:rsidR="006761BA">
        <w:t>e,</w:t>
      </w:r>
      <w:r w:rsidR="00961C5C" w:rsidRPr="000A39AF">
        <w:t xml:space="preserve"> but not limited to</w:t>
      </w:r>
      <w:r w:rsidR="006761BA">
        <w:t>,</w:t>
      </w:r>
      <w:r w:rsidR="00961C5C" w:rsidRPr="000A39AF">
        <w:t xml:space="preserve"> letters of support from </w:t>
      </w:r>
      <w:r w:rsidR="000A39AF">
        <w:t xml:space="preserve">the Australian </w:t>
      </w:r>
      <w:r w:rsidR="006761BA">
        <w:t xml:space="preserve">or international </w:t>
      </w:r>
      <w:r w:rsidR="000A39AF">
        <w:t xml:space="preserve">space sector </w:t>
      </w:r>
    </w:p>
    <w:p w14:paraId="3D76D143" w14:textId="04EE5BB7" w:rsidR="00B73041" w:rsidRDefault="00B73041" w:rsidP="00B73041">
      <w:pPr>
        <w:pStyle w:val="ListNumber2"/>
        <w:numPr>
          <w:ilvl w:val="0"/>
          <w:numId w:val="9"/>
        </w:numPr>
      </w:pPr>
      <w:r>
        <w:t xml:space="preserve">your need for funding and the value of the </w:t>
      </w:r>
      <w:r w:rsidR="00417A7C">
        <w:t>funding to your organisation</w:t>
      </w:r>
      <w:r>
        <w:t xml:space="preserve"> </w:t>
      </w:r>
    </w:p>
    <w:p w14:paraId="3FD11A88" w14:textId="4FA65187" w:rsidR="00B73041" w:rsidRDefault="00B73041" w:rsidP="005E4299">
      <w:pPr>
        <w:pStyle w:val="ListNumber2"/>
        <w:numPr>
          <w:ilvl w:val="0"/>
          <w:numId w:val="9"/>
        </w:numPr>
      </w:pPr>
      <w:r>
        <w:t>the broader national value of your</w:t>
      </w:r>
      <w:r w:rsidRPr="001B541E">
        <w:t xml:space="preserve"> project</w:t>
      </w:r>
      <w:r>
        <w:t xml:space="preserve">, </w:t>
      </w:r>
      <w:r w:rsidR="00C36449">
        <w:t xml:space="preserve">how it will benefit Australian space value chains, </w:t>
      </w:r>
      <w:r>
        <w:t>including</w:t>
      </w:r>
      <w:r w:rsidR="00DF327E">
        <w:t xml:space="preserve"> </w:t>
      </w:r>
      <w:r>
        <w:t>spill over effects in</w:t>
      </w:r>
      <w:r w:rsidR="00DF327E">
        <w:t xml:space="preserve">to other industry sectors, support for SMEs, growth of the economy </w:t>
      </w:r>
      <w:r>
        <w:t>and</w:t>
      </w:r>
      <w:r w:rsidR="00DF327E">
        <w:t>/or</w:t>
      </w:r>
      <w:r>
        <w:t xml:space="preserve"> employment growth</w:t>
      </w:r>
    </w:p>
    <w:p w14:paraId="3A6F6823" w14:textId="1DD803D2" w:rsidR="00E83F11" w:rsidRDefault="00E83F11" w:rsidP="005E4299">
      <w:pPr>
        <w:pStyle w:val="ListNumber2"/>
        <w:numPr>
          <w:ilvl w:val="0"/>
          <w:numId w:val="9"/>
        </w:numPr>
      </w:pPr>
      <w:r>
        <w:t xml:space="preserve">any additional investment </w:t>
      </w:r>
      <w:r w:rsidR="0004314A">
        <w:t xml:space="preserve">or contributions </w:t>
      </w:r>
      <w:r>
        <w:t>your project will leverage</w:t>
      </w:r>
      <w:r w:rsidR="0004314A">
        <w:t xml:space="preserve">, including support from </w:t>
      </w:r>
      <w:r w:rsidR="00E1228B">
        <w:t>State, Territory and/or local government</w:t>
      </w:r>
      <w:r>
        <w:t>.</w:t>
      </w:r>
    </w:p>
    <w:p w14:paraId="25F6529F" w14:textId="77777777" w:rsidR="00A71134" w:rsidRPr="00F77C1C" w:rsidRDefault="00A71134" w:rsidP="00B400E6">
      <w:pPr>
        <w:pStyle w:val="Heading2"/>
      </w:pPr>
      <w:bookmarkStart w:id="135" w:name="_Toc51230434"/>
      <w:bookmarkStart w:id="136" w:name="_Toc51230488"/>
      <w:r>
        <w:t>How to apply</w:t>
      </w:r>
      <w:bookmarkEnd w:id="124"/>
      <w:bookmarkEnd w:id="125"/>
      <w:bookmarkEnd w:id="126"/>
      <w:bookmarkEnd w:id="135"/>
      <w:bookmarkEnd w:id="136"/>
    </w:p>
    <w:p w14:paraId="25F652A2" w14:textId="07122034"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30098A">
        <w:t xml:space="preserve"> </w:t>
      </w:r>
      <w:r>
        <w:t xml:space="preserve">and the </w:t>
      </w:r>
      <w:r w:rsidR="00F27C1B">
        <w:t xml:space="preserve">sample </w:t>
      </w:r>
      <w:r w:rsidRPr="00C65E74">
        <w:rPr>
          <w:rStyle w:val="Hyperlink"/>
        </w:rPr>
        <w:t>grant agreement</w:t>
      </w:r>
      <w:r w:rsidR="0030098A">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1"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C7D313C" w:rsidR="00A71134" w:rsidRDefault="00A71134" w:rsidP="00A71134">
      <w:pPr>
        <w:pStyle w:val="ListBullet"/>
      </w:pPr>
      <w:r>
        <w:t xml:space="preserve">address all eligibility and </w:t>
      </w:r>
      <w:r w:rsidR="001475D6">
        <w:t>assessment</w:t>
      </w:r>
      <w:r>
        <w:t xml:space="preserve"> criteria </w:t>
      </w:r>
    </w:p>
    <w:p w14:paraId="25F652A8" w14:textId="0D291446" w:rsidR="00A71134" w:rsidRDefault="00387369" w:rsidP="00A71134">
      <w:pPr>
        <w:pStyle w:val="ListBullet"/>
      </w:pPr>
      <w:r>
        <w:t xml:space="preserve">include all </w:t>
      </w:r>
      <w:r w:rsidR="00A50607">
        <w:t xml:space="preserve">necessary </w:t>
      </w:r>
      <w:r w:rsidR="00A71134">
        <w:t>attachments</w:t>
      </w:r>
      <w:r w:rsidR="00E6411F">
        <w:t>.</w:t>
      </w:r>
    </w:p>
    <w:p w14:paraId="25F652AA" w14:textId="2A5A0CA0"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74696">
      <w:pPr>
        <w:pStyle w:val="Heading3"/>
      </w:pPr>
      <w:bookmarkStart w:id="137" w:name="_Toc496536670"/>
      <w:bookmarkStart w:id="138" w:name="_Toc531277497"/>
      <w:bookmarkStart w:id="139" w:name="_Toc955307"/>
      <w:bookmarkStart w:id="140" w:name="_Toc51230435"/>
      <w:bookmarkStart w:id="141" w:name="_Toc51230489"/>
      <w:r>
        <w:lastRenderedPageBreak/>
        <w:t>Attachments to the application</w:t>
      </w:r>
      <w:bookmarkEnd w:id="137"/>
      <w:bookmarkEnd w:id="138"/>
      <w:bookmarkEnd w:id="139"/>
      <w:bookmarkEnd w:id="140"/>
      <w:bookmarkEnd w:id="14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284D7A5" w14:textId="48492DC3" w:rsidR="00426509" w:rsidRDefault="00A71134" w:rsidP="00A71134">
      <w:pPr>
        <w:pStyle w:val="ListBullet"/>
        <w:numPr>
          <w:ilvl w:val="0"/>
          <w:numId w:val="7"/>
        </w:numPr>
      </w:pPr>
      <w:r>
        <w:t>project plan</w:t>
      </w:r>
      <w:r w:rsidR="00845D1E">
        <w:t xml:space="preserve"> </w:t>
      </w:r>
    </w:p>
    <w:p w14:paraId="25F652B2" w14:textId="7D51B6CB" w:rsidR="00A71134" w:rsidRDefault="00845D1E" w:rsidP="00A71134">
      <w:pPr>
        <w:pStyle w:val="ListBullet"/>
      </w:pPr>
      <w:r>
        <w:t>project budget</w:t>
      </w:r>
    </w:p>
    <w:p w14:paraId="25F652B5" w14:textId="2438856F" w:rsidR="00A71134" w:rsidRDefault="00A71134" w:rsidP="00A71134">
      <w:pPr>
        <w:pStyle w:val="ListBullet"/>
      </w:pPr>
      <w:r>
        <w:t>evidence of support from the board, CEO</w:t>
      </w:r>
      <w:r w:rsidR="005D3AD3">
        <w:t xml:space="preserve"> or equivalent</w:t>
      </w:r>
      <w:r w:rsidR="00284DC7">
        <w:t xml:space="preserve"> (template provided on </w:t>
      </w:r>
      <w:r w:rsidR="00284DC7" w:rsidRPr="001242ED">
        <w:rPr>
          <w:rStyle w:val="Hyperlink"/>
        </w:rPr>
        <w:t>business.gov.au</w:t>
      </w:r>
      <w:r w:rsidR="00284DC7">
        <w:t xml:space="preserve"> and </w:t>
      </w:r>
      <w:hyperlink r:id="rId23" w:history="1">
        <w:r w:rsidR="00284DC7" w:rsidRPr="005A61FE">
          <w:rPr>
            <w:rStyle w:val="Hyperlink"/>
          </w:rPr>
          <w:t>GrantConnect</w:t>
        </w:r>
      </w:hyperlink>
      <w:r w:rsidR="00284DC7" w:rsidRPr="005A61FE">
        <w:t>)</w:t>
      </w:r>
      <w:r w:rsidR="00284DC7">
        <w:t xml:space="preserve"> </w:t>
      </w:r>
    </w:p>
    <w:p w14:paraId="30FBE4E7" w14:textId="74C700DF" w:rsidR="004A3D07" w:rsidRDefault="00A71134" w:rsidP="00007E4B">
      <w:pPr>
        <w:pStyle w:val="ListBullet"/>
        <w:spacing w:after="120"/>
      </w:pPr>
      <w:r>
        <w:t>trust deed (where applicable</w:t>
      </w:r>
      <w:r w:rsidRPr="005A61FE">
        <w:t>)</w:t>
      </w:r>
      <w:r w:rsidR="00E6411F">
        <w:t>.</w:t>
      </w:r>
    </w:p>
    <w:p w14:paraId="20657BD8" w14:textId="15CE16AC" w:rsidR="008D1E14" w:rsidRDefault="008D1E14" w:rsidP="008D1E14">
      <w:r>
        <w:t>You may also provide the following attachments where relevant to your application:</w:t>
      </w:r>
    </w:p>
    <w:p w14:paraId="4F082DC1" w14:textId="60CDB8D0" w:rsidR="008D1E14" w:rsidRDefault="008D1E14" w:rsidP="008D1E14">
      <w:pPr>
        <w:pStyle w:val="ListBullet"/>
      </w:pPr>
      <w:r>
        <w:t>evidence of industry support.</w:t>
      </w:r>
    </w:p>
    <w:p w14:paraId="7B5566BE" w14:textId="49ACDD9B" w:rsidR="007D7C5C" w:rsidRDefault="00A71134" w:rsidP="007D7C5C">
      <w:pPr>
        <w:pStyle w:val="ListBullet"/>
        <w:numPr>
          <w:ilvl w:val="0"/>
          <w:numId w:val="0"/>
        </w:numPr>
      </w:pPr>
      <w:r>
        <w:t xml:space="preserve">You must attach supporting documentation </w:t>
      </w:r>
      <w:r w:rsidR="00E6411F">
        <w:t xml:space="preserve">with your </w:t>
      </w:r>
      <w:r>
        <w:t>application in line with the instructions provided within the form. You should only attach requested documents. We will not consider information in atta</w:t>
      </w:r>
      <w:r w:rsidR="00AB0259">
        <w:t>chments that we do not request.</w:t>
      </w:r>
      <w:r w:rsidR="007D7C5C" w:rsidRPr="007D7C5C">
        <w:t xml:space="preserve"> </w:t>
      </w:r>
    </w:p>
    <w:p w14:paraId="6007D096" w14:textId="77777777" w:rsidR="00A71134" w:rsidRDefault="004D2CBD" w:rsidP="00174696">
      <w:pPr>
        <w:pStyle w:val="Heading3"/>
      </w:pPr>
      <w:bookmarkStart w:id="142" w:name="_Ref531274879"/>
      <w:bookmarkStart w:id="143" w:name="_Toc531277498"/>
      <w:bookmarkStart w:id="144" w:name="_Toc955308"/>
      <w:bookmarkStart w:id="145" w:name="_Toc51230436"/>
      <w:bookmarkStart w:id="146" w:name="_Toc51230490"/>
      <w:bookmarkStart w:id="147" w:name="_Toc489952689"/>
      <w:bookmarkStart w:id="148" w:name="_Toc496536671"/>
      <w:bookmarkStart w:id="149" w:name="_Ref482605332"/>
      <w:r>
        <w:t>Joint applications</w:t>
      </w:r>
      <w:bookmarkEnd w:id="142"/>
      <w:bookmarkEnd w:id="143"/>
      <w:bookmarkEnd w:id="144"/>
      <w:bookmarkEnd w:id="145"/>
      <w:bookmarkEnd w:id="146"/>
    </w:p>
    <w:p w14:paraId="448E2736" w14:textId="3E82E43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094BDDA6" w:rsidR="00A71134" w:rsidRDefault="00A71134" w:rsidP="00653895">
      <w:pPr>
        <w:pStyle w:val="ListBullet"/>
        <w:spacing w:after="120"/>
      </w:pPr>
      <w:r>
        <w:t>details of a nominated management level contact officer</w:t>
      </w:r>
      <w:r w:rsidR="00845D1E">
        <w:t>.</w:t>
      </w:r>
    </w:p>
    <w:p w14:paraId="100CAD41" w14:textId="28259BCC" w:rsidR="00247D27" w:rsidRDefault="00247D27" w:rsidP="00174696">
      <w:pPr>
        <w:pStyle w:val="Heading3"/>
      </w:pPr>
      <w:bookmarkStart w:id="150" w:name="_Toc531277499"/>
      <w:bookmarkStart w:id="151" w:name="_Toc955309"/>
      <w:bookmarkStart w:id="152" w:name="_Toc51230437"/>
      <w:bookmarkStart w:id="153" w:name="_Toc51230491"/>
      <w:r>
        <w:t>Timing of grant opportunity</w:t>
      </w:r>
      <w:bookmarkEnd w:id="147"/>
      <w:bookmarkEnd w:id="148"/>
      <w:bookmarkEnd w:id="150"/>
      <w:bookmarkEnd w:id="151"/>
      <w:bookmarkEnd w:id="152"/>
      <w:bookmarkEnd w:id="153"/>
    </w:p>
    <w:p w14:paraId="067759AF" w14:textId="3E794986" w:rsidR="00D84D5B" w:rsidRPr="005A61FE" w:rsidRDefault="00247D27" w:rsidP="00845D1E">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54" w:name="_Toc467773968"/>
      <w:r w:rsidRPr="0054078D">
        <w:rPr>
          <w:bCs/>
        </w:rPr>
        <w:lastRenderedPageBreak/>
        <w:t>Table 1: Expected timing for this grant opportunity</w:t>
      </w:r>
      <w:bookmarkEnd w:id="15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87B301D" w:rsidR="00247D27" w:rsidRPr="00B16B54" w:rsidRDefault="00635460" w:rsidP="00845D1E">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C2F6D6D" w:rsidR="00247D27" w:rsidRPr="00B16B54" w:rsidRDefault="00247D27" w:rsidP="00845D1E">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4522553" w:rsidR="00247D27" w:rsidRPr="00B16B54" w:rsidRDefault="008F79B0" w:rsidP="00845D1E">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3CCD3FF" w:rsidR="00247D27" w:rsidRPr="00B16B54" w:rsidRDefault="00247D27" w:rsidP="00845D1E">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8675BEB" w:rsidR="00247D27" w:rsidRPr="00B16B54" w:rsidRDefault="00247D27" w:rsidP="00E16B7C">
            <w:pPr>
              <w:pStyle w:val="TableText"/>
              <w:keepNext/>
            </w:pPr>
            <w:r>
              <w:t>Earliest start date of grant a</w:t>
            </w:r>
            <w:r w:rsidRPr="00B16B54">
              <w:t>ctivity</w:t>
            </w:r>
          </w:p>
        </w:tc>
        <w:tc>
          <w:tcPr>
            <w:tcW w:w="3974" w:type="dxa"/>
          </w:tcPr>
          <w:p w14:paraId="23920C1F" w14:textId="55512B3D" w:rsidR="00247D27" w:rsidRPr="00B16B54" w:rsidRDefault="00E6411F" w:rsidP="00680B92">
            <w:pPr>
              <w:pStyle w:val="TableText"/>
              <w:keepNext/>
            </w:pPr>
            <w:r>
              <w:t>0</w:t>
            </w:r>
            <w:r w:rsidR="00DC30C1">
              <w:t>1/</w:t>
            </w:r>
            <w:r>
              <w:t>0</w:t>
            </w:r>
            <w:r w:rsidR="00331C16">
              <w:t>4</w:t>
            </w:r>
            <w:r w:rsidR="00DC30C1">
              <w:t>/202</w:t>
            </w:r>
            <w:r w:rsidR="008F79B0">
              <w:t>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223D60C" w:rsidR="00247D27" w:rsidRPr="007B3784" w:rsidRDefault="00845D1E" w:rsidP="005E4299">
            <w:pPr>
              <w:pStyle w:val="TableText"/>
              <w:keepNext/>
            </w:pPr>
            <w:r>
              <w:t>30/</w:t>
            </w:r>
            <w:r w:rsidR="005E4299">
              <w:t>04</w:t>
            </w:r>
            <w:r>
              <w:t>/2022</w:t>
            </w:r>
          </w:p>
        </w:tc>
      </w:tr>
    </w:tbl>
    <w:p w14:paraId="591417E1" w14:textId="59197CCA" w:rsidR="00247D27" w:rsidRPr="00AD742E" w:rsidRDefault="00247D27" w:rsidP="00B400E6">
      <w:pPr>
        <w:pStyle w:val="Heading2"/>
      </w:pPr>
      <w:bookmarkStart w:id="155" w:name="_Toc496536673"/>
      <w:bookmarkStart w:id="156" w:name="_Toc531277500"/>
      <w:bookmarkStart w:id="157" w:name="_Toc955310"/>
      <w:bookmarkStart w:id="158" w:name="_Toc51230438"/>
      <w:bookmarkStart w:id="159" w:name="_Toc51230492"/>
      <w:bookmarkEnd w:id="149"/>
      <w:r>
        <w:t xml:space="preserve">The </w:t>
      </w:r>
      <w:r w:rsidR="00E93B21">
        <w:t xml:space="preserve">grant </w:t>
      </w:r>
      <w:r>
        <w:t>selection process</w:t>
      </w:r>
      <w:bookmarkEnd w:id="155"/>
      <w:bookmarkEnd w:id="156"/>
      <w:bookmarkEnd w:id="157"/>
      <w:bookmarkEnd w:id="158"/>
      <w:bookmarkEnd w:id="159"/>
    </w:p>
    <w:p w14:paraId="08F496D4" w14:textId="27B8F863" w:rsidR="00247D27" w:rsidRDefault="00247D27" w:rsidP="00247D27">
      <w:r>
        <w:t>We</w:t>
      </w:r>
      <w:r w:rsidRPr="00E162FF">
        <w:t xml:space="preserve"> </w:t>
      </w:r>
      <w:r>
        <w:t>first</w:t>
      </w:r>
      <w:r w:rsidR="00B4763B">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B4763B">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32E5CF1F"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2D71B048" w14:textId="6275D077" w:rsidR="00B4763B" w:rsidRDefault="00B4763B" w:rsidP="00B4763B">
      <w:pPr>
        <w:pStyle w:val="ListBullet"/>
        <w:numPr>
          <w:ilvl w:val="0"/>
          <w:numId w:val="0"/>
        </w:numPr>
        <w:rPr>
          <w:iCs/>
        </w:rPr>
      </w:pPr>
      <w:bookmarkStart w:id="160" w:name="_Toc531277501"/>
      <w:bookmarkStart w:id="161" w:name="_Toc164844279"/>
      <w:bookmarkStart w:id="162" w:name="_Toc383003268"/>
      <w:bookmarkStart w:id="163" w:name="_Toc496536674"/>
      <w:bookmarkStart w:id="164" w:name="_Toc955311"/>
      <w:r>
        <w:t xml:space="preserve">We </w:t>
      </w:r>
      <w:r w:rsidR="00996149">
        <w:t>will establish a committee that has government and industry and/or space sector experience, including members from the Australian Space Agency. The committee may also have external experts and may seek additional advice from independent technical experts.</w:t>
      </w:r>
      <w:r w:rsidR="003B45E1" w:rsidRPr="003B45E1">
        <w:t xml:space="preserve"> </w:t>
      </w:r>
      <w:r w:rsidR="003B45E1">
        <w:t xml:space="preserve">All committee members, including any expert or advisor who is not a Commonwealth Official, will be expected to perform their duties in accordance with the </w:t>
      </w:r>
      <w:hyperlink r:id="rId24" w:history="1">
        <w:r w:rsidR="003B45E1" w:rsidRPr="002C62AA">
          <w:rPr>
            <w:rStyle w:val="Hyperlink"/>
            <w:i/>
          </w:rPr>
          <w:t>Commonwealth Grants Rules and Guidelines</w:t>
        </w:r>
      </w:hyperlink>
    </w:p>
    <w:p w14:paraId="7D8488C1" w14:textId="78D80964" w:rsidR="00B4763B" w:rsidRDefault="00B4763B" w:rsidP="00CC5970">
      <w:pPr>
        <w:pStyle w:val="ListBullet"/>
        <w:numPr>
          <w:ilvl w:val="0"/>
          <w:numId w:val="0"/>
        </w:numPr>
      </w:pPr>
      <w:r>
        <w:t>The committee will assess your application against the assessment criteria and compare it to other eligible applications before recommending which projects to fund.</w:t>
      </w:r>
      <w:r w:rsidR="003B45E1">
        <w:t xml:space="preserve"> </w:t>
      </w:r>
    </w:p>
    <w:p w14:paraId="607F42B5" w14:textId="77777777" w:rsidR="00B4763B" w:rsidRDefault="00B4763B" w:rsidP="00CC5970">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74696">
      <w:pPr>
        <w:pStyle w:val="Heading3"/>
      </w:pPr>
      <w:bookmarkStart w:id="165" w:name="_Toc51230439"/>
      <w:bookmarkStart w:id="166" w:name="_Toc51230493"/>
      <w:r w:rsidRPr="005A61FE">
        <w:t>Who will approve grants?</w:t>
      </w:r>
      <w:bookmarkEnd w:id="160"/>
      <w:bookmarkEnd w:id="161"/>
      <w:bookmarkEnd w:id="162"/>
      <w:bookmarkEnd w:id="163"/>
      <w:bookmarkEnd w:id="164"/>
      <w:bookmarkEnd w:id="165"/>
      <w:bookmarkEnd w:id="166"/>
    </w:p>
    <w:p w14:paraId="21CE6611" w14:textId="4F40A4E5" w:rsidR="00B4763B" w:rsidRDefault="00B4763B" w:rsidP="00B4763B">
      <w:bookmarkStart w:id="167" w:name="_Toc489952696"/>
      <w:bookmarkStart w:id="168" w:name="_Toc496536675"/>
      <w:bookmarkStart w:id="169" w:name="_Toc531277502"/>
      <w:bookmarkStart w:id="170" w:name="_Toc955312"/>
      <w:r>
        <w:t>The Head</w:t>
      </w:r>
      <w:r w:rsidR="00D10D16">
        <w:t xml:space="preserve"> </w:t>
      </w:r>
      <w:r w:rsidR="006A301A">
        <w:t xml:space="preserve">or Deputy Head </w:t>
      </w:r>
      <w:r>
        <w:t>of the Australian Space Agency decides which grant to approve taking into account the recommendations of the committee.</w:t>
      </w:r>
    </w:p>
    <w:p w14:paraId="062E63AF" w14:textId="266AC6DD" w:rsidR="00B4763B" w:rsidRDefault="00B4763B" w:rsidP="00B4763B">
      <w:pPr>
        <w:spacing w:after="80"/>
      </w:pPr>
      <w:r>
        <w:t>The Head</w:t>
      </w:r>
      <w:r w:rsidR="006761BA">
        <w:t xml:space="preserve"> or Deputy Head</w:t>
      </w:r>
      <w:r>
        <w:t xml:space="preserve"> of the Australian Space Agency’s decision is final in all matters, including:</w:t>
      </w:r>
    </w:p>
    <w:p w14:paraId="3CB2EB52" w14:textId="77777777" w:rsidR="00B4763B" w:rsidRDefault="00B4763B" w:rsidP="00405923">
      <w:pPr>
        <w:pStyle w:val="ListBullet"/>
        <w:numPr>
          <w:ilvl w:val="0"/>
          <w:numId w:val="15"/>
        </w:numPr>
      </w:pPr>
      <w:r>
        <w:t>the grant approval</w:t>
      </w:r>
    </w:p>
    <w:p w14:paraId="36FA6BDA" w14:textId="77777777" w:rsidR="00B4763B" w:rsidRDefault="00B4763B" w:rsidP="00405923">
      <w:pPr>
        <w:pStyle w:val="ListBullet"/>
        <w:numPr>
          <w:ilvl w:val="0"/>
          <w:numId w:val="15"/>
        </w:numPr>
      </w:pPr>
      <w:r>
        <w:t>the grant funding to be awarded</w:t>
      </w:r>
    </w:p>
    <w:p w14:paraId="4008537A" w14:textId="77777777" w:rsidR="00B4763B" w:rsidRDefault="00B4763B" w:rsidP="00405923">
      <w:pPr>
        <w:pStyle w:val="ListBullet"/>
        <w:numPr>
          <w:ilvl w:val="0"/>
          <w:numId w:val="15"/>
        </w:numPr>
        <w:spacing w:after="120"/>
      </w:pPr>
      <w:r>
        <w:t>any conditions attached to the offer of grant funding.</w:t>
      </w:r>
    </w:p>
    <w:p w14:paraId="1A773B86" w14:textId="77777777" w:rsidR="00B4763B" w:rsidRDefault="00B4763B" w:rsidP="00B4763B">
      <w:r>
        <w:t>We cannot review decisions about the merits of your application.</w:t>
      </w:r>
    </w:p>
    <w:p w14:paraId="6B33531A" w14:textId="24C78C65" w:rsidR="00B4763B" w:rsidRDefault="00B4763B" w:rsidP="00B4763B">
      <w:r>
        <w:lastRenderedPageBreak/>
        <w:t>The Head</w:t>
      </w:r>
      <w:r w:rsidR="006761BA">
        <w:t xml:space="preserve"> or Deputy Head</w:t>
      </w:r>
      <w:r w:rsidR="00D10D16" w:rsidRPr="00D10D16">
        <w:t xml:space="preserve"> </w:t>
      </w:r>
      <w:r>
        <w:t>of the Australian Space Agency will not approve funding if there is insufficient program funds available across relevant financial years for the program.</w:t>
      </w:r>
    </w:p>
    <w:p w14:paraId="6B408239" w14:textId="548587B2" w:rsidR="00564DF1" w:rsidRDefault="00564DF1" w:rsidP="00B400E6">
      <w:pPr>
        <w:pStyle w:val="Heading2"/>
      </w:pPr>
      <w:bookmarkStart w:id="171" w:name="_Toc51230440"/>
      <w:bookmarkStart w:id="172" w:name="_Toc51230494"/>
      <w:r>
        <w:t>Notification of application outcomes</w:t>
      </w:r>
      <w:bookmarkEnd w:id="167"/>
      <w:bookmarkEnd w:id="168"/>
      <w:bookmarkEnd w:id="169"/>
      <w:bookmarkEnd w:id="170"/>
      <w:bookmarkEnd w:id="171"/>
      <w:bookmarkEnd w:id="172"/>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3839062" w:rsidR="00247D27" w:rsidRDefault="00247D27" w:rsidP="00247D27">
      <w:r>
        <w:t>If you are unsuccessful, we will give you a</w:t>
      </w:r>
      <w:r w:rsidRPr="00E162FF">
        <w:t xml:space="preserve">n opportunity to discuss the outcome with </w:t>
      </w:r>
      <w:r w:rsidR="00E16B7C">
        <w:t>us</w:t>
      </w:r>
      <w:r>
        <w:t>.</w:t>
      </w:r>
    </w:p>
    <w:p w14:paraId="25F652C1" w14:textId="3392714E" w:rsidR="000C07C6" w:rsidRDefault="00E93B21" w:rsidP="00B400E6">
      <w:pPr>
        <w:pStyle w:val="Heading2"/>
      </w:pPr>
      <w:bookmarkStart w:id="173" w:name="_Toc955313"/>
      <w:bookmarkStart w:id="174" w:name="_Toc496536676"/>
      <w:bookmarkStart w:id="175" w:name="_Toc531277503"/>
      <w:bookmarkStart w:id="176" w:name="_Toc51230441"/>
      <w:bookmarkStart w:id="177" w:name="_Toc51230495"/>
      <w:r w:rsidRPr="005A61FE">
        <w:t>Successful</w:t>
      </w:r>
      <w:r>
        <w:t xml:space="preserve"> grant applications</w:t>
      </w:r>
      <w:bookmarkEnd w:id="173"/>
      <w:bookmarkEnd w:id="174"/>
      <w:bookmarkEnd w:id="175"/>
      <w:bookmarkEnd w:id="176"/>
      <w:bookmarkEnd w:id="177"/>
    </w:p>
    <w:p w14:paraId="5B4DC469" w14:textId="10C0D8EE" w:rsidR="00D057B9" w:rsidRPr="00174696" w:rsidRDefault="00D057B9" w:rsidP="00174696">
      <w:pPr>
        <w:pStyle w:val="Heading3"/>
      </w:pPr>
      <w:bookmarkStart w:id="178" w:name="_Toc466898120"/>
      <w:bookmarkStart w:id="179" w:name="_Toc496536677"/>
      <w:bookmarkStart w:id="180" w:name="_Toc531277504"/>
      <w:bookmarkStart w:id="181" w:name="_Toc955314"/>
      <w:bookmarkStart w:id="182" w:name="_Toc51230442"/>
      <w:bookmarkStart w:id="183" w:name="_Toc51230496"/>
      <w:bookmarkEnd w:id="127"/>
      <w:bookmarkEnd w:id="128"/>
      <w:r w:rsidRPr="00174696">
        <w:t>Grant agreement</w:t>
      </w:r>
      <w:bookmarkEnd w:id="178"/>
      <w:bookmarkEnd w:id="179"/>
      <w:bookmarkEnd w:id="180"/>
      <w:bookmarkEnd w:id="181"/>
      <w:bookmarkEnd w:id="182"/>
      <w:bookmarkEnd w:id="183"/>
    </w:p>
    <w:p w14:paraId="5174DC1E" w14:textId="5EAAA0F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92391A">
        <w:t xml:space="preserve">We will use a Commonwealth simple grant agreement.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6A511B2A"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EC39AD">
        <w:t>.</w:t>
      </w:r>
    </w:p>
    <w:p w14:paraId="5870E5AA" w14:textId="5AB8DEF9" w:rsidR="00EC39AD" w:rsidRDefault="00EC39AD" w:rsidP="00EC39AD">
      <w:r>
        <w:t xml:space="preserve">The approval of your grant may have specific conditions determined by the assessment process or other considerations made by the Head </w:t>
      </w:r>
      <w:r w:rsidR="00112E27">
        <w:t xml:space="preserve">or Deputy Head </w:t>
      </w:r>
      <w:r>
        <w:t xml:space="preserve">of the Space Agency. We will identify these in the offer of grant funding. </w:t>
      </w:r>
    </w:p>
    <w:p w14:paraId="21B1F951" w14:textId="08D67EB9" w:rsidR="00EC39AD" w:rsidRDefault="00EC39AD" w:rsidP="00EC39AD">
      <w:r>
        <w:t>If you enter an agreement under the</w:t>
      </w:r>
      <w:r w:rsidR="00137E6D">
        <w:t xml:space="preserve"> Space Infrastructure Fund</w:t>
      </w:r>
      <w:r w:rsidR="002E2D9A">
        <w:t>:</w:t>
      </w:r>
      <w:r>
        <w:t xml:space="preserve"> Space Payload Qualification Facilities grant opportunity you cannot receive other grants for </w:t>
      </w:r>
      <w:r w:rsidR="00C94973">
        <w:t>the same activities</w:t>
      </w:r>
      <w:r>
        <w:t xml:space="preserve"> from other Commonwealth granting programs.</w:t>
      </w:r>
    </w:p>
    <w:p w14:paraId="61AAFA78" w14:textId="77777777" w:rsidR="00D057B9" w:rsidRDefault="00D057B9" w:rsidP="00D057B9">
      <w:r w:rsidRPr="0062411B">
        <w:t>The Commonwealth may reco</w:t>
      </w:r>
      <w:r>
        <w:t>ver grant funds if there is a breach of the grant agreement.</w:t>
      </w:r>
    </w:p>
    <w:p w14:paraId="70919B11" w14:textId="25F4A2B2" w:rsidR="0085525B" w:rsidRPr="005A61FE" w:rsidRDefault="00D057B9" w:rsidP="00D057B9">
      <w:r>
        <w:t xml:space="preserve">You will have 30 days from the date of a written offer to execute </w:t>
      </w:r>
      <w:r w:rsidR="00246B7A">
        <w:t>this</w:t>
      </w:r>
      <w:r>
        <w:t xml:space="preserve"> grant agreement with the Commonwealth</w:t>
      </w:r>
      <w:r w:rsidR="00E6411F">
        <w:t>.</w:t>
      </w:r>
      <w:r>
        <w:t xml:space="preserve"> During this </w:t>
      </w:r>
      <w:r w:rsidR="00246B7A">
        <w:t>time,</w:t>
      </w:r>
      <w:r>
        <w:t xml:space="preserve"> we will work with you to finalise details.</w:t>
      </w:r>
    </w:p>
    <w:p w14:paraId="70CA5337" w14:textId="131F0F19"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E16B7C">
        <w:t xml:space="preserve">Head </w:t>
      </w:r>
      <w:r w:rsidR="00112E27">
        <w:t xml:space="preserve">or Deputy Head </w:t>
      </w:r>
      <w:r w:rsidR="00E16B7C">
        <w:t>of the Australian Space Agency</w:t>
      </w:r>
      <w:r w:rsidR="00EF53D9">
        <w:t>.</w:t>
      </w:r>
    </w:p>
    <w:p w14:paraId="41F3F124" w14:textId="78BA0956" w:rsidR="00EC39AD" w:rsidRDefault="00EC39AD" w:rsidP="00D53A66">
      <w:pPr>
        <w:pStyle w:val="Heading3"/>
        <w:ind w:left="709" w:hanging="721"/>
      </w:pPr>
      <w:bookmarkStart w:id="184" w:name="_Toc51230443"/>
      <w:bookmarkStart w:id="185" w:name="_Toc51230497"/>
      <w:bookmarkStart w:id="186" w:name="_Ref465245613"/>
      <w:bookmarkStart w:id="187" w:name="_Toc467165693"/>
      <w:bookmarkStart w:id="188" w:name="_Toc164844284"/>
      <w:bookmarkStart w:id="189" w:name="_Toc531277510"/>
      <w:bookmarkStart w:id="190" w:name="_Toc955320"/>
      <w:r>
        <w:t>Space Payload Qualification Facilit</w:t>
      </w:r>
      <w:r w:rsidR="00137E6D">
        <w:t>ies</w:t>
      </w:r>
      <w:r>
        <w:t xml:space="preserve"> specific legislation, policies and industry standards</w:t>
      </w:r>
      <w:bookmarkEnd w:id="184"/>
      <w:bookmarkEnd w:id="185"/>
    </w:p>
    <w:p w14:paraId="4676D2CF" w14:textId="77777777" w:rsidR="00EC39AD" w:rsidRDefault="00EC39AD" w:rsidP="00EC39AD">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57823C25" w14:textId="77777777" w:rsidR="00EC39AD" w:rsidRDefault="00EC39AD" w:rsidP="00EC39AD">
      <w:pPr>
        <w:rPr>
          <w:rFonts w:ascii="Calibri" w:hAnsi="Calibri"/>
          <w:iCs w:val="0"/>
          <w:szCs w:val="22"/>
        </w:rPr>
      </w:pPr>
      <w:r>
        <w:t>In particular, you will be required to comply with:</w:t>
      </w:r>
    </w:p>
    <w:p w14:paraId="3A4A3554" w14:textId="77777777" w:rsidR="00EC39AD" w:rsidRDefault="00EC39AD" w:rsidP="00405923">
      <w:pPr>
        <w:pStyle w:val="ListBullet"/>
        <w:numPr>
          <w:ilvl w:val="0"/>
          <w:numId w:val="15"/>
        </w:numPr>
      </w:pPr>
      <w:r>
        <w:t>State/Territory legislation in relation to working with children</w:t>
      </w:r>
    </w:p>
    <w:p w14:paraId="4BECA1D8" w14:textId="77777777" w:rsidR="00EC39AD" w:rsidRDefault="00EC39AD" w:rsidP="00405923">
      <w:pPr>
        <w:pStyle w:val="ListBullet"/>
        <w:numPr>
          <w:ilvl w:val="0"/>
          <w:numId w:val="15"/>
        </w:numPr>
      </w:pPr>
      <w:r>
        <w:t>Space (Launches and Returns) Act 2018 and associated rules including:</w:t>
      </w:r>
    </w:p>
    <w:p w14:paraId="5009BC80" w14:textId="77777777" w:rsidR="00EC39AD" w:rsidRDefault="00EC39AD" w:rsidP="00405923">
      <w:pPr>
        <w:pStyle w:val="ListParagraph"/>
        <w:numPr>
          <w:ilvl w:val="1"/>
          <w:numId w:val="15"/>
        </w:numPr>
        <w:spacing w:before="0" w:after="0" w:line="240" w:lineRule="auto"/>
      </w:pPr>
      <w:r>
        <w:rPr>
          <w:i/>
          <w:iCs w:val="0"/>
        </w:rPr>
        <w:t>Space (Launches and Returns) (General) Rules 2019</w:t>
      </w:r>
    </w:p>
    <w:p w14:paraId="20915CF5" w14:textId="77777777" w:rsidR="00EC39AD" w:rsidRDefault="00EC39AD" w:rsidP="00405923">
      <w:pPr>
        <w:pStyle w:val="ListParagraph"/>
        <w:numPr>
          <w:ilvl w:val="1"/>
          <w:numId w:val="15"/>
        </w:numPr>
        <w:spacing w:before="0" w:after="0" w:line="240" w:lineRule="auto"/>
      </w:pPr>
      <w:r>
        <w:rPr>
          <w:i/>
          <w:iCs w:val="0"/>
        </w:rPr>
        <w:t>Space (Launches and Returns) (Insurance) Rules 2019</w:t>
      </w:r>
    </w:p>
    <w:p w14:paraId="03A7F069" w14:textId="77777777" w:rsidR="00EC39AD" w:rsidRDefault="00EC39AD" w:rsidP="00405923">
      <w:pPr>
        <w:pStyle w:val="ListParagraph"/>
        <w:numPr>
          <w:ilvl w:val="1"/>
          <w:numId w:val="15"/>
        </w:numPr>
        <w:spacing w:before="0" w:after="0" w:line="240" w:lineRule="auto"/>
      </w:pPr>
      <w:r>
        <w:rPr>
          <w:i/>
          <w:iCs w:val="0"/>
        </w:rPr>
        <w:t>Space (Launches and Returns) (High Power Rocket) Rules 2019</w:t>
      </w:r>
    </w:p>
    <w:p w14:paraId="5CBE919B" w14:textId="77777777" w:rsidR="00EC39AD" w:rsidRDefault="00EC39AD" w:rsidP="00405923">
      <w:pPr>
        <w:pStyle w:val="ListBullet"/>
        <w:numPr>
          <w:ilvl w:val="0"/>
          <w:numId w:val="15"/>
        </w:numPr>
      </w:pPr>
      <w:r>
        <w:lastRenderedPageBreak/>
        <w:t>Export control legislation including the Defence Trade Controls Act 2012 and Customs Act 1901</w:t>
      </w:r>
    </w:p>
    <w:p w14:paraId="15E4E09F" w14:textId="77777777" w:rsidR="00EC39AD" w:rsidRDefault="00EC39AD" w:rsidP="00405923">
      <w:pPr>
        <w:pStyle w:val="ListBullet"/>
        <w:numPr>
          <w:ilvl w:val="0"/>
          <w:numId w:val="15"/>
        </w:numPr>
      </w:pPr>
      <w:r>
        <w:t>Radiocommunications Act 1992</w:t>
      </w:r>
    </w:p>
    <w:p w14:paraId="7B988BAE" w14:textId="2878B8E2" w:rsidR="00174696" w:rsidRDefault="00174696" w:rsidP="00405923">
      <w:pPr>
        <w:pStyle w:val="ListBullet"/>
        <w:numPr>
          <w:ilvl w:val="0"/>
          <w:numId w:val="15"/>
        </w:numPr>
      </w:pPr>
      <w:r>
        <w:t>any relevant international testing standards</w:t>
      </w:r>
    </w:p>
    <w:p w14:paraId="4C4A641C" w14:textId="77777777" w:rsidR="00C94973" w:rsidRDefault="00EC39AD" w:rsidP="005E3E21">
      <w:pPr>
        <w:pStyle w:val="ListBullet"/>
        <w:numPr>
          <w:ilvl w:val="0"/>
          <w:numId w:val="7"/>
        </w:numPr>
      </w:pPr>
      <w:r>
        <w:t>any relevant export control requirements</w:t>
      </w:r>
    </w:p>
    <w:p w14:paraId="0889EA2A" w14:textId="33D54577" w:rsidR="00EC39AD" w:rsidRDefault="00C94973" w:rsidP="00405923">
      <w:pPr>
        <w:pStyle w:val="ListBullet"/>
        <w:numPr>
          <w:ilvl w:val="0"/>
          <w:numId w:val="15"/>
        </w:numPr>
      </w:pPr>
      <w:r>
        <w:t>any relevant national security requirements</w:t>
      </w:r>
      <w:r w:rsidR="00EC39AD">
        <w:t>.</w:t>
      </w:r>
    </w:p>
    <w:p w14:paraId="4E16D64E" w14:textId="77777777" w:rsidR="00EC39AD" w:rsidRDefault="00EC39AD" w:rsidP="00174696">
      <w:pPr>
        <w:pStyle w:val="Heading3"/>
      </w:pPr>
      <w:bookmarkStart w:id="191" w:name="_Toc489952707"/>
      <w:bookmarkStart w:id="192" w:name="_Toc496536685"/>
      <w:bookmarkStart w:id="193" w:name="_Toc531277729"/>
      <w:bookmarkStart w:id="194" w:name="_Toc463350780"/>
      <w:bookmarkStart w:id="195" w:name="_Toc467165695"/>
      <w:bookmarkStart w:id="196" w:name="_Toc530073035"/>
      <w:bookmarkStart w:id="197" w:name="_Toc955324"/>
      <w:bookmarkStart w:id="198" w:name="_Toc531277514"/>
      <w:bookmarkStart w:id="199" w:name="_Toc496536686"/>
      <w:bookmarkStart w:id="200" w:name="_Toc51230444"/>
      <w:bookmarkStart w:id="201" w:name="_Toc51230498"/>
      <w:bookmarkStart w:id="202" w:name="_Toc531277516"/>
      <w:bookmarkStart w:id="203" w:name="_Toc955326"/>
      <w:bookmarkStart w:id="204" w:name="_Toc496536687"/>
      <w:bookmarkEnd w:id="186"/>
      <w:bookmarkEnd w:id="187"/>
      <w:bookmarkEnd w:id="188"/>
      <w:bookmarkEnd w:id="189"/>
      <w:bookmarkEnd w:id="190"/>
      <w:bookmarkEnd w:id="191"/>
      <w:bookmarkEnd w:id="192"/>
      <w:bookmarkEnd w:id="193"/>
      <w:bookmarkEnd w:id="194"/>
      <w:bookmarkEnd w:id="195"/>
      <w:bookmarkEnd w:id="196"/>
      <w:r>
        <w:t>How we pay the grant</w:t>
      </w:r>
      <w:bookmarkEnd w:id="197"/>
      <w:bookmarkEnd w:id="198"/>
      <w:bookmarkEnd w:id="199"/>
      <w:bookmarkEnd w:id="200"/>
      <w:bookmarkEnd w:id="201"/>
    </w:p>
    <w:p w14:paraId="5D284913" w14:textId="77777777" w:rsidR="00EC39AD" w:rsidRDefault="00EC39AD" w:rsidP="00EC39AD">
      <w:r>
        <w:t>The grant agreement will state the:</w:t>
      </w:r>
    </w:p>
    <w:p w14:paraId="6D883677" w14:textId="77777777" w:rsidR="00EC39AD" w:rsidRDefault="00EC39AD" w:rsidP="00405923">
      <w:pPr>
        <w:pStyle w:val="ListBullet"/>
        <w:numPr>
          <w:ilvl w:val="0"/>
          <w:numId w:val="15"/>
        </w:numPr>
      </w:pPr>
      <w:r>
        <w:t>maximum grant amount we will pay</w:t>
      </w:r>
    </w:p>
    <w:p w14:paraId="1D9E67E5" w14:textId="77777777" w:rsidR="00EC39AD" w:rsidRDefault="00EC39AD" w:rsidP="00405923">
      <w:pPr>
        <w:pStyle w:val="ListBullet"/>
        <w:numPr>
          <w:ilvl w:val="0"/>
          <w:numId w:val="15"/>
        </w:numPr>
      </w:pPr>
      <w:r>
        <w:t>proportion of eligible expenditure covered by the grant (grant percentage)</w:t>
      </w:r>
    </w:p>
    <w:p w14:paraId="61048EFC" w14:textId="77777777" w:rsidR="00EC39AD" w:rsidRDefault="00EC39AD" w:rsidP="00405923">
      <w:pPr>
        <w:pStyle w:val="ListBullet"/>
        <w:numPr>
          <w:ilvl w:val="0"/>
          <w:numId w:val="15"/>
        </w:numPr>
        <w:spacing w:after="120"/>
      </w:pPr>
      <w:r>
        <w:t>any financial contribution provided by you or a third party.</w:t>
      </w:r>
    </w:p>
    <w:p w14:paraId="06EE4EBD" w14:textId="77777777" w:rsidR="00EC39AD" w:rsidRDefault="00EC39AD" w:rsidP="00EC39AD">
      <w:r>
        <w:t>We will not exceed the maximum grant amount under any circumstances. If you incur extra costs, you must meet them yourself.</w:t>
      </w:r>
    </w:p>
    <w:p w14:paraId="7F4F5F6E" w14:textId="77777777" w:rsidR="00EC39AD" w:rsidRDefault="00EC39AD" w:rsidP="00EC39AD">
      <w:r>
        <w:t>We will make payments according to an agreed schedule set out in the grant agreement. Payments are subject to satisfactory progress on the project.</w:t>
      </w:r>
    </w:p>
    <w:p w14:paraId="230CF6B3" w14:textId="77777777" w:rsidR="00EC39AD" w:rsidRDefault="00EC39AD" w:rsidP="00174696">
      <w:pPr>
        <w:pStyle w:val="Heading3"/>
      </w:pPr>
      <w:bookmarkStart w:id="205" w:name="_Toc955325"/>
      <w:bookmarkStart w:id="206" w:name="_Toc531277515"/>
      <w:bookmarkStart w:id="207" w:name="_Toc51230445"/>
      <w:bookmarkStart w:id="208" w:name="_Toc51230499"/>
      <w:r>
        <w:t>Tax obligations</w:t>
      </w:r>
      <w:bookmarkEnd w:id="205"/>
      <w:bookmarkEnd w:id="206"/>
      <w:bookmarkEnd w:id="207"/>
      <w:bookmarkEnd w:id="208"/>
    </w:p>
    <w:p w14:paraId="4360EEB2" w14:textId="77777777" w:rsidR="00EC39AD" w:rsidRDefault="00EC39AD" w:rsidP="00EC39AD">
      <w:r>
        <w:t xml:space="preserve">We will add GST to your grant payment and provide you with a recipient created tax invoice. You are required to notify us if your GST registration status changes during the project period. </w:t>
      </w:r>
    </w:p>
    <w:p w14:paraId="78B1E8F2" w14:textId="77777777" w:rsidR="00EC39AD" w:rsidRDefault="00EC39AD" w:rsidP="00EC39AD">
      <w:r>
        <w:t xml:space="preserve">Grants are assessable income for taxation purposes, unless exempted by a taxation law. We recommend you seek independent professional advice on your taxation obligations or seek assistance from the </w:t>
      </w:r>
      <w:hyperlink r:id="rId25" w:history="1">
        <w:r>
          <w:rPr>
            <w:rStyle w:val="Hyperlink"/>
            <w:rFonts w:eastAsia="MS Mincho"/>
          </w:rPr>
          <w:t>Australian Taxation Office</w:t>
        </w:r>
      </w:hyperlink>
      <w:r>
        <w:t>. We do not provide advice on tax.</w:t>
      </w:r>
    </w:p>
    <w:p w14:paraId="20970026" w14:textId="5848805E" w:rsidR="00170249" w:rsidRPr="005A61FE" w:rsidRDefault="00170249" w:rsidP="00653895">
      <w:pPr>
        <w:pStyle w:val="Heading2"/>
      </w:pPr>
      <w:bookmarkStart w:id="209" w:name="_Toc51230446"/>
      <w:bookmarkStart w:id="210" w:name="_Toc51230500"/>
      <w:r w:rsidRPr="005A61FE">
        <w:t>Announcement of grants</w:t>
      </w:r>
      <w:bookmarkEnd w:id="202"/>
      <w:bookmarkEnd w:id="203"/>
      <w:bookmarkEnd w:id="209"/>
      <w:bookmarkEnd w:id="21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211" w:name="_Toc530073040"/>
      <w:bookmarkStart w:id="212" w:name="_Toc531277517"/>
      <w:bookmarkStart w:id="213" w:name="_Toc955327"/>
      <w:bookmarkStart w:id="214" w:name="_Toc51230447"/>
      <w:bookmarkStart w:id="215" w:name="_Toc51230501"/>
      <w:bookmarkEnd w:id="211"/>
      <w:r>
        <w:t xml:space="preserve">How we monitor your </w:t>
      </w:r>
      <w:bookmarkEnd w:id="204"/>
      <w:bookmarkEnd w:id="212"/>
      <w:bookmarkEnd w:id="213"/>
      <w:r w:rsidR="00082460">
        <w:t>grant activity</w:t>
      </w:r>
      <w:bookmarkEnd w:id="214"/>
      <w:bookmarkEnd w:id="215"/>
    </w:p>
    <w:p w14:paraId="58C338FE" w14:textId="77777777" w:rsidR="0094135B" w:rsidRDefault="0094135B" w:rsidP="00174696">
      <w:pPr>
        <w:pStyle w:val="Heading3"/>
      </w:pPr>
      <w:bookmarkStart w:id="216" w:name="_Toc531277518"/>
      <w:bookmarkStart w:id="217" w:name="_Toc955328"/>
      <w:bookmarkStart w:id="218" w:name="_Toc51230448"/>
      <w:bookmarkStart w:id="219" w:name="_Toc51230502"/>
      <w:r>
        <w:t>Keeping us informed</w:t>
      </w:r>
      <w:bookmarkEnd w:id="216"/>
      <w:bookmarkEnd w:id="217"/>
      <w:bookmarkEnd w:id="218"/>
      <w:bookmarkEnd w:id="21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lastRenderedPageBreak/>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71AF0F2" w14:textId="18CE0120" w:rsidR="003B45E1" w:rsidRPr="0094135B" w:rsidRDefault="003B45E1" w:rsidP="0094135B">
      <w:r>
        <w:t>You can</w:t>
      </w:r>
      <w:r w:rsidRPr="00DF637B">
        <w:t xml:space="preserve"> </w:t>
      </w:r>
      <w:hyperlink r:id="rId27" w:history="1">
        <w:r w:rsidRPr="005A61FE">
          <w:rPr>
            <w:rStyle w:val="Hyperlink"/>
          </w:rPr>
          <w:t>contact us</w:t>
        </w:r>
      </w:hyperlink>
      <w:r w:rsidRPr="00DF637B">
        <w:t xml:space="preserve"> at </w:t>
      </w:r>
      <w:hyperlink r:id="rId28" w:history="1">
        <w:r w:rsidR="004D0B50" w:rsidRPr="00402629">
          <w:rPr>
            <w:rStyle w:val="Hyperlink"/>
            <w:rFonts w:cstheme="minorHAnsi"/>
          </w:rPr>
          <w:t>spacegrants@industry.gov.au</w:t>
        </w:r>
      </w:hyperlink>
      <w:r w:rsidRPr="00DF637B">
        <w:t xml:space="preserve"> or </w:t>
      </w:r>
      <w:r>
        <w:t xml:space="preserve">by </w:t>
      </w:r>
      <w:r w:rsidRPr="00DF637B">
        <w:t>call</w:t>
      </w:r>
      <w:r>
        <w:t>ing</w:t>
      </w:r>
      <w:r w:rsidRPr="00DF637B">
        <w:t xml:space="preserve"> 13 28 46.</w:t>
      </w:r>
    </w:p>
    <w:p w14:paraId="6021601C" w14:textId="4512A534" w:rsidR="00985817" w:rsidRPr="005A61FE" w:rsidRDefault="00985817" w:rsidP="00174696">
      <w:pPr>
        <w:pStyle w:val="Heading3"/>
      </w:pPr>
      <w:bookmarkStart w:id="220" w:name="_Toc531277519"/>
      <w:bookmarkStart w:id="221" w:name="_Toc955329"/>
      <w:bookmarkStart w:id="222" w:name="_Toc51230449"/>
      <w:bookmarkStart w:id="223" w:name="_Toc51230503"/>
      <w:r w:rsidRPr="005A61FE">
        <w:t>Reporting</w:t>
      </w:r>
      <w:bookmarkEnd w:id="220"/>
      <w:bookmarkEnd w:id="221"/>
      <w:bookmarkEnd w:id="222"/>
      <w:bookmarkEnd w:id="22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7986596B" w:rsidR="00FB2CBF" w:rsidRDefault="00FB2CBF" w:rsidP="00FB2CBF">
      <w:pPr>
        <w:pStyle w:val="ListBullet"/>
        <w:spacing w:after="120"/>
      </w:pPr>
      <w:r>
        <w:t>contributions of participants directly related</w:t>
      </w:r>
      <w:r w:rsidR="003514ED">
        <w:t xml:space="preserve">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Pr="00E12200" w:rsidRDefault="006132DF">
      <w:pPr>
        <w:pStyle w:val="Heading4"/>
      </w:pPr>
      <w:bookmarkStart w:id="224" w:name="_Toc496536688"/>
      <w:bookmarkStart w:id="225" w:name="_Toc531277520"/>
      <w:bookmarkStart w:id="226" w:name="_Toc955330"/>
      <w:bookmarkStart w:id="227" w:name="_Toc51230450"/>
      <w:bookmarkStart w:id="228" w:name="_Toc51230504"/>
      <w:r w:rsidRPr="00E12200">
        <w:t>Progress report</w:t>
      </w:r>
      <w:r w:rsidR="00CE056C" w:rsidRPr="00E12200">
        <w:t>s</w:t>
      </w:r>
      <w:bookmarkEnd w:id="224"/>
      <w:bookmarkEnd w:id="225"/>
      <w:bookmarkEnd w:id="226"/>
      <w:bookmarkEnd w:id="227"/>
      <w:bookmarkEnd w:id="22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4467F921"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pPr>
        <w:pStyle w:val="Heading4"/>
      </w:pPr>
      <w:bookmarkStart w:id="229" w:name="_Toc496536689"/>
      <w:bookmarkStart w:id="230" w:name="_Toc531277521"/>
      <w:bookmarkStart w:id="231" w:name="_Toc955331"/>
      <w:bookmarkStart w:id="232" w:name="_Toc51230451"/>
      <w:bookmarkStart w:id="233" w:name="_Toc51230505"/>
      <w:r w:rsidRPr="005A61FE">
        <w:t>End of project</w:t>
      </w:r>
      <w:r w:rsidR="006132DF">
        <w:t xml:space="preserve"> report</w:t>
      </w:r>
      <w:bookmarkEnd w:id="229"/>
      <w:bookmarkEnd w:id="230"/>
      <w:bookmarkEnd w:id="231"/>
      <w:bookmarkEnd w:id="232"/>
      <w:bookmarkEnd w:id="23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EFFD267" w14:textId="28C823C8" w:rsidR="006A301A" w:rsidRDefault="006132DF" w:rsidP="006A301A">
      <w:pPr>
        <w:pStyle w:val="ListBullet"/>
        <w:numPr>
          <w:ilvl w:val="0"/>
          <w:numId w:val="7"/>
        </w:numPr>
        <w:spacing w:before="60" w:after="60"/>
        <w:ind w:left="357" w:hanging="357"/>
      </w:pPr>
      <w:r>
        <w:lastRenderedPageBreak/>
        <w:t xml:space="preserve">be submitted </w:t>
      </w:r>
      <w:r w:rsidR="00C92BE0">
        <w:t>by the report due date</w:t>
      </w:r>
      <w:r w:rsidR="007F013E">
        <w:t>.</w:t>
      </w:r>
      <w:r w:rsidR="006A301A" w:rsidRPr="006A301A">
        <w:t xml:space="preserve"> </w:t>
      </w:r>
    </w:p>
    <w:p w14:paraId="17379043" w14:textId="77777777" w:rsidR="006A301A" w:rsidRDefault="006A301A" w:rsidP="00BA15D8">
      <w:pPr>
        <w:pStyle w:val="Heading4"/>
      </w:pPr>
      <w:bookmarkStart w:id="234" w:name="_Toc41663783"/>
      <w:bookmarkStart w:id="235" w:name="_Toc51230452"/>
      <w:bookmarkStart w:id="236" w:name="_Toc51230506"/>
      <w:r>
        <w:t>Post</w:t>
      </w:r>
      <w:r w:rsidRPr="005A61FE">
        <w:t xml:space="preserve"> project</w:t>
      </w:r>
      <w:r>
        <w:t xml:space="preserve"> report</w:t>
      </w:r>
      <w:bookmarkEnd w:id="234"/>
      <w:bookmarkEnd w:id="235"/>
      <w:bookmarkEnd w:id="236"/>
    </w:p>
    <w:p w14:paraId="49A621D2" w14:textId="77777777" w:rsidR="006A301A" w:rsidRDefault="006A301A" w:rsidP="006A301A">
      <w:r>
        <w:t>12 months after you complete the project, you must submit a post</w:t>
      </w:r>
      <w:r w:rsidRPr="005A61FE">
        <w:t xml:space="preserve"> project</w:t>
      </w:r>
      <w:r>
        <w:t xml:space="preserve"> report.</w:t>
      </w:r>
    </w:p>
    <w:p w14:paraId="5C5D1139" w14:textId="338E98AB" w:rsidR="006132DF" w:rsidRDefault="006A301A" w:rsidP="00BA15D8">
      <w:pPr>
        <w:spacing w:after="80"/>
      </w:pPr>
      <w:r>
        <w:t>Post</w:t>
      </w:r>
      <w:r w:rsidRPr="005A61FE">
        <w:t xml:space="preserve"> project</w:t>
      </w:r>
      <w:r>
        <w:t xml:space="preserve"> reports provide an update on the outcomes of your project and allow us to gather information to support evaluation of the program.</w:t>
      </w:r>
    </w:p>
    <w:p w14:paraId="796A98A9" w14:textId="0EE5DA06" w:rsidR="006132DF" w:rsidRDefault="006132DF">
      <w:pPr>
        <w:pStyle w:val="Heading4"/>
      </w:pPr>
      <w:bookmarkStart w:id="237" w:name="_Toc496536690"/>
      <w:bookmarkStart w:id="238" w:name="_Toc531277522"/>
      <w:bookmarkStart w:id="239" w:name="_Toc955332"/>
      <w:bookmarkStart w:id="240" w:name="_Toc51230453"/>
      <w:bookmarkStart w:id="241" w:name="_Toc51230507"/>
      <w:r>
        <w:t>Ad</w:t>
      </w:r>
      <w:r w:rsidR="007F013E">
        <w:t>-</w:t>
      </w:r>
      <w:r>
        <w:t>hoc report</w:t>
      </w:r>
      <w:bookmarkEnd w:id="237"/>
      <w:bookmarkEnd w:id="238"/>
      <w:bookmarkEnd w:id="239"/>
      <w:r w:rsidR="009E1D7E">
        <w:t>s</w:t>
      </w:r>
      <w:bookmarkEnd w:id="240"/>
      <w:bookmarkEnd w:id="24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74696">
      <w:pPr>
        <w:pStyle w:val="Heading3"/>
      </w:pPr>
      <w:bookmarkStart w:id="242" w:name="_Toc531277523"/>
      <w:bookmarkStart w:id="243" w:name="_Toc496536691"/>
      <w:bookmarkStart w:id="244" w:name="_Toc955333"/>
      <w:bookmarkStart w:id="245" w:name="_Toc51230454"/>
      <w:bookmarkStart w:id="246" w:name="_Toc51230508"/>
      <w:r>
        <w:t xml:space="preserve">Independent </w:t>
      </w:r>
      <w:r w:rsidRPr="005A61FE">
        <w:t>audit</w:t>
      </w:r>
      <w:r w:rsidR="00985817" w:rsidRPr="005A61FE">
        <w:t>s</w:t>
      </w:r>
      <w:bookmarkEnd w:id="242"/>
      <w:bookmarkEnd w:id="243"/>
      <w:bookmarkEnd w:id="244"/>
      <w:bookmarkEnd w:id="245"/>
      <w:bookmarkEnd w:id="246"/>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74696">
      <w:pPr>
        <w:pStyle w:val="Heading3"/>
      </w:pPr>
      <w:bookmarkStart w:id="247" w:name="_Toc496536692"/>
      <w:bookmarkStart w:id="248" w:name="_Toc531277524"/>
      <w:bookmarkStart w:id="249" w:name="_Toc955334"/>
      <w:bookmarkStart w:id="250" w:name="_Toc51230455"/>
      <w:bookmarkStart w:id="251" w:name="_Toc51230509"/>
      <w:bookmarkStart w:id="252" w:name="_Toc383003276"/>
      <w:r>
        <w:t>Compliance visits</w:t>
      </w:r>
      <w:bookmarkEnd w:id="247"/>
      <w:bookmarkEnd w:id="248"/>
      <w:bookmarkEnd w:id="249"/>
      <w:bookmarkEnd w:id="250"/>
      <w:bookmarkEnd w:id="251"/>
    </w:p>
    <w:p w14:paraId="048AF75E" w14:textId="77777777" w:rsidR="003514ED" w:rsidRDefault="003514ED" w:rsidP="003514ED">
      <w:bookmarkStart w:id="253" w:name="_Toc496536693"/>
      <w:bookmarkStart w:id="254" w:name="_Toc531277525"/>
      <w:bookmarkStart w:id="255" w:name="_Toc955335"/>
      <w:r>
        <w:t>We may visit you during the project period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74696">
      <w:pPr>
        <w:pStyle w:val="Heading3"/>
      </w:pPr>
      <w:bookmarkStart w:id="256" w:name="_Toc51230456"/>
      <w:bookmarkStart w:id="257" w:name="_Toc51230510"/>
      <w:r>
        <w:t>Grant agreement</w:t>
      </w:r>
      <w:r w:rsidRPr="009E7919">
        <w:t xml:space="preserve"> </w:t>
      </w:r>
      <w:r w:rsidR="00BF0BFC" w:rsidRPr="009E7919">
        <w:t>v</w:t>
      </w:r>
      <w:r w:rsidR="00CE1A20" w:rsidRPr="009E7919">
        <w:t>ariations</w:t>
      </w:r>
      <w:bookmarkEnd w:id="252"/>
      <w:bookmarkEnd w:id="253"/>
      <w:bookmarkEnd w:id="254"/>
      <w:bookmarkEnd w:id="255"/>
      <w:bookmarkEnd w:id="256"/>
      <w:bookmarkEnd w:id="257"/>
    </w:p>
    <w:p w14:paraId="304E654A" w14:textId="77777777" w:rsidR="006F38CE" w:rsidRDefault="006F38CE" w:rsidP="006F38CE">
      <w:pPr>
        <w:keepNext/>
        <w:keepLines/>
        <w:spacing w:after="80"/>
      </w:pPr>
      <w:bookmarkStart w:id="258" w:name="_Toc496536695"/>
      <w:bookmarkStart w:id="259" w:name="_Toc531277526"/>
      <w:bookmarkStart w:id="260" w:name="_Toc955336"/>
      <w:r>
        <w:t>We recognise that unexpected events may affect project progress. In these circumstances, you can request a variation to your grant agreement, including:</w:t>
      </w:r>
    </w:p>
    <w:p w14:paraId="4A908FAA" w14:textId="77777777" w:rsidR="006F38CE" w:rsidRDefault="006F38CE" w:rsidP="00405923">
      <w:pPr>
        <w:pStyle w:val="ListBullet"/>
        <w:numPr>
          <w:ilvl w:val="0"/>
          <w:numId w:val="15"/>
        </w:numPr>
      </w:pPr>
      <w:r>
        <w:t>changing project milestones</w:t>
      </w:r>
    </w:p>
    <w:p w14:paraId="26E4470C" w14:textId="77777777" w:rsidR="006F38CE" w:rsidRDefault="006F38CE" w:rsidP="00405923">
      <w:pPr>
        <w:pStyle w:val="ListBullet"/>
        <w:numPr>
          <w:ilvl w:val="0"/>
          <w:numId w:val="15"/>
        </w:numPr>
      </w:pPr>
      <w:r>
        <w:t>changing project activities.</w:t>
      </w:r>
    </w:p>
    <w:p w14:paraId="1E866C7B" w14:textId="77777777" w:rsidR="006F38CE" w:rsidRDefault="006F38CE" w:rsidP="006F38CE">
      <w:pPr>
        <w:spacing w:after="80"/>
      </w:pPr>
      <w:r>
        <w:t>The program does not allow for:</w:t>
      </w:r>
    </w:p>
    <w:p w14:paraId="25FC6B59" w14:textId="77777777" w:rsidR="006F38CE" w:rsidRDefault="006F38CE" w:rsidP="00405923">
      <w:pPr>
        <w:pStyle w:val="ListBullet"/>
        <w:numPr>
          <w:ilvl w:val="0"/>
          <w:numId w:val="15"/>
        </w:numPr>
        <w:spacing w:after="120"/>
      </w:pPr>
      <w:r>
        <w:t>an increase of grant funds.</w:t>
      </w:r>
    </w:p>
    <w:p w14:paraId="5FAF05CE" w14:textId="77777777" w:rsidR="006F38CE" w:rsidRDefault="006F38CE" w:rsidP="006F38CE">
      <w:r>
        <w:t xml:space="preserve">If you want to propose changes to the grant agreement, you must put them in writing before the project end date. </w:t>
      </w:r>
    </w:p>
    <w:p w14:paraId="587E8CD2" w14:textId="77777777" w:rsidR="006F38CE" w:rsidRDefault="006F38CE" w:rsidP="006F38CE">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09ED3E17" w14:textId="77777777" w:rsidR="006F38CE" w:rsidRDefault="006F38CE" w:rsidP="006F38CE">
      <w:pPr>
        <w:keepNext/>
        <w:spacing w:after="80"/>
      </w:pPr>
      <w:r>
        <w:t>You should not assume that a variation request will be successful. We will consider your request based on factors such as:</w:t>
      </w:r>
    </w:p>
    <w:p w14:paraId="6D73BE1C" w14:textId="77777777" w:rsidR="006F38CE" w:rsidRDefault="006F38CE" w:rsidP="00405923">
      <w:pPr>
        <w:pStyle w:val="ListBullet"/>
        <w:numPr>
          <w:ilvl w:val="0"/>
          <w:numId w:val="15"/>
        </w:numPr>
      </w:pPr>
      <w:r>
        <w:t>how it affects the project outcome</w:t>
      </w:r>
    </w:p>
    <w:p w14:paraId="0C513C80" w14:textId="77777777" w:rsidR="006F38CE" w:rsidRDefault="006F38CE" w:rsidP="00405923">
      <w:pPr>
        <w:pStyle w:val="ListBullet"/>
        <w:numPr>
          <w:ilvl w:val="0"/>
          <w:numId w:val="15"/>
        </w:numPr>
      </w:pPr>
      <w:r>
        <w:t>consistency with the program policy objective, grant opportunity guidelines and any relevant policies of the department</w:t>
      </w:r>
    </w:p>
    <w:p w14:paraId="238AA596" w14:textId="77777777" w:rsidR="006F38CE" w:rsidRDefault="006F38CE" w:rsidP="00405923">
      <w:pPr>
        <w:pStyle w:val="ListBullet"/>
        <w:numPr>
          <w:ilvl w:val="0"/>
          <w:numId w:val="15"/>
        </w:numPr>
      </w:pPr>
      <w:r>
        <w:t>changes to the timing of grant payments</w:t>
      </w:r>
    </w:p>
    <w:p w14:paraId="18FF2FFB" w14:textId="77777777" w:rsidR="006F38CE" w:rsidRDefault="006F38CE" w:rsidP="00405923">
      <w:pPr>
        <w:pStyle w:val="ListBullet"/>
        <w:numPr>
          <w:ilvl w:val="0"/>
          <w:numId w:val="15"/>
        </w:numPr>
        <w:spacing w:after="120"/>
      </w:pPr>
      <w:r>
        <w:t>availability of program funds.</w:t>
      </w:r>
    </w:p>
    <w:p w14:paraId="25F65301" w14:textId="533DE2F3" w:rsidR="00496465" w:rsidRPr="006F38CE" w:rsidRDefault="006F38CE" w:rsidP="00174696">
      <w:pPr>
        <w:pStyle w:val="Heading3"/>
      </w:pPr>
      <w:r>
        <w:lastRenderedPageBreak/>
        <w:t xml:space="preserve"> </w:t>
      </w:r>
      <w:bookmarkStart w:id="261" w:name="_Toc51230457"/>
      <w:bookmarkStart w:id="262" w:name="_Toc51230511"/>
      <w:r w:rsidR="00F54561">
        <w:t>Evaluation</w:t>
      </w:r>
      <w:bookmarkEnd w:id="258"/>
      <w:bookmarkEnd w:id="259"/>
      <w:bookmarkEnd w:id="260"/>
      <w:bookmarkEnd w:id="261"/>
      <w:bookmarkEnd w:id="262"/>
    </w:p>
    <w:p w14:paraId="70BCABE7" w14:textId="47DF67D5" w:rsidR="000B5218" w:rsidRPr="005A61FE" w:rsidRDefault="00011AA7" w:rsidP="00F54561">
      <w:r>
        <w:t xml:space="preserve">We </w:t>
      </w:r>
      <w:r w:rsidR="00670C9E">
        <w:t>will</w:t>
      </w:r>
      <w:r>
        <w:t xml:space="preserve"> evaluat</w:t>
      </w:r>
      <w:r w:rsidR="000E11A2">
        <w:t>e</w:t>
      </w:r>
      <w:r>
        <w:t xml:space="preserve"> the </w:t>
      </w:r>
      <w:r w:rsidR="006F38C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74696">
      <w:pPr>
        <w:pStyle w:val="Heading3"/>
      </w:pPr>
      <w:bookmarkStart w:id="263" w:name="_Toc496536697"/>
      <w:bookmarkStart w:id="264" w:name="_Toc531277527"/>
      <w:bookmarkStart w:id="265" w:name="_Toc955337"/>
      <w:bookmarkStart w:id="266" w:name="_Toc51230458"/>
      <w:bookmarkStart w:id="267" w:name="_Toc51230512"/>
      <w:bookmarkStart w:id="268" w:name="_Toc164844290"/>
      <w:bookmarkStart w:id="269" w:name="_Toc383003280"/>
      <w:r>
        <w:t>Grant acknowledgement</w:t>
      </w:r>
      <w:bookmarkEnd w:id="263"/>
      <w:bookmarkEnd w:id="264"/>
      <w:bookmarkEnd w:id="265"/>
      <w:bookmarkEnd w:id="266"/>
      <w:bookmarkEnd w:id="26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0DCEDCBA" w:rsidR="00564DF1" w:rsidRDefault="00564DF1" w:rsidP="00564DF1">
      <w:r>
        <w:t>If you erect signage in relation to the project, the signage must contain a</w:t>
      </w:r>
      <w:r w:rsidR="006F38CE">
        <w:t>n acknowledgement of the grant.</w:t>
      </w:r>
    </w:p>
    <w:p w14:paraId="5BB8944A" w14:textId="3D6D9A6C" w:rsidR="000B5218" w:rsidRPr="005A61FE" w:rsidRDefault="000B5218" w:rsidP="00992F8E">
      <w:pPr>
        <w:pStyle w:val="Heading2"/>
      </w:pPr>
      <w:bookmarkStart w:id="270" w:name="_Toc531277528"/>
      <w:bookmarkStart w:id="271" w:name="_Toc955338"/>
      <w:bookmarkStart w:id="272" w:name="_Toc51230459"/>
      <w:bookmarkStart w:id="273" w:name="_Toc51230513"/>
      <w:bookmarkStart w:id="274" w:name="_Toc496536698"/>
      <w:r w:rsidRPr="005A61FE">
        <w:t>Probity</w:t>
      </w:r>
      <w:bookmarkEnd w:id="270"/>
      <w:bookmarkEnd w:id="271"/>
      <w:bookmarkEnd w:id="272"/>
      <w:bookmarkEnd w:id="27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174696">
      <w:pPr>
        <w:pStyle w:val="Heading3"/>
      </w:pPr>
      <w:bookmarkStart w:id="275" w:name="_Toc531277529"/>
      <w:bookmarkStart w:id="276" w:name="_Toc955339"/>
      <w:bookmarkStart w:id="277" w:name="_Toc51230460"/>
      <w:bookmarkStart w:id="278" w:name="_Toc51230514"/>
      <w:r>
        <w:t>Conflicts of interest</w:t>
      </w:r>
      <w:bookmarkEnd w:id="274"/>
      <w:bookmarkEnd w:id="275"/>
      <w:bookmarkEnd w:id="276"/>
      <w:bookmarkEnd w:id="277"/>
      <w:bookmarkEnd w:id="278"/>
    </w:p>
    <w:p w14:paraId="04A0B5E4" w14:textId="6B161FD7" w:rsidR="002662F6" w:rsidRDefault="000B5218" w:rsidP="00007E4B">
      <w:bookmarkStart w:id="279" w:name="_Toc496536699"/>
      <w:r w:rsidRPr="005A61FE">
        <w:t>Any conflicts</w:t>
      </w:r>
      <w:r w:rsidR="002662F6">
        <w:t xml:space="preserve"> of interest </w:t>
      </w:r>
      <w:bookmarkEnd w:id="279"/>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4F74B1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w:t>
      </w:r>
      <w:r w:rsidR="00E16B7C">
        <w:t>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80" w:name="_Toc530073069"/>
      <w:bookmarkStart w:id="281" w:name="_Toc530073070"/>
      <w:bookmarkStart w:id="282" w:name="_Toc530073074"/>
      <w:bookmarkStart w:id="283" w:name="_Toc530073075"/>
      <w:bookmarkStart w:id="284" w:name="_Toc530073076"/>
      <w:bookmarkStart w:id="285" w:name="_Toc530073078"/>
      <w:bookmarkStart w:id="286" w:name="_Toc530073079"/>
      <w:bookmarkStart w:id="287" w:name="_Toc530073080"/>
      <w:bookmarkStart w:id="288" w:name="_Toc496536701"/>
      <w:bookmarkStart w:id="289" w:name="_Toc531277530"/>
      <w:bookmarkStart w:id="290" w:name="_Toc955340"/>
      <w:bookmarkEnd w:id="268"/>
      <w:bookmarkEnd w:id="269"/>
      <w:bookmarkEnd w:id="280"/>
      <w:bookmarkEnd w:id="281"/>
      <w:bookmarkEnd w:id="282"/>
      <w:bookmarkEnd w:id="283"/>
      <w:bookmarkEnd w:id="284"/>
      <w:bookmarkEnd w:id="285"/>
      <w:bookmarkEnd w:id="286"/>
      <w:bookmarkEnd w:id="287"/>
      <w:r w:rsidRPr="005A61FE">
        <w:lastRenderedPageBreak/>
        <w:t xml:space="preserve">We publish our </w:t>
      </w:r>
      <w:hyperlink r:id="rId3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74696">
      <w:pPr>
        <w:pStyle w:val="Heading3"/>
      </w:pPr>
      <w:r w:rsidRPr="00E62F87">
        <w:t xml:space="preserve"> </w:t>
      </w:r>
      <w:bookmarkStart w:id="291" w:name="_Toc51230461"/>
      <w:bookmarkStart w:id="292" w:name="_Toc51230515"/>
      <w:r w:rsidR="004C37F5" w:rsidRPr="00E62F87">
        <w:t>How we use your information</w:t>
      </w:r>
      <w:bookmarkEnd w:id="288"/>
      <w:bookmarkEnd w:id="289"/>
      <w:bookmarkEnd w:id="290"/>
      <w:bookmarkEnd w:id="291"/>
      <w:bookmarkEnd w:id="29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85061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85061C">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pPr>
        <w:pStyle w:val="Heading4"/>
      </w:pPr>
      <w:bookmarkStart w:id="293" w:name="_Ref468133654"/>
      <w:bookmarkStart w:id="294" w:name="_Toc496536702"/>
      <w:bookmarkStart w:id="295" w:name="_Toc531277531"/>
      <w:bookmarkStart w:id="296" w:name="_Toc955341"/>
      <w:bookmarkStart w:id="297" w:name="_Toc51230462"/>
      <w:bookmarkStart w:id="298" w:name="_Toc51230516"/>
      <w:r w:rsidRPr="00E62F87">
        <w:t xml:space="preserve">How we </w:t>
      </w:r>
      <w:r w:rsidR="00BB37A8">
        <w:t>handle</w:t>
      </w:r>
      <w:r w:rsidRPr="00E62F87">
        <w:t xml:space="preserve"> your </w:t>
      </w:r>
      <w:r w:rsidR="00BB37A8">
        <w:t xml:space="preserve">confidential </w:t>
      </w:r>
      <w:r w:rsidRPr="00E62F87">
        <w:t>information</w:t>
      </w:r>
      <w:bookmarkEnd w:id="293"/>
      <w:bookmarkEnd w:id="294"/>
      <w:bookmarkEnd w:id="295"/>
      <w:bookmarkEnd w:id="296"/>
      <w:bookmarkEnd w:id="297"/>
      <w:bookmarkEnd w:id="29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pPr>
        <w:pStyle w:val="Heading4"/>
      </w:pPr>
      <w:bookmarkStart w:id="299" w:name="_Toc496536703"/>
      <w:bookmarkStart w:id="300" w:name="_Toc531277532"/>
      <w:bookmarkStart w:id="301" w:name="_Toc955342"/>
      <w:bookmarkStart w:id="302" w:name="_Toc51230463"/>
      <w:bookmarkStart w:id="303" w:name="_Toc51230517"/>
      <w:r w:rsidRPr="00E62F87">
        <w:t xml:space="preserve">When we may </w:t>
      </w:r>
      <w:r w:rsidR="00C43A43" w:rsidRPr="00E62F87">
        <w:t xml:space="preserve">disclose </w:t>
      </w:r>
      <w:r w:rsidRPr="00E62F87">
        <w:t>confidential information</w:t>
      </w:r>
      <w:bookmarkEnd w:id="299"/>
      <w:bookmarkEnd w:id="300"/>
      <w:bookmarkEnd w:id="301"/>
      <w:bookmarkEnd w:id="302"/>
      <w:bookmarkEnd w:id="30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C340B64"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3C1B6490"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783B6E">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pPr>
        <w:pStyle w:val="Heading4"/>
      </w:pPr>
      <w:bookmarkStart w:id="304" w:name="_Ref468133671"/>
      <w:bookmarkStart w:id="305" w:name="_Toc496536704"/>
      <w:bookmarkStart w:id="306" w:name="_Toc531277533"/>
      <w:bookmarkStart w:id="307" w:name="_Toc955343"/>
      <w:bookmarkStart w:id="308" w:name="_Toc51230464"/>
      <w:bookmarkStart w:id="309" w:name="_Toc51230518"/>
      <w:r w:rsidRPr="00E62F87">
        <w:t>How we use your personal information</w:t>
      </w:r>
      <w:bookmarkEnd w:id="304"/>
      <w:bookmarkEnd w:id="305"/>
      <w:bookmarkEnd w:id="306"/>
      <w:bookmarkEnd w:id="307"/>
      <w:bookmarkEnd w:id="308"/>
      <w:bookmarkEnd w:id="30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lastRenderedPageBreak/>
        <w:t xml:space="preserve">to </w:t>
      </w:r>
      <w:r w:rsidR="004B44EC" w:rsidRPr="00E62F87">
        <w:t>who</w:t>
      </w:r>
      <w:r>
        <w:t>m</w:t>
      </w:r>
      <w:r w:rsidR="004B44EC" w:rsidRPr="00E62F87">
        <w:t xml:space="preserve"> we give your personal information.</w:t>
      </w:r>
    </w:p>
    <w:p w14:paraId="25F6533B" w14:textId="17D5835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pPr>
        <w:pStyle w:val="Heading4"/>
      </w:pPr>
      <w:bookmarkStart w:id="310" w:name="_Toc496536705"/>
      <w:bookmarkStart w:id="311" w:name="_Toc489952724"/>
      <w:bookmarkStart w:id="312" w:name="_Toc496536706"/>
      <w:bookmarkStart w:id="313" w:name="_Toc531277534"/>
      <w:bookmarkStart w:id="314" w:name="_Toc955344"/>
      <w:bookmarkStart w:id="315" w:name="_Toc51230465"/>
      <w:bookmarkStart w:id="316" w:name="_Toc51230519"/>
      <w:bookmarkEnd w:id="310"/>
      <w:r>
        <w:t>Freedom of information</w:t>
      </w:r>
      <w:bookmarkEnd w:id="311"/>
      <w:bookmarkEnd w:id="312"/>
      <w:bookmarkEnd w:id="313"/>
      <w:bookmarkEnd w:id="314"/>
      <w:bookmarkEnd w:id="315"/>
      <w:bookmarkEnd w:id="31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174696">
      <w:pPr>
        <w:pStyle w:val="Heading3"/>
      </w:pPr>
      <w:bookmarkStart w:id="317" w:name="_Toc496536707"/>
      <w:bookmarkStart w:id="318" w:name="_Toc531277535"/>
      <w:bookmarkStart w:id="319" w:name="_Toc955345"/>
      <w:bookmarkStart w:id="320" w:name="_Toc51230466"/>
      <w:bookmarkStart w:id="321" w:name="_Toc51230520"/>
      <w:r>
        <w:t>Enquiries and f</w:t>
      </w:r>
      <w:r w:rsidR="001956C5" w:rsidRPr="00E63F2A">
        <w:t>eedback</w:t>
      </w:r>
      <w:bookmarkEnd w:id="317"/>
      <w:bookmarkEnd w:id="318"/>
      <w:bookmarkEnd w:id="319"/>
      <w:bookmarkEnd w:id="320"/>
      <w:bookmarkEnd w:id="32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EDE12CE" w:rsidR="00414A64" w:rsidRDefault="001956C5" w:rsidP="00EB3EF4">
      <w:pPr>
        <w:spacing w:after="0"/>
      </w:pPr>
      <w:r w:rsidRPr="00E162FF">
        <w:t>Head of Division</w:t>
      </w:r>
      <w:r w:rsidRPr="00E162FF">
        <w:rPr>
          <w:b/>
        </w:rPr>
        <w:t xml:space="preserve"> </w:t>
      </w:r>
      <w:r w:rsidRPr="00E162FF">
        <w:br/>
      </w:r>
      <w:r w:rsidR="006F38CE">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lastRenderedPageBreak/>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52D37A41" w:rsidR="00CD2CCD" w:rsidRPr="00E16B7C" w:rsidRDefault="00BB5EF3" w:rsidP="00E16B7C">
      <w:pPr>
        <w:pStyle w:val="Heading2"/>
      </w:pPr>
      <w:bookmarkStart w:id="322" w:name="_Ref17466953"/>
      <w:bookmarkStart w:id="323" w:name="_Toc51230467"/>
      <w:bookmarkStart w:id="324" w:name="_Toc51230521"/>
      <w:r>
        <w:t>Glossary</w:t>
      </w:r>
      <w:bookmarkEnd w:id="322"/>
      <w:bookmarkEnd w:id="323"/>
      <w:bookmarkEnd w:id="32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8E1A2B">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8E1A2B">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8E1A2B">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8E1A2B">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8E1A2B">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85061C">
              <w:t>5.1</w:t>
            </w:r>
            <w:r w:rsidR="00AF1D9D">
              <w:fldChar w:fldCharType="end"/>
            </w:r>
            <w:r w:rsidRPr="006C4678">
              <w:t>.</w:t>
            </w:r>
          </w:p>
        </w:tc>
      </w:tr>
      <w:tr w:rsidR="00706C60" w:rsidRPr="009E3949" w14:paraId="1D1A29E0" w14:textId="77777777" w:rsidTr="008E1A2B">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D0DEB95" w:rsidR="00706C60" w:rsidRPr="006C4678" w:rsidRDefault="00706C60" w:rsidP="008E215B">
            <w:r w:rsidRPr="006C4678">
              <w:t>An application or proposal for grant funding</w:t>
            </w:r>
            <w:r w:rsidR="00042281">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8E1A2B">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85061C">
              <w:t>5.2</w:t>
            </w:r>
            <w:r w:rsidR="00AF1D9D">
              <w:fldChar w:fldCharType="end"/>
            </w:r>
            <w:r w:rsidRPr="006C4678">
              <w:t>.</w:t>
            </w:r>
          </w:p>
        </w:tc>
      </w:tr>
      <w:tr w:rsidR="008E1A2B" w:rsidRPr="009E3949" w14:paraId="12F76143" w14:textId="77777777" w:rsidTr="008E1A2B">
        <w:trPr>
          <w:cantSplit/>
        </w:trPr>
        <w:tc>
          <w:tcPr>
            <w:tcW w:w="1843" w:type="pct"/>
          </w:tcPr>
          <w:p w14:paraId="06506668" w14:textId="025FDBF7" w:rsidR="008E1A2B" w:rsidRDefault="008E1A2B" w:rsidP="008E215B">
            <w:r>
              <w:t>Grant agreement</w:t>
            </w:r>
          </w:p>
        </w:tc>
        <w:tc>
          <w:tcPr>
            <w:tcW w:w="3157" w:type="pct"/>
          </w:tcPr>
          <w:p w14:paraId="5575602C" w14:textId="61BF2DC4" w:rsidR="008E1A2B" w:rsidRPr="006C4678" w:rsidRDefault="008E1A2B" w:rsidP="008D433F">
            <w:r w:rsidRPr="006C4678">
              <w:rPr>
                <w:rStyle w:val="Emphasis"/>
                <w:i w:val="0"/>
              </w:rPr>
              <w:t>A legally binding contract between the Commonwealth and a grantee for the grant funding</w:t>
            </w:r>
            <w:r>
              <w:rPr>
                <w:rStyle w:val="Emphasis"/>
                <w:i w:val="0"/>
              </w:rPr>
              <w:t>.</w:t>
            </w:r>
          </w:p>
        </w:tc>
      </w:tr>
      <w:tr w:rsidR="008E1A2B" w:rsidRPr="009E3949" w14:paraId="2F8F0253" w14:textId="77777777" w:rsidTr="008E1A2B">
        <w:trPr>
          <w:cantSplit/>
        </w:trPr>
        <w:tc>
          <w:tcPr>
            <w:tcW w:w="1843" w:type="pct"/>
          </w:tcPr>
          <w:p w14:paraId="7CC23C09" w14:textId="374D9DB7" w:rsidR="008E1A2B" w:rsidRDefault="008E1A2B" w:rsidP="008E215B">
            <w:r>
              <w:t>Grant funding or grant funds</w:t>
            </w:r>
          </w:p>
        </w:tc>
        <w:tc>
          <w:tcPr>
            <w:tcW w:w="3157" w:type="pct"/>
          </w:tcPr>
          <w:p w14:paraId="428626E5" w14:textId="4FAFC62F" w:rsidR="008E1A2B" w:rsidRPr="006C4678" w:rsidRDefault="008E1A2B" w:rsidP="008E215B">
            <w:pPr>
              <w:rPr>
                <w:i/>
              </w:rPr>
            </w:pPr>
            <w:r w:rsidRPr="006C4678">
              <w:t xml:space="preserve">The funding made available by the Commonwealth to grantees under the </w:t>
            </w:r>
            <w:r w:rsidRPr="006C4678">
              <w:rPr>
                <w:color w:val="000000"/>
                <w:w w:val="0"/>
              </w:rPr>
              <w:t>program</w:t>
            </w:r>
            <w:r w:rsidRPr="006C4678">
              <w:t>.</w:t>
            </w:r>
          </w:p>
        </w:tc>
      </w:tr>
      <w:tr w:rsidR="008E1A2B" w:rsidRPr="009E3949" w14:paraId="2B9667D4" w14:textId="77777777" w:rsidTr="008E1A2B">
        <w:trPr>
          <w:cantSplit/>
        </w:trPr>
        <w:tc>
          <w:tcPr>
            <w:tcW w:w="1843" w:type="pct"/>
          </w:tcPr>
          <w:p w14:paraId="62D02C0A" w14:textId="7618E52D" w:rsidR="008E1A2B" w:rsidRDefault="0085061C" w:rsidP="008E215B">
            <w:hyperlink r:id="rId39" w:history="1">
              <w:r w:rsidR="008E1A2B" w:rsidRPr="005A61FE">
                <w:rPr>
                  <w:rStyle w:val="Hyperlink"/>
                </w:rPr>
                <w:t>GrantConnect</w:t>
              </w:r>
            </w:hyperlink>
          </w:p>
        </w:tc>
        <w:tc>
          <w:tcPr>
            <w:tcW w:w="3157" w:type="pct"/>
          </w:tcPr>
          <w:p w14:paraId="67365CE3" w14:textId="53BA5601" w:rsidR="008E1A2B" w:rsidRPr="006C4678" w:rsidRDefault="008E1A2B" w:rsidP="009E45B8">
            <w:r w:rsidRPr="005A61FE">
              <w:t>The Australian Government’s whole-of-government grants information system, which centralises the publication and reporting of Commonwealth grants in accordance with the CGRGs</w:t>
            </w:r>
            <w:r>
              <w:t>.</w:t>
            </w:r>
          </w:p>
        </w:tc>
      </w:tr>
      <w:tr w:rsidR="008E1A2B" w:rsidRPr="005A61FE" w14:paraId="0191E927" w14:textId="77777777" w:rsidTr="008E1A2B">
        <w:trPr>
          <w:cantSplit/>
        </w:trPr>
        <w:tc>
          <w:tcPr>
            <w:tcW w:w="1843" w:type="pct"/>
          </w:tcPr>
          <w:p w14:paraId="56BB0FA8" w14:textId="586AA21A" w:rsidR="008E1A2B" w:rsidRPr="005A61FE" w:rsidRDefault="008E1A2B" w:rsidP="009564E7">
            <w:r>
              <w:t>Grantee</w:t>
            </w:r>
          </w:p>
        </w:tc>
        <w:tc>
          <w:tcPr>
            <w:tcW w:w="3157" w:type="pct"/>
          </w:tcPr>
          <w:p w14:paraId="61547ED0" w14:textId="6FFFB582" w:rsidR="008E1A2B" w:rsidRPr="005A61FE" w:rsidRDefault="008E1A2B" w:rsidP="00CB7D56">
            <w:r w:rsidRPr="006C4678">
              <w:t>The recipient of grant funding under a grant agreement.</w:t>
            </w:r>
          </w:p>
        </w:tc>
      </w:tr>
      <w:tr w:rsidR="008E1A2B" w:rsidRPr="009E3949" w14:paraId="504A6426" w14:textId="77777777" w:rsidTr="008E1A2B">
        <w:trPr>
          <w:cantSplit/>
        </w:trPr>
        <w:tc>
          <w:tcPr>
            <w:tcW w:w="1843" w:type="pct"/>
          </w:tcPr>
          <w:p w14:paraId="41D079E4" w14:textId="093954D1" w:rsidR="008E1A2B" w:rsidRDefault="008E1A2B" w:rsidP="008E215B">
            <w:r>
              <w:t>Guidelines</w:t>
            </w:r>
          </w:p>
        </w:tc>
        <w:tc>
          <w:tcPr>
            <w:tcW w:w="3157" w:type="pct"/>
          </w:tcPr>
          <w:p w14:paraId="75E0E8A8" w14:textId="3EBCB327" w:rsidR="008E1A2B" w:rsidRPr="006C4678" w:rsidRDefault="008E1A2B" w:rsidP="008D433F">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8E1A2B" w:rsidRPr="009E3949" w14:paraId="0372C9DD" w14:textId="77777777" w:rsidTr="008E1A2B">
        <w:trPr>
          <w:cantSplit/>
        </w:trPr>
        <w:tc>
          <w:tcPr>
            <w:tcW w:w="1843" w:type="pct"/>
          </w:tcPr>
          <w:p w14:paraId="5DE12575" w14:textId="67DC4587" w:rsidR="008E1A2B" w:rsidRDefault="008E1A2B" w:rsidP="008E215B">
            <w:r>
              <w:t>Minister</w:t>
            </w:r>
          </w:p>
        </w:tc>
        <w:tc>
          <w:tcPr>
            <w:tcW w:w="3157" w:type="pct"/>
          </w:tcPr>
          <w:p w14:paraId="2166E52E" w14:textId="0EED5A5B" w:rsidR="008E1A2B" w:rsidRPr="006C4678" w:rsidRDefault="008E1A2B" w:rsidP="009875BB">
            <w:r w:rsidRPr="006C4678">
              <w:t>The</w:t>
            </w:r>
            <w:r>
              <w:t xml:space="preserve"> Commonwealth</w:t>
            </w:r>
            <w:r w:rsidRPr="006C4678">
              <w:t xml:space="preserve"> Minister</w:t>
            </w:r>
            <w:r>
              <w:t xml:space="preserve"> </w:t>
            </w:r>
            <w:r w:rsidRPr="006C4678">
              <w:t>for Industry, Science</w:t>
            </w:r>
            <w:r>
              <w:t xml:space="preserve"> and Technology</w:t>
            </w:r>
            <w:r w:rsidRPr="006C4678">
              <w:t>.</w:t>
            </w:r>
          </w:p>
        </w:tc>
      </w:tr>
      <w:tr w:rsidR="00B11FC1" w:rsidRPr="009E3949" w14:paraId="79256701" w14:textId="77777777" w:rsidTr="008E1A2B">
        <w:trPr>
          <w:cantSplit/>
        </w:trPr>
        <w:tc>
          <w:tcPr>
            <w:tcW w:w="1843" w:type="pct"/>
          </w:tcPr>
          <w:p w14:paraId="0CFB3BC7" w14:textId="275F67AE" w:rsidR="00B11FC1" w:rsidRDefault="00B11FC1" w:rsidP="008E215B">
            <w:r>
              <w:t>Level 1 testing</w:t>
            </w:r>
          </w:p>
        </w:tc>
        <w:tc>
          <w:tcPr>
            <w:tcW w:w="3157" w:type="pct"/>
          </w:tcPr>
          <w:p w14:paraId="1D30EDF4" w14:textId="329FFD83" w:rsidR="00B11FC1" w:rsidRPr="006C4678" w:rsidRDefault="005A1360" w:rsidP="000C6786">
            <w:r>
              <w:t>Tests conducted to ensure the space mission will survive launch with physical integrity and ability to switch on</w:t>
            </w:r>
            <w:r w:rsidR="00783B6E">
              <w:t>.</w:t>
            </w:r>
          </w:p>
        </w:tc>
      </w:tr>
      <w:tr w:rsidR="00B11FC1" w:rsidRPr="009E3949" w14:paraId="42C12B48" w14:textId="77777777" w:rsidTr="008E1A2B">
        <w:trPr>
          <w:cantSplit/>
        </w:trPr>
        <w:tc>
          <w:tcPr>
            <w:tcW w:w="1843" w:type="pct"/>
          </w:tcPr>
          <w:p w14:paraId="20EDEB04" w14:textId="43EB5F51" w:rsidR="00B11FC1" w:rsidRDefault="00B11FC1" w:rsidP="008E215B">
            <w:r>
              <w:t>Level 2 testing</w:t>
            </w:r>
          </w:p>
        </w:tc>
        <w:tc>
          <w:tcPr>
            <w:tcW w:w="3157" w:type="pct"/>
          </w:tcPr>
          <w:p w14:paraId="625DC7A7" w14:textId="2EE1EBC4" w:rsidR="00B11FC1" w:rsidRPr="006C4678" w:rsidRDefault="005A1360" w:rsidP="000C6786">
            <w:r>
              <w:t>Tests conducted to assure basic in-orbit performance</w:t>
            </w:r>
            <w:r w:rsidR="00783B6E">
              <w:t>.</w:t>
            </w:r>
          </w:p>
        </w:tc>
      </w:tr>
      <w:tr w:rsidR="00B11FC1" w:rsidRPr="009E3949" w14:paraId="7203D89C" w14:textId="77777777" w:rsidTr="008E1A2B">
        <w:trPr>
          <w:cantSplit/>
        </w:trPr>
        <w:tc>
          <w:tcPr>
            <w:tcW w:w="1843" w:type="pct"/>
          </w:tcPr>
          <w:p w14:paraId="070A32BE" w14:textId="6FD7B0EE" w:rsidR="00B11FC1" w:rsidRDefault="00B11FC1" w:rsidP="008E215B">
            <w:r>
              <w:lastRenderedPageBreak/>
              <w:t>Level 3 testing</w:t>
            </w:r>
          </w:p>
        </w:tc>
        <w:tc>
          <w:tcPr>
            <w:tcW w:w="3157" w:type="pct"/>
          </w:tcPr>
          <w:p w14:paraId="2D4959B9" w14:textId="2B1F684C" w:rsidR="00B11FC1" w:rsidRPr="006C4678" w:rsidRDefault="005A1360" w:rsidP="000C6786">
            <w:r>
              <w:t>Tests conducted to provide higher confidence of more sophisticated in-orbit performance</w:t>
            </w:r>
            <w:r w:rsidR="00783B6E">
              <w:t>.</w:t>
            </w:r>
          </w:p>
        </w:tc>
      </w:tr>
      <w:tr w:rsidR="008E1A2B" w:rsidRPr="009E3949" w14:paraId="320812CC" w14:textId="77777777" w:rsidTr="008E1A2B">
        <w:trPr>
          <w:cantSplit/>
        </w:trPr>
        <w:tc>
          <w:tcPr>
            <w:tcW w:w="1843" w:type="pct"/>
          </w:tcPr>
          <w:p w14:paraId="1B0F3510" w14:textId="3E6D5BAB" w:rsidR="008E1A2B" w:rsidRDefault="008E1A2B" w:rsidP="008E215B">
            <w:r>
              <w:t>Non-income-tax-exempt</w:t>
            </w:r>
          </w:p>
        </w:tc>
        <w:tc>
          <w:tcPr>
            <w:tcW w:w="3157" w:type="pct"/>
          </w:tcPr>
          <w:p w14:paraId="31735EC9" w14:textId="54410A9F" w:rsidR="008E1A2B" w:rsidRPr="006C4678" w:rsidRDefault="008E1A2B" w:rsidP="000C6786">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8E1A2B" w:rsidRPr="009E3949" w14:paraId="7FFB65F9" w14:textId="77777777" w:rsidTr="008E1A2B">
        <w:trPr>
          <w:cantSplit/>
        </w:trPr>
        <w:tc>
          <w:tcPr>
            <w:tcW w:w="1843" w:type="pct"/>
          </w:tcPr>
          <w:p w14:paraId="3BB2F432" w14:textId="0E7A2BE0" w:rsidR="008E1A2B" w:rsidRDefault="008E1A2B" w:rsidP="008E215B">
            <w:r>
              <w:t>Personal information</w:t>
            </w:r>
          </w:p>
        </w:tc>
        <w:tc>
          <w:tcPr>
            <w:tcW w:w="3157" w:type="pct"/>
          </w:tcPr>
          <w:p w14:paraId="7CB67FC3" w14:textId="77777777" w:rsidR="008E1A2B" w:rsidRDefault="008E1A2B"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0505740" w14:textId="77777777" w:rsidR="008E1A2B" w:rsidRDefault="008E1A2B" w:rsidP="00680B92">
            <w:pPr>
              <w:ind w:left="338"/>
              <w:rPr>
                <w:color w:val="000000"/>
                <w:w w:val="0"/>
              </w:rPr>
            </w:pPr>
            <w:r>
              <w:rPr>
                <w:color w:val="000000"/>
                <w:w w:val="0"/>
              </w:rPr>
              <w:t>Information or an opinion about an identified individual, or an individual who is reasonably identifiable:</w:t>
            </w:r>
          </w:p>
          <w:p w14:paraId="4B43D4B5" w14:textId="77777777" w:rsidR="00D22F06" w:rsidRDefault="008E1A2B" w:rsidP="00D22F06">
            <w:pPr>
              <w:pStyle w:val="ListParagraph"/>
              <w:numPr>
                <w:ilvl w:val="7"/>
                <w:numId w:val="11"/>
              </w:numPr>
              <w:ind w:left="720" w:hanging="382"/>
            </w:pPr>
            <w:r>
              <w:t>whether the information or opinion is true or not; and</w:t>
            </w:r>
          </w:p>
          <w:p w14:paraId="5B4EFAE1" w14:textId="04440AC9" w:rsidR="008E1A2B" w:rsidRPr="006C4678" w:rsidRDefault="008E1A2B" w:rsidP="00D22F06">
            <w:pPr>
              <w:pStyle w:val="ListParagraph"/>
              <w:numPr>
                <w:ilvl w:val="7"/>
                <w:numId w:val="11"/>
              </w:numPr>
              <w:ind w:left="720" w:hanging="382"/>
            </w:pPr>
            <w:r>
              <w:t>whether the information or opinion is recorded in a material form or not.</w:t>
            </w:r>
          </w:p>
        </w:tc>
      </w:tr>
      <w:tr w:rsidR="008E1A2B" w:rsidRPr="009E3949" w14:paraId="78315B9D" w14:textId="77777777" w:rsidTr="008E1A2B">
        <w:trPr>
          <w:cantSplit/>
        </w:trPr>
        <w:tc>
          <w:tcPr>
            <w:tcW w:w="1843" w:type="pct"/>
          </w:tcPr>
          <w:p w14:paraId="5387D1AB" w14:textId="23164070" w:rsidR="008E1A2B" w:rsidRDefault="008E1A2B" w:rsidP="008E215B">
            <w:r>
              <w:t>Program Delegate</w:t>
            </w:r>
          </w:p>
        </w:tc>
        <w:tc>
          <w:tcPr>
            <w:tcW w:w="3157" w:type="pct"/>
          </w:tcPr>
          <w:p w14:paraId="1C8367C9" w14:textId="31362393" w:rsidR="008E1A2B" w:rsidRPr="006C4678" w:rsidRDefault="008E1A2B" w:rsidP="00D22F06">
            <w:r w:rsidRPr="00D22F06">
              <w:rPr>
                <w:color w:val="000000"/>
                <w:w w:val="0"/>
              </w:rPr>
              <w:t>An AusIndustry manager within the department with responsibility for the program.</w:t>
            </w:r>
          </w:p>
        </w:tc>
      </w:tr>
      <w:tr w:rsidR="008E1A2B" w:rsidRPr="009E3949" w14:paraId="1929BDB2" w14:textId="77777777" w:rsidTr="008E1A2B">
        <w:trPr>
          <w:cantSplit/>
        </w:trPr>
        <w:tc>
          <w:tcPr>
            <w:tcW w:w="1843" w:type="pct"/>
          </w:tcPr>
          <w:p w14:paraId="2B61CA3A" w14:textId="4399573E" w:rsidR="008E1A2B" w:rsidRDefault="008E1A2B" w:rsidP="008E215B">
            <w:r>
              <w:t>Program funding or Program funds</w:t>
            </w:r>
          </w:p>
        </w:tc>
        <w:tc>
          <w:tcPr>
            <w:tcW w:w="3157" w:type="pct"/>
          </w:tcPr>
          <w:p w14:paraId="6197D741" w14:textId="6B46B9AA" w:rsidR="008E1A2B" w:rsidRPr="006C4678" w:rsidRDefault="008E1A2B" w:rsidP="00613C48">
            <w:pPr>
              <w:rPr>
                <w:bCs/>
              </w:rPr>
            </w:pPr>
            <w:r w:rsidRPr="006C4678">
              <w:rPr>
                <w:bCs/>
              </w:rPr>
              <w:t>The funding made available by the Commonwealth for the program.</w:t>
            </w:r>
          </w:p>
        </w:tc>
      </w:tr>
      <w:tr w:rsidR="008E1A2B" w:rsidRPr="009E3949" w14:paraId="0C182300" w14:textId="77777777" w:rsidTr="008E1A2B">
        <w:trPr>
          <w:cantSplit/>
        </w:trPr>
        <w:tc>
          <w:tcPr>
            <w:tcW w:w="1843" w:type="pct"/>
          </w:tcPr>
          <w:p w14:paraId="04FBEB43" w14:textId="23FEFEFB" w:rsidR="008E1A2B" w:rsidRDefault="008E1A2B" w:rsidP="008E215B">
            <w:r>
              <w:t>Project</w:t>
            </w:r>
          </w:p>
        </w:tc>
        <w:tc>
          <w:tcPr>
            <w:tcW w:w="3157" w:type="pct"/>
          </w:tcPr>
          <w:p w14:paraId="4F7D1193" w14:textId="7ECB97BD" w:rsidR="008E1A2B" w:rsidRPr="006C4678" w:rsidRDefault="008E1A2B" w:rsidP="008D433F">
            <w:r w:rsidRPr="006C4678">
              <w:t>A project described in an application for grant funding under the program.</w:t>
            </w:r>
          </w:p>
        </w:tc>
      </w:tr>
      <w:tr w:rsidR="008E1A2B" w:rsidRPr="009E3949" w14:paraId="1444536A" w14:textId="77777777" w:rsidTr="008E1A2B">
        <w:trPr>
          <w:cantSplit/>
        </w:trPr>
        <w:tc>
          <w:tcPr>
            <w:tcW w:w="1843" w:type="pct"/>
          </w:tcPr>
          <w:p w14:paraId="1C273EAF" w14:textId="20B428D4" w:rsidR="008E1A2B" w:rsidRDefault="008E1A2B" w:rsidP="008E215B">
            <w:r>
              <w:t>P</w:t>
            </w:r>
            <w:r w:rsidRPr="009E3949">
              <w:t>ublicly funded research organisation</w:t>
            </w:r>
            <w:r>
              <w:t xml:space="preserve"> (PFRO)</w:t>
            </w:r>
          </w:p>
        </w:tc>
        <w:tc>
          <w:tcPr>
            <w:tcW w:w="3157" w:type="pct"/>
          </w:tcPr>
          <w:p w14:paraId="289C6E68" w14:textId="32D94B2B" w:rsidR="008E1A2B" w:rsidRPr="006C4678" w:rsidRDefault="008E1A2B" w:rsidP="00672420">
            <w:pPr>
              <w:rPr>
                <w:color w:val="000000"/>
                <w:w w:val="0"/>
                <w:szCs w:val="2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(Cth</w:t>
            </w:r>
            <w:r w:rsidRPr="00672420">
              <w:rPr>
                <w:szCs w:val="20"/>
              </w:rPr>
              <w:t xml:space="preserve">) and corporate </w:t>
            </w:r>
            <w:r w:rsidRPr="00672420">
              <w:t xml:space="preserve">Commonwealth entities, and State and Territory </w:t>
            </w:r>
            <w:r w:rsidRPr="00672420">
              <w:rPr>
                <w:szCs w:val="20"/>
              </w:rPr>
              <w:t>business enterprises which undertake publicly funded research.</w:t>
            </w:r>
          </w:p>
        </w:tc>
      </w:tr>
    </w:tbl>
    <w:p w14:paraId="25F65377" w14:textId="77777777" w:rsidR="00230A2B" w:rsidRDefault="00230A2B" w:rsidP="00230A2B"/>
    <w:p w14:paraId="25F65378" w14:textId="0311CE5E" w:rsidR="00230A2B" w:rsidRDefault="00385E5D" w:rsidP="00230A2B">
      <w:pPr>
        <w:sectPr w:rsidR="00230A2B" w:rsidSect="0002331D">
          <w:pgSz w:w="11907" w:h="16840" w:code="9"/>
          <w:pgMar w:top="1418" w:right="1418" w:bottom="1276" w:left="1701" w:header="709" w:footer="709" w:gutter="0"/>
          <w:cols w:space="720"/>
          <w:docGrid w:linePitch="360"/>
        </w:sectPr>
      </w:pPr>
      <w:r>
        <w:t>NB. A technical glossary is provided as an annex to Appendix A</w:t>
      </w:r>
    </w:p>
    <w:p w14:paraId="005536FC" w14:textId="0AFF1BFD" w:rsidR="00F917C2" w:rsidRDefault="00353A91" w:rsidP="00FB65C3">
      <w:pPr>
        <w:pStyle w:val="Heading2Appendix"/>
        <w:ind w:left="0" w:firstLine="0"/>
      </w:pPr>
      <w:bookmarkStart w:id="325" w:name="_Toc51230468"/>
      <w:bookmarkStart w:id="326" w:name="_Toc51230522"/>
      <w:bookmarkEnd w:id="325"/>
      <w:bookmarkEnd w:id="326"/>
      <w:r>
        <w:lastRenderedPageBreak/>
        <w:t>Appendix A</w:t>
      </w:r>
    </w:p>
    <w:p w14:paraId="2E940A20" w14:textId="19FF8608" w:rsidR="00402271" w:rsidRPr="00402271" w:rsidRDefault="00402271" w:rsidP="00B14839">
      <w:pPr>
        <w:spacing w:before="0" w:after="0" w:line="204" w:lineRule="auto"/>
        <w:contextualSpacing/>
        <w:rPr>
          <w:rFonts w:ascii="Century Gothic" w:hAnsi="Century Gothic"/>
          <w:iCs w:val="0"/>
          <w:caps/>
          <w:color w:val="455F51"/>
          <w:spacing w:val="-15"/>
          <w:sz w:val="56"/>
          <w:szCs w:val="56"/>
          <w:lang w:val="en-ZA"/>
        </w:rPr>
      </w:pPr>
      <w:r>
        <w:rPr>
          <w:rFonts w:ascii="Century Gothic" w:hAnsi="Century Gothic"/>
          <w:iCs w:val="0"/>
          <w:caps/>
          <w:color w:val="455F51"/>
          <w:spacing w:val="-15"/>
          <w:sz w:val="56"/>
          <w:szCs w:val="56"/>
          <w:lang w:val="en-ZA"/>
        </w:rPr>
        <w:br/>
      </w:r>
      <w:r w:rsidR="00B14839" w:rsidRPr="00B14839">
        <w:rPr>
          <w:rFonts w:ascii="Century Gothic" w:hAnsi="Century Gothic"/>
          <w:iCs w:val="0"/>
          <w:caps/>
          <w:color w:val="455F51"/>
          <w:spacing w:val="-15"/>
          <w:sz w:val="56"/>
          <w:szCs w:val="56"/>
          <w:lang w:val="en-ZA"/>
        </w:rPr>
        <w:t>National Payload Qualification Facility Audit</w:t>
      </w:r>
    </w:p>
    <w:p w14:paraId="5A6D29B8" w14:textId="77777777" w:rsidR="00402271" w:rsidRDefault="00B14839" w:rsidP="00402271">
      <w:pPr>
        <w:keepNext/>
        <w:keepLines/>
        <w:spacing w:before="400" w:after="40" w:line="240" w:lineRule="auto"/>
        <w:rPr>
          <w:rFonts w:ascii="Century Gothic" w:hAnsi="Century Gothic"/>
          <w:iCs w:val="0"/>
          <w:color w:val="4D671B"/>
          <w:sz w:val="36"/>
          <w:szCs w:val="36"/>
          <w:lang w:val="en-ZA"/>
        </w:rPr>
      </w:pPr>
      <w:r w:rsidRPr="00B14839">
        <w:rPr>
          <w:rFonts w:ascii="Century Gothic" w:hAnsi="Century Gothic"/>
          <w:iCs w:val="0"/>
          <w:color w:val="4D671B"/>
          <w:sz w:val="36"/>
          <w:szCs w:val="36"/>
          <w:lang w:val="en-ZA"/>
        </w:rPr>
        <w:t>Executive Summary</w:t>
      </w:r>
    </w:p>
    <w:p w14:paraId="16E63245" w14:textId="77777777" w:rsidR="00402271" w:rsidRDefault="00B14839" w:rsidP="00402271">
      <w:pPr>
        <w:keepNext/>
        <w:keepLines/>
        <w:spacing w:before="400" w:after="40" w:line="240" w:lineRule="auto"/>
        <w:rPr>
          <w:rFonts w:ascii="Century Gothic" w:hAnsi="Century Gothic"/>
          <w:iCs w:val="0"/>
          <w:color w:val="4D671B"/>
          <w:sz w:val="36"/>
          <w:szCs w:val="36"/>
          <w:lang w:val="en-ZA"/>
        </w:rPr>
      </w:pPr>
      <w:r w:rsidRPr="00B14839">
        <w:rPr>
          <w:rFonts w:ascii="Century Gothic" w:hAnsi="Century Gothic"/>
          <w:iCs w:val="0"/>
          <w:color w:val="99CB38"/>
          <w:sz w:val="28"/>
          <w:szCs w:val="28"/>
          <w:lang w:val="en-ZA"/>
        </w:rPr>
        <w:t>Conducted by Nova Systems – Complex Communications and Space – on behalf of the Australian Space Agency</w:t>
      </w:r>
    </w:p>
    <w:p w14:paraId="505F32CD" w14:textId="182336F1" w:rsidR="00B14839" w:rsidRPr="00B14839" w:rsidRDefault="00B14839" w:rsidP="00402271">
      <w:pPr>
        <w:keepNext/>
        <w:keepLines/>
        <w:spacing w:before="400" w:after="40" w:line="240" w:lineRule="auto"/>
        <w:rPr>
          <w:rFonts w:ascii="Century Gothic" w:hAnsi="Century Gothic"/>
          <w:iCs w:val="0"/>
          <w:color w:val="4D671B"/>
          <w:sz w:val="36"/>
          <w:szCs w:val="36"/>
          <w:lang w:val="en-ZA"/>
        </w:rPr>
      </w:pPr>
      <w:r w:rsidRPr="00B14839">
        <w:rPr>
          <w:rFonts w:ascii="Century Gothic" w:hAnsi="Century Gothic" w:cs="Arial"/>
          <w:iCs w:val="0"/>
          <w:color w:val="729928"/>
          <w:sz w:val="32"/>
          <w:szCs w:val="32"/>
          <w:lang w:val="en-ZA"/>
        </w:rPr>
        <w:t>September 2020</w:t>
      </w:r>
    </w:p>
    <w:p w14:paraId="6F2CC1EE" w14:textId="77777777" w:rsidR="00B14839" w:rsidRPr="00B14839" w:rsidRDefault="00B14839" w:rsidP="00B14839">
      <w:pPr>
        <w:spacing w:before="0" w:after="160" w:line="259" w:lineRule="auto"/>
        <w:jc w:val="both"/>
        <w:rPr>
          <w:rFonts w:ascii="Century Gothic" w:hAnsi="Century Gothic" w:cs="Arial"/>
          <w:i/>
          <w:sz w:val="22"/>
          <w:szCs w:val="22"/>
          <w:lang w:val="en-ZA"/>
        </w:rPr>
      </w:pPr>
    </w:p>
    <w:p w14:paraId="2318B109" w14:textId="77777777" w:rsidR="00B14839" w:rsidRPr="00B14839" w:rsidRDefault="00B14839" w:rsidP="00B14839">
      <w:pPr>
        <w:spacing w:before="0" w:after="160" w:line="259" w:lineRule="auto"/>
        <w:jc w:val="both"/>
        <w:rPr>
          <w:rFonts w:ascii="Century Gothic" w:hAnsi="Century Gothic" w:cs="Arial"/>
          <w:i/>
          <w:sz w:val="22"/>
          <w:szCs w:val="22"/>
          <w:lang w:val="en-ZA"/>
        </w:rPr>
      </w:pPr>
      <w:r w:rsidRPr="00B14839">
        <w:rPr>
          <w:rFonts w:ascii="Century Gothic" w:hAnsi="Century Gothic" w:cs="Arial"/>
          <w:i/>
          <w:sz w:val="22"/>
          <w:szCs w:val="22"/>
          <w:lang w:val="en-ZA"/>
        </w:rPr>
        <w:t>How can space infrastructure investment enhance the national space payload qualification capability to best meet current and future needs and opportunities?</w:t>
      </w:r>
    </w:p>
    <w:p w14:paraId="054C7D91" w14:textId="77777777" w:rsidR="00B14839" w:rsidRDefault="00B14839" w:rsidP="00B14839">
      <w:pPr>
        <w:spacing w:before="0" w:after="160" w:line="259" w:lineRule="auto"/>
        <w:jc w:val="both"/>
        <w:rPr>
          <w:rFonts w:ascii="Century Gothic" w:hAnsi="Century Gothic" w:cs="Arial"/>
          <w:iCs w:val="0"/>
          <w:sz w:val="22"/>
          <w:szCs w:val="22"/>
          <w:lang w:val="en-ZA"/>
        </w:rPr>
      </w:pPr>
      <w:r w:rsidRPr="00B14839">
        <w:rPr>
          <w:rFonts w:ascii="Century Gothic" w:hAnsi="Century Gothic" w:cs="Arial"/>
          <w:iCs w:val="0"/>
          <w:sz w:val="22"/>
          <w:szCs w:val="22"/>
          <w:lang w:val="en-ZA"/>
        </w:rPr>
        <w:t>A survey of the existing space qualification test capability in Australia has examined current usage and has canvassed its future needs. These insights, coupled with Nova Systems’ expert knowledge of space technology testing and the space business, have been provided to inform the Australian Space Agency as it considers how best to support growth and transformation of Australia’s space sector via investment in test infrastructure. This summary reflects a limited, public domain subset of this information to inform Australia’s space industry.</w:t>
      </w:r>
    </w:p>
    <w:p w14:paraId="72EE2A41" w14:textId="72FB427F" w:rsidR="008221DA" w:rsidRDefault="008221DA" w:rsidP="00CA7B0F">
      <w:pPr>
        <w:keepNext/>
        <w:keepLines/>
        <w:spacing w:before="0" w:line="276" w:lineRule="auto"/>
        <w:rPr>
          <w:rFonts w:ascii="Century Gothic" w:hAnsi="Century Gothic" w:cs="Arial"/>
          <w:iCs w:val="0"/>
          <w:color w:val="729928"/>
          <w:sz w:val="32"/>
          <w:szCs w:val="32"/>
          <w:lang w:val="en-ZA"/>
        </w:rPr>
      </w:pPr>
      <w:r w:rsidRPr="00AA5511">
        <w:rPr>
          <w:rFonts w:ascii="Century Gothic" w:hAnsi="Century Gothic" w:cs="Arial"/>
          <w:iCs w:val="0"/>
          <w:color w:val="729928"/>
          <w:sz w:val="32"/>
          <w:szCs w:val="32"/>
          <w:lang w:val="en-ZA"/>
        </w:rPr>
        <w:t>Contents</w:t>
      </w:r>
    </w:p>
    <w:p w14:paraId="35D7E3CB" w14:textId="554CECA4" w:rsidR="008221DA" w:rsidRPr="00015657" w:rsidRDefault="008221DA" w:rsidP="00CA7B0F">
      <w:pPr>
        <w:spacing w:before="0" w:line="276" w:lineRule="auto"/>
        <w:jc w:val="both"/>
        <w:rPr>
          <w:rFonts w:ascii="Century Gothic" w:hAnsi="Century Gothic" w:cs="Arial"/>
          <w:iCs w:val="0"/>
          <w:sz w:val="22"/>
          <w:szCs w:val="22"/>
          <w:lang w:val="en-ZA"/>
        </w:rPr>
      </w:pPr>
      <w:r w:rsidRPr="00015657">
        <w:rPr>
          <w:rFonts w:ascii="Century Gothic" w:hAnsi="Century Gothic" w:cs="Arial"/>
          <w:iCs w:val="0"/>
          <w:sz w:val="22"/>
          <w:szCs w:val="22"/>
          <w:lang w:val="en-ZA"/>
        </w:rPr>
        <w:t>Introduction</w:t>
      </w:r>
      <w:r>
        <w:rPr>
          <w:rFonts w:ascii="Century Gothic" w:hAnsi="Century Gothic" w:cs="Arial"/>
          <w:iCs w:val="0"/>
          <w:sz w:val="22"/>
          <w:szCs w:val="22"/>
          <w:lang w:val="en-ZA"/>
        </w:rPr>
        <w:t>…</w:t>
      </w:r>
      <w:r w:rsidRPr="00015657">
        <w:rPr>
          <w:rFonts w:ascii="Century Gothic" w:hAnsi="Century Gothic" w:cs="Arial"/>
          <w:iCs w:val="0"/>
          <w:sz w:val="22"/>
          <w:szCs w:val="22"/>
          <w:lang w:val="en-ZA"/>
        </w:rPr>
        <w:t>…………………………………………………………………………………………</w:t>
      </w:r>
      <w:r>
        <w:rPr>
          <w:rFonts w:ascii="Century Gothic" w:hAnsi="Century Gothic" w:cs="Arial"/>
          <w:iCs w:val="0"/>
          <w:sz w:val="22"/>
          <w:szCs w:val="22"/>
          <w:lang w:val="en-ZA"/>
        </w:rPr>
        <w:t>…….24</w:t>
      </w:r>
    </w:p>
    <w:p w14:paraId="364AB70B" w14:textId="02DD113C" w:rsidR="008221DA" w:rsidRPr="00015657" w:rsidRDefault="008221DA" w:rsidP="00CA7B0F">
      <w:pPr>
        <w:spacing w:before="0" w:line="276" w:lineRule="auto"/>
        <w:jc w:val="both"/>
        <w:rPr>
          <w:rFonts w:ascii="Century Gothic" w:hAnsi="Century Gothic" w:cs="Arial"/>
          <w:iCs w:val="0"/>
          <w:sz w:val="22"/>
          <w:szCs w:val="22"/>
          <w:lang w:val="en-ZA"/>
        </w:rPr>
      </w:pPr>
      <w:r w:rsidRPr="00015657">
        <w:rPr>
          <w:rFonts w:ascii="Century Gothic" w:hAnsi="Century Gothic" w:cs="Arial"/>
          <w:iCs w:val="0"/>
          <w:sz w:val="22"/>
          <w:szCs w:val="22"/>
          <w:lang w:val="en-ZA"/>
        </w:rPr>
        <w:t>The Australian Space Sector……..……………………………………………………………………</w:t>
      </w:r>
      <w:r>
        <w:rPr>
          <w:rFonts w:ascii="Century Gothic" w:hAnsi="Century Gothic" w:cs="Arial"/>
          <w:iCs w:val="0"/>
          <w:sz w:val="22"/>
          <w:szCs w:val="22"/>
          <w:lang w:val="en-ZA"/>
        </w:rPr>
        <w:t>…25</w:t>
      </w:r>
    </w:p>
    <w:p w14:paraId="6B5CE1BB" w14:textId="6F22C8FE" w:rsidR="008221DA" w:rsidRPr="00015657" w:rsidRDefault="008221DA" w:rsidP="00CA7B0F">
      <w:pPr>
        <w:spacing w:before="0" w:line="276" w:lineRule="auto"/>
        <w:jc w:val="both"/>
        <w:rPr>
          <w:rFonts w:ascii="Century Gothic" w:hAnsi="Century Gothic" w:cs="Arial"/>
          <w:iCs w:val="0"/>
          <w:sz w:val="22"/>
          <w:szCs w:val="22"/>
          <w:lang w:val="en-ZA"/>
        </w:rPr>
      </w:pPr>
      <w:r w:rsidRPr="00015657">
        <w:rPr>
          <w:rFonts w:ascii="Century Gothic" w:hAnsi="Century Gothic" w:cs="Arial"/>
          <w:iCs w:val="0"/>
          <w:sz w:val="22"/>
          <w:szCs w:val="22"/>
          <w:lang w:val="en-ZA"/>
        </w:rPr>
        <w:t>Existing Capacity…………………………………………………………………………</w:t>
      </w:r>
      <w:r>
        <w:rPr>
          <w:rFonts w:ascii="Century Gothic" w:hAnsi="Century Gothic" w:cs="Arial"/>
          <w:iCs w:val="0"/>
          <w:sz w:val="22"/>
          <w:szCs w:val="22"/>
          <w:lang w:val="en-ZA"/>
        </w:rPr>
        <w:t>...</w:t>
      </w:r>
      <w:r w:rsidRPr="00015657">
        <w:rPr>
          <w:rFonts w:ascii="Century Gothic" w:hAnsi="Century Gothic" w:cs="Arial"/>
          <w:iCs w:val="0"/>
          <w:sz w:val="22"/>
          <w:szCs w:val="22"/>
          <w:lang w:val="en-ZA"/>
        </w:rPr>
        <w:t>………………</w:t>
      </w:r>
      <w:r>
        <w:rPr>
          <w:rFonts w:ascii="Century Gothic" w:hAnsi="Century Gothic" w:cs="Arial"/>
          <w:iCs w:val="0"/>
          <w:sz w:val="22"/>
          <w:szCs w:val="22"/>
          <w:lang w:val="en-ZA"/>
        </w:rPr>
        <w:t>26</w:t>
      </w:r>
    </w:p>
    <w:p w14:paraId="654CC0BC" w14:textId="4B144AD5" w:rsidR="008221DA" w:rsidRPr="00015657" w:rsidRDefault="008221DA" w:rsidP="00CA7B0F">
      <w:pPr>
        <w:spacing w:before="0" w:line="276" w:lineRule="auto"/>
        <w:jc w:val="both"/>
        <w:rPr>
          <w:rFonts w:ascii="Century Gothic" w:hAnsi="Century Gothic" w:cs="Arial"/>
          <w:iCs w:val="0"/>
          <w:sz w:val="22"/>
          <w:szCs w:val="22"/>
          <w:lang w:val="en-ZA"/>
        </w:rPr>
      </w:pPr>
      <w:r w:rsidRPr="00015657">
        <w:rPr>
          <w:rFonts w:ascii="Century Gothic" w:hAnsi="Century Gothic" w:cs="Arial"/>
          <w:iCs w:val="0"/>
          <w:sz w:val="22"/>
          <w:szCs w:val="22"/>
          <w:lang w:val="en-ZA"/>
        </w:rPr>
        <w:t>Potential Demand for Testing……………………………………………………………………</w:t>
      </w:r>
      <w:r>
        <w:rPr>
          <w:rFonts w:ascii="Century Gothic" w:hAnsi="Century Gothic" w:cs="Arial"/>
          <w:iCs w:val="0"/>
          <w:sz w:val="22"/>
          <w:szCs w:val="22"/>
          <w:lang w:val="en-ZA"/>
        </w:rPr>
        <w:t>…</w:t>
      </w:r>
      <w:r w:rsidRPr="00015657">
        <w:rPr>
          <w:rFonts w:ascii="Century Gothic" w:hAnsi="Century Gothic" w:cs="Arial"/>
          <w:iCs w:val="0"/>
          <w:sz w:val="22"/>
          <w:szCs w:val="22"/>
          <w:lang w:val="en-ZA"/>
        </w:rPr>
        <w:t>…</w:t>
      </w:r>
      <w:r>
        <w:rPr>
          <w:rFonts w:ascii="Century Gothic" w:hAnsi="Century Gothic" w:cs="Arial"/>
          <w:iCs w:val="0"/>
          <w:sz w:val="22"/>
          <w:szCs w:val="22"/>
          <w:lang w:val="en-ZA"/>
        </w:rPr>
        <w:t>….27</w:t>
      </w:r>
    </w:p>
    <w:p w14:paraId="4C8AEB99" w14:textId="4DCA51A2" w:rsidR="008221DA" w:rsidRPr="00015657" w:rsidRDefault="008221DA" w:rsidP="00CA7B0F">
      <w:pPr>
        <w:spacing w:before="0" w:line="276" w:lineRule="auto"/>
        <w:jc w:val="both"/>
        <w:rPr>
          <w:rFonts w:ascii="Century Gothic" w:hAnsi="Century Gothic" w:cs="Arial"/>
          <w:iCs w:val="0"/>
          <w:sz w:val="22"/>
          <w:szCs w:val="22"/>
          <w:lang w:val="en-ZA"/>
        </w:rPr>
      </w:pPr>
      <w:r w:rsidRPr="00015657">
        <w:rPr>
          <w:rFonts w:ascii="Century Gothic" w:hAnsi="Century Gothic" w:cs="Arial"/>
          <w:iCs w:val="0"/>
          <w:sz w:val="22"/>
          <w:szCs w:val="22"/>
          <w:lang w:val="en-ZA"/>
        </w:rPr>
        <w:t>Gaps in Capability Testing</w:t>
      </w:r>
      <w:r w:rsidRPr="00015657">
        <w:rPr>
          <w:rFonts w:ascii="Century Gothic" w:hAnsi="Century Gothic" w:cs="Arial"/>
          <w:iCs w:val="0"/>
          <w:sz w:val="22"/>
          <w:szCs w:val="22"/>
          <w:lang w:val="en-ZA"/>
        </w:rPr>
        <w:tab/>
        <w:t>………………………………………………………………………</w:t>
      </w:r>
      <w:r>
        <w:rPr>
          <w:rFonts w:ascii="Century Gothic" w:hAnsi="Century Gothic" w:cs="Arial"/>
          <w:iCs w:val="0"/>
          <w:sz w:val="22"/>
          <w:szCs w:val="22"/>
          <w:lang w:val="en-ZA"/>
        </w:rPr>
        <w:t>…</w:t>
      </w:r>
      <w:r w:rsidRPr="00015657">
        <w:rPr>
          <w:rFonts w:ascii="Century Gothic" w:hAnsi="Century Gothic" w:cs="Arial"/>
          <w:iCs w:val="0"/>
          <w:sz w:val="22"/>
          <w:szCs w:val="22"/>
          <w:lang w:val="en-ZA"/>
        </w:rPr>
        <w:t>…</w:t>
      </w:r>
      <w:r>
        <w:rPr>
          <w:rFonts w:ascii="Century Gothic" w:hAnsi="Century Gothic" w:cs="Arial"/>
          <w:iCs w:val="0"/>
          <w:sz w:val="22"/>
          <w:szCs w:val="22"/>
          <w:lang w:val="en-ZA"/>
        </w:rPr>
        <w:t>…28</w:t>
      </w:r>
    </w:p>
    <w:p w14:paraId="6638A586" w14:textId="3D8195C8" w:rsidR="008221DA" w:rsidRDefault="008221DA" w:rsidP="00CA7B0F">
      <w:pPr>
        <w:spacing w:before="0" w:line="276" w:lineRule="auto"/>
        <w:rPr>
          <w:rFonts w:ascii="Century Gothic" w:hAnsi="Century Gothic" w:cs="Arial"/>
          <w:iCs w:val="0"/>
          <w:sz w:val="22"/>
          <w:szCs w:val="22"/>
          <w:lang w:val="en-ZA"/>
        </w:rPr>
      </w:pPr>
      <w:r w:rsidRPr="00015657">
        <w:rPr>
          <w:rFonts w:ascii="Century Gothic" w:hAnsi="Century Gothic" w:cs="Arial"/>
          <w:iCs w:val="0"/>
          <w:sz w:val="22"/>
          <w:szCs w:val="22"/>
          <w:lang w:val="en-ZA"/>
        </w:rPr>
        <w:t>Conclusions…………………………………………………………………………………………</w:t>
      </w:r>
      <w:r>
        <w:rPr>
          <w:rFonts w:ascii="Century Gothic" w:hAnsi="Century Gothic" w:cs="Arial"/>
          <w:iCs w:val="0"/>
          <w:sz w:val="22"/>
          <w:szCs w:val="22"/>
          <w:lang w:val="en-ZA"/>
        </w:rPr>
        <w:t>…</w:t>
      </w:r>
      <w:r w:rsidRPr="00015657">
        <w:rPr>
          <w:rFonts w:ascii="Century Gothic" w:hAnsi="Century Gothic" w:cs="Arial"/>
          <w:iCs w:val="0"/>
          <w:sz w:val="22"/>
          <w:szCs w:val="22"/>
          <w:lang w:val="en-ZA"/>
        </w:rPr>
        <w:t>…</w:t>
      </w:r>
      <w:r>
        <w:rPr>
          <w:rFonts w:ascii="Century Gothic" w:hAnsi="Century Gothic" w:cs="Arial"/>
          <w:iCs w:val="0"/>
          <w:sz w:val="22"/>
          <w:szCs w:val="22"/>
          <w:lang w:val="en-ZA"/>
        </w:rPr>
        <w:t>….30</w:t>
      </w:r>
    </w:p>
    <w:p w14:paraId="5058E012" w14:textId="65BCFE52" w:rsidR="00B14839" w:rsidRPr="00B14839" w:rsidRDefault="008221DA" w:rsidP="00CA7B0F">
      <w:pPr>
        <w:spacing w:before="0" w:line="276" w:lineRule="auto"/>
        <w:rPr>
          <w:rFonts w:ascii="Century Gothic" w:hAnsi="Century Gothic" w:cs="Arial"/>
          <w:iCs w:val="0"/>
          <w:sz w:val="22"/>
          <w:szCs w:val="22"/>
          <w:lang w:val="en-ZA"/>
        </w:rPr>
      </w:pPr>
      <w:r w:rsidRPr="007F21A6">
        <w:rPr>
          <w:rFonts w:ascii="Century Gothic" w:hAnsi="Century Gothic" w:cs="Arial"/>
          <w:iCs w:val="0"/>
          <w:sz w:val="22"/>
          <w:szCs w:val="22"/>
          <w:lang w:val="en-ZA"/>
        </w:rPr>
        <w:t>Annex – Directory of Australian Space Test Capability………………………………………</w:t>
      </w:r>
      <w:r>
        <w:rPr>
          <w:rFonts w:ascii="Century Gothic" w:hAnsi="Century Gothic" w:cs="Arial"/>
          <w:iCs w:val="0"/>
          <w:sz w:val="22"/>
          <w:szCs w:val="22"/>
          <w:lang w:val="en-ZA"/>
        </w:rPr>
        <w:t>….….31</w:t>
      </w:r>
      <w:bookmarkStart w:id="327" w:name="_Toc408383078"/>
      <w:bookmarkStart w:id="328" w:name="_Toc396838191"/>
      <w:bookmarkStart w:id="329" w:name="_Toc397894527"/>
      <w:bookmarkStart w:id="330" w:name="_Toc400542289"/>
      <w:bookmarkStart w:id="331" w:name="_Toc408383079"/>
      <w:bookmarkStart w:id="332" w:name="_Toc396838192"/>
      <w:bookmarkStart w:id="333" w:name="_Toc397894528"/>
      <w:bookmarkStart w:id="334" w:name="_Toc400542290"/>
      <w:bookmarkStart w:id="335" w:name="_Toc408383080"/>
      <w:bookmarkStart w:id="336" w:name="_Toc396838193"/>
      <w:bookmarkStart w:id="337" w:name="_Toc397894529"/>
      <w:bookmarkStart w:id="338" w:name="_Toc400542291"/>
      <w:bookmarkStart w:id="339" w:name="OLE_LINK21"/>
      <w:bookmarkStart w:id="340" w:name="OLE_LINK20"/>
      <w:bookmarkStart w:id="341" w:name="_Toc408383081"/>
      <w:bookmarkStart w:id="342" w:name="_Toc402271518"/>
      <w:bookmarkStart w:id="343" w:name="_Toc399934182"/>
      <w:bookmarkStart w:id="344" w:name="_Toc398196530"/>
      <w:bookmarkStart w:id="345" w:name="_Toc398194986"/>
      <w:bookmarkStart w:id="346" w:name="_Toc397894530"/>
      <w:bookmarkStart w:id="347" w:name="_Toc396838194"/>
      <w:bookmarkStart w:id="348" w:name="_3.5._State-of-the-art_manufacturing"/>
      <w:bookmarkStart w:id="349" w:name="_3.4._State-of-the-art_manufacturing"/>
      <w:bookmarkStart w:id="350" w:name="OLE_LINK19"/>
      <w:bookmarkStart w:id="351" w:name="_Toc408383082"/>
      <w:bookmarkStart w:id="352" w:name="_Toc400542293"/>
      <w:bookmarkStart w:id="353" w:name="_Toc408383083"/>
      <w:bookmarkStart w:id="354" w:name="_Toc402271519"/>
      <w:bookmarkStart w:id="355" w:name="_Toc399934183"/>
      <w:bookmarkStart w:id="356" w:name="_Toc398196531"/>
      <w:bookmarkStart w:id="357" w:name="_Toc398194987"/>
      <w:bookmarkStart w:id="358" w:name="_Toc397894531"/>
      <w:bookmarkStart w:id="359" w:name="_Toc396838195"/>
      <w:bookmarkStart w:id="360" w:name="_3.6._Prototype_expenditure"/>
      <w:bookmarkStart w:id="361" w:name="OLE_LINK17"/>
      <w:bookmarkStart w:id="362" w:name="OLE_LINK1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C98F84A" w14:textId="77777777" w:rsidR="00B14839" w:rsidRPr="00B14839" w:rsidRDefault="00B14839" w:rsidP="00CA7B0F">
      <w:pPr>
        <w:spacing w:before="0" w:line="276" w:lineRule="auto"/>
        <w:jc w:val="both"/>
        <w:rPr>
          <w:rFonts w:ascii="Century Gothic" w:hAnsi="Century Gothic" w:cs="Arial"/>
          <w:iCs w:val="0"/>
          <w:szCs w:val="20"/>
          <w:lang w:val="en-ZA"/>
        </w:rPr>
      </w:pPr>
      <w:r w:rsidRPr="00B14839">
        <w:rPr>
          <w:rFonts w:ascii="Century Gothic" w:hAnsi="Century Gothic" w:cs="Arial"/>
          <w:iCs w:val="0"/>
          <w:sz w:val="18"/>
          <w:szCs w:val="18"/>
          <w:lang w:val="en-ZA"/>
        </w:rPr>
        <w:t>Disclaimer: This report has been prepared by Nova Systems following a detailed analysis of the space sector and the results of the related survey conducted from March to August 2020. The contents, conclusions and recommendations of this report are independently delivered by Nova Systems and may not necessarily reflect the view of the Australian Space Agency.</w:t>
      </w:r>
    </w:p>
    <w:p w14:paraId="137A225A"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63" w:name="_Toc49958702"/>
      <w:r w:rsidRPr="00B14839">
        <w:rPr>
          <w:rFonts w:ascii="Century Gothic" w:hAnsi="Century Gothic"/>
          <w:iCs w:val="0"/>
          <w:color w:val="4D671B"/>
          <w:sz w:val="36"/>
          <w:szCs w:val="36"/>
          <w:lang w:val="en-ZA"/>
        </w:rPr>
        <w:lastRenderedPageBreak/>
        <w:t>Introduction</w:t>
      </w:r>
      <w:bookmarkEnd w:id="363"/>
    </w:p>
    <w:p w14:paraId="4F8486B9"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There are two main purposes to the testing used in qualifying payloads for space. The first is to satisfy the launch provider that the payload will not cause harm to the launch vehicle or its other payloads (for example, by breaking during launch). The second is to verify to the payload owner that it will survive and function as intended in the environment on orbit.</w:t>
      </w:r>
    </w:p>
    <w:p w14:paraId="2A31519B"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The survey revealed that currently in Australia the mandatory tests required by launch providers for small satellites, in particular those of the CubeSat class, can be carried out. Certain gaps do exist in this capability, but at the detailed level: for example, in the specific performance of a test facility, or in the availability of instrumentation at the test site. Importantly, the survey has highlighted a gap in the space testing skills and expertise available in Australia and a need for education about the benefits of a standards-based approach to testing.  </w:t>
      </w:r>
    </w:p>
    <w:p w14:paraId="41147E73"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The survey also showed that space payload development activity in Australia is dominated by CubeSat projects and is likely to remain so for the medium term. Nova estimates that a significant growth in demand could comfortably be accommodated by the present infrastructure. </w:t>
      </w:r>
      <w:r w:rsidRPr="00B14839">
        <w:rPr>
          <w:rFonts w:ascii="Century Gothic" w:hAnsi="Century Gothic" w:cs="Arial"/>
          <w:iCs w:val="0"/>
          <w:szCs w:val="20"/>
          <w:lang w:val="en-ZA"/>
        </w:rPr>
        <w:fldChar w:fldCharType="begin"/>
      </w:r>
      <w:r w:rsidRPr="00B14839">
        <w:rPr>
          <w:rFonts w:ascii="Century Gothic" w:hAnsi="Century Gothic" w:cs="Arial"/>
          <w:iCs w:val="0"/>
          <w:szCs w:val="20"/>
          <w:lang w:val="en-ZA"/>
        </w:rPr>
        <w:instrText xml:space="preserve"> REF _Ref46997990 \h  \* MERGEFORMAT </w:instrText>
      </w:r>
      <w:r w:rsidRPr="00B14839">
        <w:rPr>
          <w:rFonts w:ascii="Century Gothic" w:hAnsi="Century Gothic" w:cs="Arial"/>
          <w:iCs w:val="0"/>
          <w:szCs w:val="20"/>
          <w:lang w:val="en-ZA"/>
        </w:rPr>
      </w:r>
      <w:r w:rsidRPr="00B14839">
        <w:rPr>
          <w:rFonts w:ascii="Century Gothic" w:hAnsi="Century Gothic" w:cs="Arial"/>
          <w:iCs w:val="0"/>
          <w:szCs w:val="20"/>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1</w:t>
      </w:r>
      <w:r w:rsidRPr="00B14839">
        <w:rPr>
          <w:rFonts w:ascii="Century Gothic" w:hAnsi="Century Gothic" w:cs="Arial"/>
          <w:iCs w:val="0"/>
          <w:szCs w:val="20"/>
          <w:lang w:val="en-ZA"/>
        </w:rPr>
        <w:fldChar w:fldCharType="end"/>
      </w:r>
      <w:r w:rsidRPr="00B14839">
        <w:rPr>
          <w:rFonts w:ascii="Century Gothic" w:hAnsi="Century Gothic" w:cs="Arial"/>
          <w:iCs w:val="0"/>
          <w:szCs w:val="20"/>
          <w:lang w:val="en-ZA"/>
        </w:rPr>
        <w:t xml:space="preserve"> summarises the space testing situation in Australia in 2020.</w:t>
      </w:r>
    </w:p>
    <w:p w14:paraId="4A43E522" w14:textId="77777777" w:rsidR="00B14839" w:rsidRPr="00B14839" w:rsidRDefault="00B14839" w:rsidP="00B14839">
      <w:pPr>
        <w:spacing w:before="240" w:after="160" w:line="259" w:lineRule="auto"/>
        <w:jc w:val="center"/>
        <w:rPr>
          <w:rFonts w:ascii="Century Gothic" w:hAnsi="Century Gothic" w:cs="Arial"/>
          <w:iCs w:val="0"/>
          <w:sz w:val="22"/>
          <w:szCs w:val="22"/>
          <w:highlight w:val="red"/>
          <w:lang w:val="en-ZA"/>
        </w:rPr>
      </w:pPr>
      <w:r w:rsidRPr="00B14839">
        <w:rPr>
          <w:rFonts w:ascii="Century Gothic" w:hAnsi="Century Gothic" w:cs="Arial"/>
          <w:iCs w:val="0"/>
          <w:noProof/>
          <w:sz w:val="22"/>
          <w:szCs w:val="22"/>
          <w:lang w:eastAsia="en-AU"/>
        </w:rPr>
        <w:drawing>
          <wp:inline distT="0" distB="0" distL="0" distR="0" wp14:anchorId="05715EC2" wp14:editId="694CFA90">
            <wp:extent cx="5366660" cy="1534667"/>
            <wp:effectExtent l="0" t="0" r="5715" b="8890"/>
            <wp:docPr id="4" name="Picture 4" descr="A snapshot of space testing in Australia today and tomorrow. Today, basic payload qualification can be performed and the amount of use of facilities is low. Tomorrow, usage levels and complexity of test needs will likely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66660" cy="1534667"/>
                    </a:xfrm>
                    <a:prstGeom prst="rect">
                      <a:avLst/>
                    </a:prstGeom>
                  </pic:spPr>
                </pic:pic>
              </a:graphicData>
            </a:graphic>
          </wp:inline>
        </w:drawing>
      </w:r>
    </w:p>
    <w:p w14:paraId="29BA1DA6" w14:textId="77777777" w:rsidR="00B14839" w:rsidRPr="00B14839" w:rsidRDefault="00B14839" w:rsidP="00D53A66">
      <w:pPr>
        <w:spacing w:before="0" w:after="160" w:line="240" w:lineRule="auto"/>
        <w:jc w:val="center"/>
        <w:rPr>
          <w:rFonts w:ascii="Century Gothic" w:hAnsi="Century Gothic" w:cs="Arial"/>
          <w:b/>
          <w:bCs/>
          <w:iCs w:val="0"/>
          <w:smallCaps/>
          <w:color w:val="455F51"/>
          <w:szCs w:val="20"/>
          <w:lang w:val="en-ZA"/>
        </w:rPr>
      </w:pPr>
      <w:bookmarkStart w:id="364" w:name="_Ref46997990"/>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1</w:t>
      </w:r>
      <w:r w:rsidRPr="00B14839">
        <w:rPr>
          <w:rFonts w:ascii="Century Gothic" w:hAnsi="Century Gothic" w:cs="Arial"/>
          <w:b/>
          <w:bCs/>
          <w:iCs w:val="0"/>
          <w:smallCaps/>
          <w:color w:val="455F51"/>
          <w:szCs w:val="20"/>
          <w:lang w:val="en-ZA"/>
        </w:rPr>
        <w:fldChar w:fldCharType="end"/>
      </w:r>
      <w:bookmarkEnd w:id="364"/>
      <w:r w:rsidRPr="00B14839">
        <w:rPr>
          <w:rFonts w:ascii="Century Gothic" w:hAnsi="Century Gothic" w:cs="Arial"/>
          <w:b/>
          <w:bCs/>
          <w:iCs w:val="0"/>
          <w:smallCaps/>
          <w:color w:val="455F51"/>
          <w:szCs w:val="20"/>
          <w:lang w:val="en-ZA"/>
        </w:rPr>
        <w:t xml:space="preserve"> A Snapshot of Space Testing in Australia Today</w:t>
      </w:r>
    </w:p>
    <w:p w14:paraId="64102A0A"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There could be strategic advantages in investing to increase the national test capability beyond that of launch qualification and basic performance checks. This could include the ability to develop more sophisticated payloads and a higher level of mission assurance, which would raise quality and sector competitiveness globally. </w:t>
      </w:r>
    </w:p>
    <w:p w14:paraId="5B29BF70" w14:textId="77777777" w:rsidR="00B14839" w:rsidRPr="00B14839" w:rsidRDefault="00B14839" w:rsidP="00B14839">
      <w:pPr>
        <w:spacing w:before="0" w:after="160" w:line="259" w:lineRule="auto"/>
        <w:rPr>
          <w:rFonts w:ascii="Century Gothic" w:hAnsi="Century Gothic" w:cs="Arial"/>
          <w:iCs w:val="0"/>
          <w:sz w:val="22"/>
          <w:szCs w:val="22"/>
          <w:lang w:val="en-ZA"/>
        </w:rPr>
      </w:pPr>
    </w:p>
    <w:p w14:paraId="6BA2048D" w14:textId="77777777" w:rsidR="00B14839" w:rsidRPr="00B14839" w:rsidRDefault="00B14839" w:rsidP="00B14839">
      <w:pPr>
        <w:spacing w:before="0" w:after="160" w:line="259" w:lineRule="auto"/>
        <w:rPr>
          <w:rFonts w:ascii="Century Gothic" w:hAnsi="Century Gothic"/>
          <w:iCs w:val="0"/>
          <w:color w:val="4D671B"/>
          <w:sz w:val="36"/>
          <w:szCs w:val="36"/>
          <w:lang w:val="en-ZA"/>
        </w:rPr>
      </w:pPr>
      <w:r w:rsidRPr="00B14839">
        <w:rPr>
          <w:rFonts w:ascii="Century Gothic" w:hAnsi="Century Gothic" w:cs="Arial"/>
          <w:iCs w:val="0"/>
          <w:sz w:val="22"/>
          <w:szCs w:val="22"/>
          <w:lang w:val="en-ZA"/>
        </w:rPr>
        <w:br w:type="page"/>
      </w:r>
    </w:p>
    <w:p w14:paraId="41957F65"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65" w:name="_Ref49171278"/>
      <w:bookmarkStart w:id="366" w:name="_Toc49958703"/>
      <w:r w:rsidRPr="00B14839">
        <w:rPr>
          <w:rFonts w:ascii="Century Gothic" w:hAnsi="Century Gothic"/>
          <w:iCs w:val="0"/>
          <w:color w:val="4D671B"/>
          <w:sz w:val="36"/>
          <w:szCs w:val="36"/>
          <w:lang w:val="en-ZA"/>
        </w:rPr>
        <w:lastRenderedPageBreak/>
        <w:t>The Australian Space Sector</w:t>
      </w:r>
      <w:bookmarkEnd w:id="365"/>
      <w:bookmarkEnd w:id="366"/>
    </w:p>
    <w:p w14:paraId="1F452E5E"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A space payload has been defined by the Agency for the purposes of this audit as “any system, subsystem, assembly, instrument or component that is intended for launch into space”. While space sector activity in Australia also extends to launch vehicles, bio-medical research and high altitude platforms, in terms of the number of active organisations – at 77% - it is dominated by orbital payload developments. </w:t>
      </w:r>
    </w:p>
    <w:p w14:paraId="3C109C79"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The testing requirements of each area of activity are quite different. This audit covered them all, but focused especially on orbital payload development, because this activity requires the facilities to qualify hardware for space. Since the majority of organisations work in this area, they will likely influence the growth of the sector. Most of these are research organisations, rather than commercial entities. </w:t>
      </w:r>
      <w:r w:rsidRPr="00B14839">
        <w:rPr>
          <w:rFonts w:ascii="Century Gothic" w:hAnsi="Century Gothic" w:cs="Arial"/>
          <w:iCs w:val="0"/>
          <w:sz w:val="18"/>
          <w:szCs w:val="18"/>
          <w:lang w:val="en-ZA"/>
        </w:rPr>
        <w:fldChar w:fldCharType="begin"/>
      </w:r>
      <w:r w:rsidRPr="00B14839">
        <w:rPr>
          <w:rFonts w:ascii="Century Gothic" w:hAnsi="Century Gothic" w:cs="Arial"/>
          <w:iCs w:val="0"/>
          <w:sz w:val="18"/>
          <w:szCs w:val="18"/>
          <w:lang w:val="en-ZA"/>
        </w:rPr>
        <w:instrText xml:space="preserve"> REF _Ref46415265 \h  \* MERGEFORMAT </w:instrText>
      </w:r>
      <w:r w:rsidRPr="00B14839">
        <w:rPr>
          <w:rFonts w:ascii="Century Gothic" w:hAnsi="Century Gothic" w:cs="Arial"/>
          <w:iCs w:val="0"/>
          <w:sz w:val="18"/>
          <w:szCs w:val="18"/>
          <w:lang w:val="en-ZA"/>
        </w:rPr>
      </w:r>
      <w:r w:rsidRPr="00B14839">
        <w:rPr>
          <w:rFonts w:ascii="Century Gothic" w:hAnsi="Century Gothic" w:cs="Arial"/>
          <w:iCs w:val="0"/>
          <w:sz w:val="18"/>
          <w:szCs w:val="18"/>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2</w:t>
      </w:r>
      <w:r w:rsidRPr="00B14839">
        <w:rPr>
          <w:rFonts w:ascii="Century Gothic" w:hAnsi="Century Gothic" w:cs="Arial"/>
          <w:iCs w:val="0"/>
          <w:sz w:val="18"/>
          <w:szCs w:val="18"/>
          <w:lang w:val="en-ZA"/>
        </w:rPr>
        <w:fldChar w:fldCharType="end"/>
      </w:r>
      <w:r w:rsidRPr="00B14839">
        <w:rPr>
          <w:rFonts w:ascii="Century Gothic" w:hAnsi="Century Gothic" w:cs="Arial"/>
          <w:iCs w:val="0"/>
          <w:sz w:val="18"/>
          <w:szCs w:val="18"/>
          <w:lang w:val="en-ZA"/>
        </w:rPr>
        <w:t xml:space="preserve"> </w:t>
      </w:r>
      <w:r w:rsidRPr="00B14839">
        <w:rPr>
          <w:rFonts w:ascii="Century Gothic" w:hAnsi="Century Gothic" w:cs="Arial"/>
          <w:iCs w:val="0"/>
          <w:szCs w:val="20"/>
          <w:lang w:val="en-ZA"/>
        </w:rPr>
        <w:t>shows the composition and distribution of the Australian space sector.</w:t>
      </w:r>
    </w:p>
    <w:p w14:paraId="644F9D01"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r w:rsidRPr="00B14839">
        <w:rPr>
          <w:rFonts w:ascii="Century Gothic" w:hAnsi="Century Gothic" w:cs="Arial"/>
          <w:iCs w:val="0"/>
          <w:noProof/>
          <w:sz w:val="22"/>
          <w:szCs w:val="22"/>
          <w:lang w:eastAsia="en-AU"/>
        </w:rPr>
        <w:drawing>
          <wp:inline distT="0" distB="0" distL="0" distR="0" wp14:anchorId="49354818" wp14:editId="1C1B9C22">
            <wp:extent cx="6188710" cy="4336415"/>
            <wp:effectExtent l="0" t="0" r="2540" b="6985"/>
            <wp:docPr id="20" name="Picture 20" descr="Map of Australia showing how the different types of space sector organisations are distributed around the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1">
                      <a:extLst>
                        <a:ext uri="{28A0092B-C50C-407E-A947-70E740481C1C}">
                          <a14:useLocalDpi xmlns:a14="http://schemas.microsoft.com/office/drawing/2010/main" val="0"/>
                        </a:ext>
                      </a:extLst>
                    </a:blip>
                    <a:stretch>
                      <a:fillRect/>
                    </a:stretch>
                  </pic:blipFill>
                  <pic:spPr>
                    <a:xfrm>
                      <a:off x="0" y="0"/>
                      <a:ext cx="6188710" cy="4336415"/>
                    </a:xfrm>
                    <a:prstGeom prst="rect">
                      <a:avLst/>
                    </a:prstGeom>
                  </pic:spPr>
                </pic:pic>
              </a:graphicData>
            </a:graphic>
          </wp:inline>
        </w:drawing>
      </w:r>
    </w:p>
    <w:p w14:paraId="5D472167" w14:textId="77777777" w:rsidR="00B14839" w:rsidRPr="00B14839" w:rsidRDefault="00B14839" w:rsidP="00402271">
      <w:pPr>
        <w:spacing w:before="0" w:after="160" w:line="240" w:lineRule="auto"/>
        <w:jc w:val="center"/>
        <w:rPr>
          <w:rFonts w:ascii="Century Gothic" w:hAnsi="Century Gothic" w:cs="Arial"/>
          <w:b/>
          <w:bCs/>
          <w:iCs w:val="0"/>
          <w:smallCaps/>
          <w:color w:val="455F51"/>
          <w:szCs w:val="20"/>
          <w:lang w:val="en-ZA"/>
        </w:rPr>
      </w:pPr>
      <w:bookmarkStart w:id="367" w:name="_Ref46415265"/>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2</w:t>
      </w:r>
      <w:r w:rsidRPr="00B14839">
        <w:rPr>
          <w:rFonts w:ascii="Century Gothic" w:hAnsi="Century Gothic" w:cs="Arial"/>
          <w:b/>
          <w:bCs/>
          <w:iCs w:val="0"/>
          <w:smallCaps/>
          <w:color w:val="455F51"/>
          <w:szCs w:val="20"/>
          <w:lang w:val="en-ZA"/>
        </w:rPr>
        <w:fldChar w:fldCharType="end"/>
      </w:r>
      <w:bookmarkEnd w:id="367"/>
      <w:r w:rsidRPr="00B14839">
        <w:rPr>
          <w:rFonts w:ascii="Century Gothic" w:hAnsi="Century Gothic" w:cs="Arial"/>
          <w:b/>
          <w:bCs/>
          <w:iCs w:val="0"/>
          <w:smallCaps/>
          <w:color w:val="455F51"/>
          <w:szCs w:val="20"/>
          <w:lang w:val="en-ZA"/>
        </w:rPr>
        <w:t xml:space="preserve"> Distribution of Organisation Types in the Australian Space Sector.</w:t>
      </w:r>
    </w:p>
    <w:p w14:paraId="0CD957CB"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fldChar w:fldCharType="begin"/>
      </w:r>
      <w:r w:rsidRPr="00B14839">
        <w:rPr>
          <w:rFonts w:ascii="Century Gothic" w:hAnsi="Century Gothic" w:cs="Arial"/>
          <w:iCs w:val="0"/>
          <w:szCs w:val="20"/>
          <w:lang w:val="en-ZA"/>
        </w:rPr>
        <w:instrText xml:space="preserve"> REF _Ref46415487 \h  \* MERGEFORMAT </w:instrText>
      </w:r>
      <w:r w:rsidRPr="00B14839">
        <w:rPr>
          <w:rFonts w:ascii="Century Gothic" w:hAnsi="Century Gothic" w:cs="Arial"/>
          <w:iCs w:val="0"/>
          <w:szCs w:val="20"/>
          <w:lang w:val="en-ZA"/>
        </w:rPr>
      </w:r>
      <w:r w:rsidRPr="00B14839">
        <w:rPr>
          <w:rFonts w:ascii="Century Gothic" w:hAnsi="Century Gothic" w:cs="Arial"/>
          <w:iCs w:val="0"/>
          <w:szCs w:val="20"/>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3</w:t>
      </w:r>
      <w:r w:rsidRPr="00B14839">
        <w:rPr>
          <w:rFonts w:ascii="Century Gothic" w:hAnsi="Century Gothic" w:cs="Arial"/>
          <w:iCs w:val="0"/>
          <w:szCs w:val="20"/>
          <w:lang w:val="en-ZA"/>
        </w:rPr>
        <w:fldChar w:fldCharType="end"/>
      </w:r>
      <w:r w:rsidRPr="00B14839">
        <w:rPr>
          <w:rFonts w:ascii="Century Gothic" w:hAnsi="Century Gothic" w:cs="Arial"/>
          <w:iCs w:val="0"/>
          <w:szCs w:val="20"/>
          <w:lang w:val="en-ZA"/>
        </w:rPr>
        <w:t xml:space="preserve"> depicts payload testing types and their purposes.</w:t>
      </w:r>
    </w:p>
    <w:p w14:paraId="0909C564"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56E63B1C" w14:textId="0C342299" w:rsidR="00B14839" w:rsidRPr="00B14839" w:rsidRDefault="00B14839" w:rsidP="00B14839">
      <w:pPr>
        <w:spacing w:before="0" w:after="160" w:line="259" w:lineRule="auto"/>
        <w:jc w:val="center"/>
        <w:rPr>
          <w:rFonts w:ascii="Century Gothic" w:hAnsi="Century Gothic" w:cs="Arial"/>
          <w:iCs w:val="0"/>
          <w:sz w:val="22"/>
          <w:szCs w:val="22"/>
          <w:lang w:val="en-ZA"/>
        </w:rPr>
      </w:pPr>
      <w:r w:rsidRPr="00B14839">
        <w:rPr>
          <w:rFonts w:ascii="Century Gothic" w:hAnsi="Century Gothic" w:cs="Arial"/>
          <w:iCs w:val="0"/>
          <w:noProof/>
          <w:sz w:val="22"/>
          <w:szCs w:val="22"/>
          <w:lang w:eastAsia="en-AU"/>
        </w:rPr>
        <w:lastRenderedPageBreak/>
        <w:drawing>
          <wp:inline distT="0" distB="0" distL="0" distR="0" wp14:anchorId="6A418EE7" wp14:editId="701429DA">
            <wp:extent cx="6085112" cy="1919770"/>
            <wp:effectExtent l="0" t="0" r="0" b="4445"/>
            <wp:docPr id="7" name="Picture 7" descr="Figure explaining the different types of testing and the reasons for performing them. Qualification and acceptance testing to ensure products survive; functional testing to check they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2">
                      <a:extLst>
                        <a:ext uri="{28A0092B-C50C-407E-A947-70E740481C1C}">
                          <a14:useLocalDpi xmlns:a14="http://schemas.microsoft.com/office/drawing/2010/main" val="0"/>
                        </a:ext>
                      </a:extLst>
                    </a:blip>
                    <a:stretch>
                      <a:fillRect/>
                    </a:stretch>
                  </pic:blipFill>
                  <pic:spPr>
                    <a:xfrm>
                      <a:off x="0" y="0"/>
                      <a:ext cx="6085112" cy="1919770"/>
                    </a:xfrm>
                    <a:prstGeom prst="rect">
                      <a:avLst/>
                    </a:prstGeom>
                  </pic:spPr>
                </pic:pic>
              </a:graphicData>
            </a:graphic>
          </wp:inline>
        </w:drawing>
      </w:r>
    </w:p>
    <w:p w14:paraId="59767A56" w14:textId="52197EB1" w:rsidR="00B14839" w:rsidRPr="00B14839" w:rsidRDefault="00B14839" w:rsidP="00402271">
      <w:pPr>
        <w:spacing w:before="0" w:after="160" w:line="240" w:lineRule="auto"/>
        <w:jc w:val="center"/>
        <w:rPr>
          <w:rFonts w:ascii="Century Gothic" w:hAnsi="Century Gothic" w:cs="Arial"/>
          <w:b/>
          <w:bCs/>
          <w:iCs w:val="0"/>
          <w:smallCaps/>
          <w:color w:val="455F51"/>
          <w:szCs w:val="20"/>
          <w:lang w:val="en-ZA"/>
        </w:rPr>
      </w:pPr>
      <w:bookmarkStart w:id="368" w:name="_Ref46415487"/>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3</w:t>
      </w:r>
      <w:r w:rsidRPr="00B14839">
        <w:rPr>
          <w:rFonts w:ascii="Century Gothic" w:hAnsi="Century Gothic" w:cs="Arial"/>
          <w:b/>
          <w:bCs/>
          <w:iCs w:val="0"/>
          <w:smallCaps/>
          <w:color w:val="455F51"/>
          <w:szCs w:val="20"/>
          <w:lang w:val="en-ZA"/>
        </w:rPr>
        <w:fldChar w:fldCharType="end"/>
      </w:r>
      <w:bookmarkEnd w:id="368"/>
      <w:r w:rsidRPr="00B14839">
        <w:rPr>
          <w:rFonts w:ascii="Century Gothic" w:hAnsi="Century Gothic" w:cs="Arial"/>
          <w:b/>
          <w:bCs/>
          <w:iCs w:val="0"/>
          <w:smallCaps/>
          <w:color w:val="455F51"/>
          <w:szCs w:val="20"/>
          <w:lang w:val="en-ZA"/>
        </w:rPr>
        <w:t xml:space="preserve"> A classification of payload types of tests</w:t>
      </w:r>
    </w:p>
    <w:p w14:paraId="314014ED"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69" w:name="_Ref49171284"/>
      <w:bookmarkStart w:id="370" w:name="_Toc49958704"/>
      <w:r w:rsidRPr="00B14839">
        <w:rPr>
          <w:rFonts w:ascii="Century Gothic" w:hAnsi="Century Gothic"/>
          <w:iCs w:val="0"/>
          <w:color w:val="4D671B"/>
          <w:sz w:val="36"/>
          <w:szCs w:val="36"/>
          <w:lang w:val="en-ZA"/>
        </w:rPr>
        <w:t>Existing Capability</w:t>
      </w:r>
      <w:bookmarkEnd w:id="369"/>
      <w:bookmarkEnd w:id="370"/>
    </w:p>
    <w:p w14:paraId="026FA038" w14:textId="77777777" w:rsidR="00B14839" w:rsidRPr="00B14839" w:rsidRDefault="00B14839" w:rsidP="00B14839">
      <w:pPr>
        <w:spacing w:before="0" w:after="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Nova Systems has divided space payload test capability into three tiers of sophistication (Levels 1 to 3, shown in </w:t>
      </w:r>
      <w:r w:rsidRPr="00B14839">
        <w:rPr>
          <w:rFonts w:ascii="Century Gothic" w:hAnsi="Century Gothic" w:cs="Arial"/>
          <w:iCs w:val="0"/>
          <w:szCs w:val="20"/>
          <w:lang w:val="en-ZA"/>
        </w:rPr>
        <w:fldChar w:fldCharType="begin"/>
      </w:r>
      <w:r w:rsidRPr="00B14839">
        <w:rPr>
          <w:rFonts w:ascii="Century Gothic" w:hAnsi="Century Gothic" w:cs="Arial"/>
          <w:iCs w:val="0"/>
          <w:szCs w:val="20"/>
          <w:lang w:val="en-ZA"/>
        </w:rPr>
        <w:instrText xml:space="preserve"> REF _Ref49172471 \h  \* MERGEFORMAT </w:instrText>
      </w:r>
      <w:r w:rsidRPr="00B14839">
        <w:rPr>
          <w:rFonts w:ascii="Century Gothic" w:hAnsi="Century Gothic" w:cs="Arial"/>
          <w:iCs w:val="0"/>
          <w:szCs w:val="20"/>
          <w:lang w:val="en-ZA"/>
        </w:rPr>
      </w:r>
      <w:r w:rsidRPr="00B14839">
        <w:rPr>
          <w:rFonts w:ascii="Century Gothic" w:hAnsi="Century Gothic" w:cs="Arial"/>
          <w:iCs w:val="0"/>
          <w:szCs w:val="20"/>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4</w:t>
      </w:r>
      <w:r w:rsidRPr="00B14839">
        <w:rPr>
          <w:rFonts w:ascii="Century Gothic" w:hAnsi="Century Gothic" w:cs="Arial"/>
          <w:iCs w:val="0"/>
          <w:szCs w:val="20"/>
          <w:lang w:val="en-ZA"/>
        </w:rPr>
        <w:fldChar w:fldCharType="end"/>
      </w:r>
      <w:r w:rsidRPr="00B14839">
        <w:rPr>
          <w:rFonts w:ascii="Century Gothic" w:hAnsi="Century Gothic" w:cs="Arial"/>
          <w:iCs w:val="0"/>
          <w:szCs w:val="20"/>
          <w:lang w:val="en-ZA"/>
        </w:rPr>
        <w:t xml:space="preserve">). This facilitates benchmarking the current status and mapping out a growth path relative to sector needs. Level 1 covers the mandatory testing required for launch as a secondary payload - the case for all CubeSats and most small satellites – plus basic thermal cycling, radio frequency measurement and electromagnetic characterisation, which will provide a minimum check of on-orbit performance. Levels 2 and 3 cover more sophisticated tests which lead to greater mission assurance. </w:t>
      </w:r>
      <w:r w:rsidRPr="00B14839">
        <w:rPr>
          <w:rFonts w:ascii="Century Gothic" w:hAnsi="Century Gothic" w:cs="Arial"/>
          <w:iCs w:val="0"/>
          <w:szCs w:val="20"/>
          <w:lang w:val="en-ZA"/>
        </w:rPr>
        <w:fldChar w:fldCharType="begin"/>
      </w:r>
      <w:r w:rsidRPr="00B14839">
        <w:rPr>
          <w:rFonts w:ascii="Century Gothic" w:hAnsi="Century Gothic" w:cs="Arial"/>
          <w:iCs w:val="0"/>
          <w:szCs w:val="20"/>
          <w:lang w:val="en-ZA"/>
        </w:rPr>
        <w:instrText xml:space="preserve"> REF _Ref46415773 \h  \* MERGEFORMAT </w:instrText>
      </w:r>
      <w:r w:rsidRPr="00B14839">
        <w:rPr>
          <w:rFonts w:ascii="Century Gothic" w:hAnsi="Century Gothic" w:cs="Arial"/>
          <w:iCs w:val="0"/>
          <w:szCs w:val="20"/>
          <w:lang w:val="en-ZA"/>
        </w:rPr>
      </w:r>
      <w:r w:rsidRPr="00B14839">
        <w:rPr>
          <w:rFonts w:ascii="Century Gothic" w:hAnsi="Century Gothic" w:cs="Arial"/>
          <w:iCs w:val="0"/>
          <w:szCs w:val="20"/>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5</w:t>
      </w:r>
      <w:r w:rsidRPr="00B14839">
        <w:rPr>
          <w:rFonts w:ascii="Century Gothic" w:hAnsi="Century Gothic" w:cs="Arial"/>
          <w:iCs w:val="0"/>
          <w:szCs w:val="20"/>
          <w:lang w:val="en-ZA"/>
        </w:rPr>
        <w:fldChar w:fldCharType="end"/>
      </w:r>
      <w:r w:rsidRPr="00B14839">
        <w:rPr>
          <w:rFonts w:ascii="Century Gothic" w:hAnsi="Century Gothic" w:cs="Arial"/>
          <w:iCs w:val="0"/>
          <w:szCs w:val="20"/>
          <w:lang w:val="en-ZA"/>
        </w:rPr>
        <w:t xml:space="preserve"> shows how Level 1 test capability is already present in many of the state capitals. </w:t>
      </w:r>
    </w:p>
    <w:p w14:paraId="0F6228D6" w14:textId="77777777" w:rsidR="00B14839" w:rsidRPr="00B14839" w:rsidRDefault="00B14839" w:rsidP="00B14839">
      <w:pPr>
        <w:spacing w:before="0" w:after="0" w:line="259" w:lineRule="auto"/>
        <w:jc w:val="both"/>
        <w:rPr>
          <w:rFonts w:ascii="Century Gothic" w:hAnsi="Century Gothic" w:cs="Arial"/>
          <w:iCs w:val="0"/>
          <w:szCs w:val="20"/>
          <w:lang w:val="en-ZA"/>
        </w:rPr>
      </w:pPr>
    </w:p>
    <w:p w14:paraId="43C55ED4" w14:textId="0315BD6E" w:rsidR="00B14839" w:rsidRPr="00B14839" w:rsidRDefault="00B14839" w:rsidP="00B14839">
      <w:pPr>
        <w:spacing w:before="0" w:after="0" w:line="259" w:lineRule="auto"/>
        <w:jc w:val="center"/>
        <w:rPr>
          <w:rFonts w:ascii="Century Gothic" w:hAnsi="Century Gothic" w:cs="Arial"/>
          <w:iCs w:val="0"/>
          <w:szCs w:val="20"/>
          <w:lang w:val="en-ZA"/>
        </w:rPr>
      </w:pPr>
      <w:r w:rsidRPr="00B14839">
        <w:rPr>
          <w:rFonts w:ascii="Century Gothic" w:hAnsi="Century Gothic" w:cs="Arial"/>
          <w:iCs w:val="0"/>
          <w:noProof/>
          <w:sz w:val="22"/>
          <w:szCs w:val="22"/>
          <w:lang w:eastAsia="en-AU"/>
        </w:rPr>
        <w:drawing>
          <wp:inline distT="0" distB="0" distL="0" distR="0" wp14:anchorId="50968CA7" wp14:editId="3A9EB145">
            <wp:extent cx="4621309" cy="2503644"/>
            <wp:effectExtent l="0" t="0" r="8255" b="0"/>
            <wp:docPr id="15" name="Picture 15" descr="Diagram showing 3 levels of test capability of increasing sophistication. Level 1 covers basic tests needed for launching auxiliary pay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21309" cy="2503644"/>
                    </a:xfrm>
                    <a:prstGeom prst="rect">
                      <a:avLst/>
                    </a:prstGeom>
                  </pic:spPr>
                </pic:pic>
              </a:graphicData>
            </a:graphic>
          </wp:inline>
        </w:drawing>
      </w:r>
    </w:p>
    <w:p w14:paraId="05D3C7A2" w14:textId="1FF7BA8D" w:rsidR="00B14839" w:rsidRPr="00B14839" w:rsidRDefault="00B14839" w:rsidP="00402271">
      <w:pPr>
        <w:spacing w:before="0" w:after="160" w:line="240" w:lineRule="auto"/>
        <w:jc w:val="center"/>
        <w:rPr>
          <w:rFonts w:ascii="Century Gothic" w:hAnsi="Century Gothic" w:cs="Arial"/>
          <w:b/>
          <w:bCs/>
          <w:iCs w:val="0"/>
          <w:smallCaps/>
          <w:color w:val="455F51"/>
          <w:sz w:val="18"/>
          <w:szCs w:val="18"/>
          <w:lang w:val="en-ZA"/>
        </w:rPr>
      </w:pPr>
      <w:bookmarkStart w:id="371" w:name="_Ref49172471"/>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4</w:t>
      </w:r>
      <w:r w:rsidRPr="00B14839">
        <w:rPr>
          <w:rFonts w:ascii="Century Gothic" w:hAnsi="Century Gothic" w:cs="Arial"/>
          <w:b/>
          <w:bCs/>
          <w:iCs w:val="0"/>
          <w:smallCaps/>
          <w:color w:val="455F51"/>
          <w:szCs w:val="20"/>
          <w:lang w:val="en-ZA"/>
        </w:rPr>
        <w:fldChar w:fldCharType="end"/>
      </w:r>
      <w:bookmarkEnd w:id="371"/>
      <w:r w:rsidRPr="00B14839">
        <w:rPr>
          <w:rFonts w:ascii="Century Gothic" w:hAnsi="Century Gothic" w:cs="Arial"/>
          <w:b/>
          <w:bCs/>
          <w:iCs w:val="0"/>
          <w:smallCaps/>
          <w:color w:val="455F51"/>
          <w:szCs w:val="20"/>
          <w:lang w:val="en-ZA"/>
        </w:rPr>
        <w:t xml:space="preserve"> Test capability classification</w:t>
      </w:r>
    </w:p>
    <w:p w14:paraId="289E3272" w14:textId="77777777" w:rsidR="00B14839" w:rsidRPr="00B14839" w:rsidRDefault="00B14839" w:rsidP="00B14839">
      <w:pPr>
        <w:spacing w:before="0" w:after="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The annex to this report contains a comprehensive list of facilities in Australia which are relevant, or potentially relevant, to the qualification of space payloads.</w:t>
      </w:r>
    </w:p>
    <w:p w14:paraId="580219C7" w14:textId="77777777" w:rsidR="00B14839" w:rsidRPr="00B14839" w:rsidRDefault="00B14839" w:rsidP="00B14839">
      <w:pPr>
        <w:spacing w:before="0" w:after="0" w:line="259" w:lineRule="auto"/>
        <w:jc w:val="both"/>
        <w:rPr>
          <w:rFonts w:ascii="Century Gothic" w:hAnsi="Century Gothic" w:cs="Arial"/>
          <w:iCs w:val="0"/>
          <w:szCs w:val="20"/>
          <w:lang w:val="en-ZA"/>
        </w:rPr>
      </w:pPr>
    </w:p>
    <w:p w14:paraId="63A3C361"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1C8B4325"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259BB34A"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6139F758"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07D2E687"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p>
    <w:p w14:paraId="40E290AD"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r w:rsidRPr="00B14839">
        <w:rPr>
          <w:rFonts w:ascii="Century Gothic" w:hAnsi="Century Gothic" w:cs="Arial"/>
          <w:iCs w:val="0"/>
          <w:noProof/>
          <w:sz w:val="22"/>
          <w:szCs w:val="22"/>
          <w:lang w:eastAsia="en-AU"/>
        </w:rPr>
        <w:drawing>
          <wp:inline distT="0" distB="0" distL="0" distR="0" wp14:anchorId="75036C4B" wp14:editId="1F5E7D59">
            <wp:extent cx="5186156" cy="3717472"/>
            <wp:effectExtent l="0" t="0" r="0" b="0"/>
            <wp:docPr id="13" name="Picture 13" descr="Map of Australia showing how basic test infrastructure is distributed. Most state capitals have basic Level 1 test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3">
                      <a:extLst>
                        <a:ext uri="{28A0092B-C50C-407E-A947-70E740481C1C}">
                          <a14:useLocalDpi xmlns:a14="http://schemas.microsoft.com/office/drawing/2010/main" val="0"/>
                        </a:ext>
                      </a:extLst>
                    </a:blip>
                    <a:stretch>
                      <a:fillRect/>
                    </a:stretch>
                  </pic:blipFill>
                  <pic:spPr>
                    <a:xfrm>
                      <a:off x="0" y="0"/>
                      <a:ext cx="5186156" cy="3717472"/>
                    </a:xfrm>
                    <a:prstGeom prst="rect">
                      <a:avLst/>
                    </a:prstGeom>
                  </pic:spPr>
                </pic:pic>
              </a:graphicData>
            </a:graphic>
          </wp:inline>
        </w:drawing>
      </w:r>
    </w:p>
    <w:p w14:paraId="4ED50933" w14:textId="77777777" w:rsidR="00B14839" w:rsidRPr="00B14839" w:rsidRDefault="00B14839" w:rsidP="00405923">
      <w:pPr>
        <w:numPr>
          <w:ilvl w:val="0"/>
          <w:numId w:val="27"/>
        </w:numPr>
        <w:spacing w:before="0" w:after="160" w:line="240" w:lineRule="auto"/>
        <w:jc w:val="center"/>
        <w:rPr>
          <w:rFonts w:ascii="Century Gothic" w:hAnsi="Century Gothic" w:cs="Arial"/>
          <w:b/>
          <w:bCs/>
          <w:iCs w:val="0"/>
          <w:smallCaps/>
          <w:color w:val="455F51"/>
          <w:szCs w:val="20"/>
          <w:lang w:val="en-ZA"/>
        </w:rPr>
      </w:pPr>
      <w:bookmarkStart w:id="372" w:name="_Ref46415773"/>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5</w:t>
      </w:r>
      <w:r w:rsidRPr="00B14839">
        <w:rPr>
          <w:rFonts w:ascii="Century Gothic" w:hAnsi="Century Gothic" w:cs="Arial"/>
          <w:b/>
          <w:bCs/>
          <w:iCs w:val="0"/>
          <w:smallCaps/>
          <w:color w:val="455F51"/>
          <w:szCs w:val="20"/>
          <w:lang w:val="en-ZA"/>
        </w:rPr>
        <w:fldChar w:fldCharType="end"/>
      </w:r>
      <w:bookmarkEnd w:id="372"/>
      <w:r w:rsidRPr="00B14839">
        <w:rPr>
          <w:rFonts w:ascii="Century Gothic" w:hAnsi="Century Gothic" w:cs="Arial"/>
          <w:b/>
          <w:bCs/>
          <w:iCs w:val="0"/>
          <w:smallCaps/>
          <w:color w:val="455F51"/>
          <w:szCs w:val="20"/>
          <w:lang w:val="en-ZA"/>
        </w:rPr>
        <w:t xml:space="preserve"> Current distribution of basic test capability in Australia</w:t>
      </w:r>
    </w:p>
    <w:p w14:paraId="5DCEC6E3"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73" w:name="_Ref49171290"/>
      <w:bookmarkStart w:id="374" w:name="_Toc49958705"/>
      <w:r w:rsidRPr="00B14839">
        <w:rPr>
          <w:rFonts w:ascii="Century Gothic" w:hAnsi="Century Gothic"/>
          <w:iCs w:val="0"/>
          <w:color w:val="4D671B"/>
          <w:sz w:val="36"/>
          <w:szCs w:val="36"/>
          <w:lang w:val="en-ZA"/>
        </w:rPr>
        <w:t>Potential Demand for Testing</w:t>
      </w:r>
      <w:bookmarkEnd w:id="373"/>
      <w:bookmarkEnd w:id="374"/>
    </w:p>
    <w:p w14:paraId="60B0D8BE"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An overall response rate of 46% was obtained for the survey conducted in Q2 2020. </w:t>
      </w:r>
      <w:r w:rsidRPr="00B14839">
        <w:rPr>
          <w:rFonts w:ascii="Century Gothic" w:hAnsi="Century Gothic" w:cs="Arial"/>
          <w:iCs w:val="0"/>
          <w:sz w:val="18"/>
          <w:szCs w:val="18"/>
          <w:lang w:val="en-ZA"/>
        </w:rPr>
        <w:fldChar w:fldCharType="begin"/>
      </w:r>
      <w:r w:rsidRPr="00B14839">
        <w:rPr>
          <w:rFonts w:ascii="Century Gothic" w:hAnsi="Century Gothic" w:cs="Arial"/>
          <w:iCs w:val="0"/>
          <w:sz w:val="18"/>
          <w:szCs w:val="18"/>
          <w:lang w:val="en-ZA"/>
        </w:rPr>
        <w:instrText xml:space="preserve"> REF _Ref49173263 \h  \* MERGEFORMAT </w:instrText>
      </w:r>
      <w:r w:rsidRPr="00B14839">
        <w:rPr>
          <w:rFonts w:ascii="Century Gothic" w:hAnsi="Century Gothic" w:cs="Arial"/>
          <w:iCs w:val="0"/>
          <w:sz w:val="18"/>
          <w:szCs w:val="18"/>
          <w:lang w:val="en-ZA"/>
        </w:rPr>
      </w:r>
      <w:r w:rsidRPr="00B14839">
        <w:rPr>
          <w:rFonts w:ascii="Century Gothic" w:hAnsi="Century Gothic" w:cs="Arial"/>
          <w:iCs w:val="0"/>
          <w:sz w:val="18"/>
          <w:szCs w:val="18"/>
          <w:lang w:val="en-ZA"/>
        </w:rPr>
        <w:fldChar w:fldCharType="separate"/>
      </w:r>
      <w:r w:rsidR="0085061C" w:rsidRPr="0085061C">
        <w:rPr>
          <w:rFonts w:ascii="Century Gothic" w:hAnsi="Century Gothic" w:cs="Arial"/>
          <w:iCs w:val="0"/>
          <w:szCs w:val="20"/>
          <w:lang w:val="en-ZA"/>
        </w:rPr>
        <w:t xml:space="preserve">Table </w:t>
      </w:r>
      <w:r w:rsidR="0085061C" w:rsidRPr="0085061C">
        <w:rPr>
          <w:rFonts w:ascii="Century Gothic" w:hAnsi="Century Gothic" w:cs="Arial"/>
          <w:iCs w:val="0"/>
          <w:noProof/>
          <w:szCs w:val="20"/>
          <w:lang w:val="en-ZA"/>
        </w:rPr>
        <w:t>1</w:t>
      </w:r>
      <w:r w:rsidRPr="00B14839">
        <w:rPr>
          <w:rFonts w:ascii="Century Gothic" w:hAnsi="Century Gothic" w:cs="Arial"/>
          <w:iCs w:val="0"/>
          <w:sz w:val="18"/>
          <w:szCs w:val="18"/>
          <w:lang w:val="en-ZA"/>
        </w:rPr>
        <w:fldChar w:fldCharType="end"/>
      </w:r>
      <w:r w:rsidRPr="00B14839">
        <w:rPr>
          <w:rFonts w:ascii="Century Gothic" w:hAnsi="Century Gothic" w:cs="Arial"/>
          <w:iCs w:val="0"/>
          <w:szCs w:val="20"/>
          <w:lang w:val="en-ZA"/>
        </w:rPr>
        <w:t xml:space="preserve"> shows the survey statistics.</w:t>
      </w:r>
    </w:p>
    <w:tbl>
      <w:tblPr>
        <w:tblStyle w:val="GridTable5Dark-Accent21"/>
        <w:tblW w:w="0" w:type="auto"/>
        <w:tblLook w:val="04A0" w:firstRow="1" w:lastRow="0" w:firstColumn="1" w:lastColumn="0" w:noHBand="0" w:noVBand="1"/>
        <w:tblDescription w:val="Table showing the number and percentage of test facility operators and space technology developers that were approached and responded in the course of this audit."/>
      </w:tblPr>
      <w:tblGrid>
        <w:gridCol w:w="4248"/>
        <w:gridCol w:w="1843"/>
        <w:gridCol w:w="1842"/>
        <w:gridCol w:w="1803"/>
      </w:tblGrid>
      <w:tr w:rsidR="00B14839" w:rsidRPr="00B14839" w14:paraId="42AC2D93" w14:textId="77777777" w:rsidTr="00B14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7B77C889" w14:textId="77777777" w:rsidR="00B14839" w:rsidRPr="00B14839" w:rsidRDefault="00B14839" w:rsidP="00B14839">
            <w:pPr>
              <w:spacing w:before="0" w:after="0" w:line="240" w:lineRule="auto"/>
              <w:jc w:val="both"/>
              <w:rPr>
                <w:rFonts w:ascii="Century Gothic" w:hAnsi="Century Gothic"/>
                <w:szCs w:val="20"/>
              </w:rPr>
            </w:pPr>
          </w:p>
        </w:tc>
        <w:tc>
          <w:tcPr>
            <w:tcW w:w="1843" w:type="dxa"/>
          </w:tcPr>
          <w:p w14:paraId="3D5535F7" w14:textId="77777777" w:rsidR="00B14839" w:rsidRPr="00B14839" w:rsidRDefault="00B14839" w:rsidP="00B1483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Approached</w:t>
            </w:r>
          </w:p>
        </w:tc>
        <w:tc>
          <w:tcPr>
            <w:tcW w:w="1842" w:type="dxa"/>
          </w:tcPr>
          <w:p w14:paraId="09042ADD" w14:textId="77777777" w:rsidR="00B14839" w:rsidRPr="00B14839" w:rsidRDefault="00B14839" w:rsidP="00B1483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Responded</w:t>
            </w:r>
          </w:p>
        </w:tc>
        <w:tc>
          <w:tcPr>
            <w:tcW w:w="1803" w:type="dxa"/>
          </w:tcPr>
          <w:p w14:paraId="7FED037F" w14:textId="77777777" w:rsidR="00B14839" w:rsidRPr="00B14839" w:rsidRDefault="00B14839" w:rsidP="00B1483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Response Rate</w:t>
            </w:r>
          </w:p>
        </w:tc>
      </w:tr>
      <w:tr w:rsidR="00B14839" w:rsidRPr="00B14839" w14:paraId="24615C24" w14:textId="77777777" w:rsidTr="00B1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25D45C7" w14:textId="77777777" w:rsidR="00B14839" w:rsidRPr="00B14839" w:rsidRDefault="00B14839" w:rsidP="00B14839">
            <w:pPr>
              <w:spacing w:before="0" w:after="0" w:line="240" w:lineRule="auto"/>
              <w:jc w:val="both"/>
              <w:rPr>
                <w:rFonts w:ascii="Century Gothic" w:hAnsi="Century Gothic"/>
                <w:szCs w:val="20"/>
              </w:rPr>
            </w:pPr>
            <w:r w:rsidRPr="00B14839">
              <w:rPr>
                <w:rFonts w:ascii="Century Gothic" w:hAnsi="Century Gothic"/>
                <w:szCs w:val="20"/>
              </w:rPr>
              <w:t>Australian test facility operators</w:t>
            </w:r>
          </w:p>
        </w:tc>
        <w:tc>
          <w:tcPr>
            <w:tcW w:w="1843" w:type="dxa"/>
          </w:tcPr>
          <w:p w14:paraId="2F4ADA48"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B14839">
              <w:rPr>
                <w:rFonts w:ascii="Century Gothic" w:hAnsi="Century Gothic"/>
                <w:szCs w:val="20"/>
              </w:rPr>
              <w:t>74</w:t>
            </w:r>
          </w:p>
        </w:tc>
        <w:tc>
          <w:tcPr>
            <w:tcW w:w="1842" w:type="dxa"/>
          </w:tcPr>
          <w:p w14:paraId="65A4C0B7"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B14839">
              <w:rPr>
                <w:rFonts w:ascii="Century Gothic" w:hAnsi="Century Gothic"/>
                <w:szCs w:val="20"/>
              </w:rPr>
              <w:t>37</w:t>
            </w:r>
          </w:p>
        </w:tc>
        <w:tc>
          <w:tcPr>
            <w:tcW w:w="1803" w:type="dxa"/>
          </w:tcPr>
          <w:p w14:paraId="7C820E09"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B14839">
              <w:rPr>
                <w:rFonts w:ascii="Century Gothic" w:hAnsi="Century Gothic"/>
                <w:szCs w:val="20"/>
              </w:rPr>
              <w:t>50%</w:t>
            </w:r>
          </w:p>
        </w:tc>
      </w:tr>
      <w:tr w:rsidR="00B14839" w:rsidRPr="00B14839" w14:paraId="263C6D89" w14:textId="77777777" w:rsidTr="00B14839">
        <w:tc>
          <w:tcPr>
            <w:cnfStyle w:val="001000000000" w:firstRow="0" w:lastRow="0" w:firstColumn="1" w:lastColumn="0" w:oddVBand="0" w:evenVBand="0" w:oddHBand="0" w:evenHBand="0" w:firstRowFirstColumn="0" w:firstRowLastColumn="0" w:lastRowFirstColumn="0" w:lastRowLastColumn="0"/>
            <w:tcW w:w="4248" w:type="dxa"/>
          </w:tcPr>
          <w:p w14:paraId="4618A812" w14:textId="77777777" w:rsidR="00B14839" w:rsidRPr="00B14839" w:rsidRDefault="00B14839" w:rsidP="00B14839">
            <w:pPr>
              <w:spacing w:before="0" w:after="0" w:line="240" w:lineRule="auto"/>
              <w:jc w:val="both"/>
              <w:rPr>
                <w:rFonts w:ascii="Century Gothic" w:hAnsi="Century Gothic"/>
                <w:szCs w:val="20"/>
              </w:rPr>
            </w:pPr>
            <w:r w:rsidRPr="00B14839">
              <w:rPr>
                <w:rFonts w:ascii="Century Gothic" w:hAnsi="Century Gothic"/>
                <w:szCs w:val="20"/>
              </w:rPr>
              <w:t>Australian space technology developers</w:t>
            </w:r>
          </w:p>
        </w:tc>
        <w:tc>
          <w:tcPr>
            <w:tcW w:w="1843" w:type="dxa"/>
          </w:tcPr>
          <w:p w14:paraId="3AF48FF5" w14:textId="77777777" w:rsidR="00B14839" w:rsidRPr="00B14839" w:rsidRDefault="00B14839" w:rsidP="00B1483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75</w:t>
            </w:r>
          </w:p>
        </w:tc>
        <w:tc>
          <w:tcPr>
            <w:tcW w:w="1842" w:type="dxa"/>
          </w:tcPr>
          <w:p w14:paraId="5343868A" w14:textId="77777777" w:rsidR="00B14839" w:rsidRPr="00B14839" w:rsidRDefault="00B14839" w:rsidP="00B1483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32</w:t>
            </w:r>
          </w:p>
        </w:tc>
        <w:tc>
          <w:tcPr>
            <w:tcW w:w="1803" w:type="dxa"/>
          </w:tcPr>
          <w:p w14:paraId="608D427C" w14:textId="77777777" w:rsidR="00B14839" w:rsidRPr="00B14839" w:rsidRDefault="00B14839" w:rsidP="00B1483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szCs w:val="20"/>
              </w:rPr>
            </w:pPr>
            <w:r w:rsidRPr="00B14839">
              <w:rPr>
                <w:rFonts w:ascii="Century Gothic" w:hAnsi="Century Gothic"/>
                <w:szCs w:val="20"/>
              </w:rPr>
              <w:t>43%</w:t>
            </w:r>
          </w:p>
        </w:tc>
      </w:tr>
      <w:tr w:rsidR="00B14839" w:rsidRPr="00B14839" w14:paraId="04A46140" w14:textId="77777777" w:rsidTr="00B1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742D61E" w14:textId="77777777" w:rsidR="00B14839" w:rsidRPr="00B14839" w:rsidRDefault="00B14839" w:rsidP="00B14839">
            <w:pPr>
              <w:spacing w:before="0" w:after="0" w:line="240" w:lineRule="auto"/>
              <w:jc w:val="both"/>
              <w:rPr>
                <w:rFonts w:ascii="Century Gothic" w:hAnsi="Century Gothic"/>
                <w:szCs w:val="20"/>
              </w:rPr>
            </w:pPr>
            <w:r w:rsidRPr="00B14839">
              <w:rPr>
                <w:rFonts w:ascii="Century Gothic" w:hAnsi="Century Gothic"/>
                <w:szCs w:val="20"/>
              </w:rPr>
              <w:t>Total</w:t>
            </w:r>
          </w:p>
        </w:tc>
        <w:tc>
          <w:tcPr>
            <w:tcW w:w="1843" w:type="dxa"/>
          </w:tcPr>
          <w:p w14:paraId="5A1D2353"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Cs w:val="20"/>
              </w:rPr>
            </w:pPr>
            <w:r w:rsidRPr="00B14839">
              <w:rPr>
                <w:rFonts w:ascii="Century Gothic" w:hAnsi="Century Gothic"/>
                <w:b/>
                <w:bCs/>
                <w:szCs w:val="20"/>
              </w:rPr>
              <w:t>149</w:t>
            </w:r>
          </w:p>
        </w:tc>
        <w:tc>
          <w:tcPr>
            <w:tcW w:w="1842" w:type="dxa"/>
          </w:tcPr>
          <w:p w14:paraId="2AE10CAF"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Cs w:val="20"/>
              </w:rPr>
            </w:pPr>
            <w:r w:rsidRPr="00B14839">
              <w:rPr>
                <w:rFonts w:ascii="Century Gothic" w:hAnsi="Century Gothic"/>
                <w:b/>
                <w:bCs/>
                <w:szCs w:val="20"/>
              </w:rPr>
              <w:t>69</w:t>
            </w:r>
          </w:p>
        </w:tc>
        <w:tc>
          <w:tcPr>
            <w:tcW w:w="1803" w:type="dxa"/>
          </w:tcPr>
          <w:p w14:paraId="16B04DC6" w14:textId="77777777" w:rsidR="00B14839" w:rsidRPr="00B14839" w:rsidRDefault="00B14839" w:rsidP="00B1483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Cs w:val="20"/>
              </w:rPr>
            </w:pPr>
            <w:r w:rsidRPr="00B14839">
              <w:rPr>
                <w:rFonts w:ascii="Century Gothic" w:hAnsi="Century Gothic"/>
                <w:b/>
                <w:bCs/>
                <w:szCs w:val="20"/>
              </w:rPr>
              <w:t>46%</w:t>
            </w:r>
          </w:p>
        </w:tc>
      </w:tr>
    </w:tbl>
    <w:p w14:paraId="31339032" w14:textId="77777777" w:rsidR="00B14839" w:rsidRPr="00B14839" w:rsidRDefault="00B14839" w:rsidP="00D53A66">
      <w:pPr>
        <w:spacing w:before="0" w:after="160" w:line="240" w:lineRule="auto"/>
        <w:ind w:left="720"/>
        <w:rPr>
          <w:rFonts w:ascii="Century Gothic" w:hAnsi="Century Gothic" w:cs="Arial"/>
          <w:b/>
          <w:bCs/>
          <w:iCs w:val="0"/>
          <w:smallCaps/>
          <w:color w:val="455F51"/>
          <w:sz w:val="18"/>
          <w:szCs w:val="18"/>
          <w:lang w:val="en-ZA"/>
        </w:rPr>
      </w:pPr>
      <w:bookmarkStart w:id="375" w:name="_Ref49173263"/>
      <w:r w:rsidRPr="00B14839">
        <w:rPr>
          <w:rFonts w:ascii="Century Gothic" w:hAnsi="Century Gothic" w:cs="Arial"/>
          <w:b/>
          <w:bCs/>
          <w:iCs w:val="0"/>
          <w:smallCaps/>
          <w:color w:val="455F51"/>
          <w:szCs w:val="20"/>
          <w:lang w:val="en-ZA"/>
        </w:rPr>
        <w:t xml:space="preserve">Table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Table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1</w:t>
      </w:r>
      <w:r w:rsidRPr="00B14839">
        <w:rPr>
          <w:rFonts w:ascii="Century Gothic" w:hAnsi="Century Gothic" w:cs="Arial"/>
          <w:b/>
          <w:bCs/>
          <w:iCs w:val="0"/>
          <w:smallCaps/>
          <w:color w:val="455F51"/>
          <w:szCs w:val="20"/>
          <w:lang w:val="en-ZA"/>
        </w:rPr>
        <w:fldChar w:fldCharType="end"/>
      </w:r>
      <w:bookmarkEnd w:id="375"/>
      <w:r w:rsidRPr="00B14839">
        <w:rPr>
          <w:rFonts w:ascii="Century Gothic" w:hAnsi="Century Gothic" w:cs="Arial"/>
          <w:b/>
          <w:bCs/>
          <w:iCs w:val="0"/>
          <w:smallCaps/>
          <w:color w:val="455F51"/>
          <w:szCs w:val="20"/>
          <w:lang w:val="en-ZA"/>
        </w:rPr>
        <w:t xml:space="preserve"> Survey statistics: organisations approached and organisations who responded</w:t>
      </w:r>
    </w:p>
    <w:p w14:paraId="222F8DA1"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In terms of the different types of organisations within Australia, the survey obtained the following picture of testing needs across the nation:</w:t>
      </w:r>
    </w:p>
    <w:p w14:paraId="15592D90"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Small commercial companies developing in-orbit payloads:</w:t>
      </w:r>
    </w:p>
    <w:p w14:paraId="19359926"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The majority of testing comprises mandatory pre-launch qualifications</w:t>
      </w:r>
    </w:p>
    <w:p w14:paraId="3841043F"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Several organisations are procuring satellites already fully tested from overseas</w:t>
      </w:r>
    </w:p>
    <w:p w14:paraId="314CBCA1"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Others intend to use facilities in Adelaide and at the Advanced Instrumentation Technology Centre (AITC) in Canberra</w:t>
      </w:r>
    </w:p>
    <w:p w14:paraId="779D3EC4"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67ED3ADC"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lastRenderedPageBreak/>
        <w:t>Large commercial companies developing in-orbit payloads (mainly overseas primes):</w:t>
      </w:r>
    </w:p>
    <w:p w14:paraId="12F809FA"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No current needs declared, but if they arose, they would use facilities at Defence Science and Technology Group (DSTG) located at Edinburgh, SA, the AITC located at Canberra or overseas at their parent companies</w:t>
      </w:r>
    </w:p>
    <w:p w14:paraId="75521E8C"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50A37F8E"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R&amp;D organisations developing in-orbit payloads:</w:t>
      </w:r>
    </w:p>
    <w:p w14:paraId="2B614C38"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Several organisations are actively developing in-house test capability to meet their developmental testing needs</w:t>
      </w:r>
    </w:p>
    <w:p w14:paraId="4EB5CDD2"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Most identify the AITC in Canberra for final pre-launch qualification testing</w:t>
      </w:r>
    </w:p>
    <w:p w14:paraId="47CE6457"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2FA5C416"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Defence Space Sector:</w:t>
      </w:r>
    </w:p>
    <w:p w14:paraId="05604ED2"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DSTG is expanding its own testing capability, but views the AITC in Canberra as a strategic national asset</w:t>
      </w:r>
    </w:p>
    <w:p w14:paraId="5ABC850F"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Other areas in Defence identified a need to create a more coherent capability with the existing infrastructure, and to improve the quality of testing practices</w:t>
      </w:r>
    </w:p>
    <w:p w14:paraId="06479C82"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0D498830"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Orbital payload development is the largest sector by numbers. Almost all require the core qualification tests for launch: mechanical vibration, mechanical shock and thermal vacuum. Most desire electromagnetic interference/compatibility testing (EMI/EMC) and some means of verifying their radiofrequency (RF) communications subsystems. A handful plan more comprehensive functional testing of their systems (i.e. verifying software and controls).</w:t>
      </w:r>
    </w:p>
    <w:p w14:paraId="58FA56F4"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Commercial Launch Sector:</w:t>
      </w:r>
    </w:p>
    <w:p w14:paraId="16E6AD5A"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Demand and needs varied across the sector according to aims: those focussing on orbital launch had the greatest demand for testing infrastructure</w:t>
      </w:r>
    </w:p>
    <w:p w14:paraId="2A951FF3"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Locations are needed for dangerous activities (e.g. engine firing, pressure testing)</w:t>
      </w:r>
    </w:p>
    <w:p w14:paraId="35F78758"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Two companies also plan to develop payloads and would use the AITC in Canberra</w:t>
      </w:r>
    </w:p>
    <w:p w14:paraId="394FA4C6"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740FFB2E"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iCs w:val="0"/>
          <w:szCs w:val="20"/>
          <w:lang w:val="en-ZA"/>
        </w:rPr>
        <w:t>Test requirements range from: access to test cells for engine development and pressure testing facilities to verify pressurised fluid systems; means to balance rockets and payloads; wind tunnels for aerodynamic characterisation; mechanical test devices and RF/EMC test facilities; hardware-in-the-loop and sites to conduct test launches.</w:t>
      </w:r>
    </w:p>
    <w:p w14:paraId="2424071A"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High Altitude Balloons:</w:t>
      </w:r>
    </w:p>
    <w:p w14:paraId="15313FCC"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No responses received: no obvious demand for testing services from the sector</w:t>
      </w:r>
    </w:p>
    <w:p w14:paraId="2D781B62"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1D69364D"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These platforms should be viewed as test facilities themselves. In some cases, environmental chambers (giving low pressure and temperature) would be used to test payloads prior to flight on these platforms. Access to airspace is required.</w:t>
      </w:r>
    </w:p>
    <w:p w14:paraId="6854DC7F" w14:textId="77777777" w:rsidR="00B14839" w:rsidRPr="00B14839" w:rsidRDefault="00B14839" w:rsidP="00B14839">
      <w:pPr>
        <w:spacing w:before="0" w:after="160" w:line="259" w:lineRule="auto"/>
        <w:jc w:val="both"/>
        <w:rPr>
          <w:rFonts w:ascii="Century Gothic" w:hAnsi="Century Gothic" w:cs="Arial"/>
          <w:b/>
          <w:bCs/>
          <w:iCs w:val="0"/>
          <w:szCs w:val="20"/>
          <w:lang w:val="en-ZA"/>
        </w:rPr>
      </w:pPr>
      <w:r w:rsidRPr="00B14839">
        <w:rPr>
          <w:rFonts w:ascii="Century Gothic" w:hAnsi="Century Gothic" w:cs="Arial"/>
          <w:b/>
          <w:bCs/>
          <w:iCs w:val="0"/>
          <w:szCs w:val="20"/>
          <w:lang w:val="en-ZA"/>
        </w:rPr>
        <w:t>Bio-Medical Sector:</w:t>
      </w:r>
    </w:p>
    <w:p w14:paraId="1A9BDAA4"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Some radiation and microgravity testing (small samples) can be covered by existing facilities (ANU, ANSTO, CSIRO, University of Technology Sydney)</w:t>
      </w:r>
    </w:p>
    <w:p w14:paraId="44F378CC"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681F8BA2"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Organisations mentioned the need for access to simulated microgravity (e.g. by centrifuge, random positioning machine or parabolic flight aircraft), as well as to radiation sources to apply doses </w:t>
      </w:r>
      <w:r w:rsidRPr="00B14839">
        <w:rPr>
          <w:rFonts w:ascii="Century Gothic" w:hAnsi="Century Gothic" w:cs="Arial"/>
          <w:iCs w:val="0"/>
          <w:szCs w:val="20"/>
          <w:lang w:val="en-ZA"/>
        </w:rPr>
        <w:lastRenderedPageBreak/>
        <w:t>representative of conditions in space (e.g. using proton beams). Desert analogues and head-down bed rest laboratories for behavioural testing on humans were also mentioned.</w:t>
      </w:r>
    </w:p>
    <w:p w14:paraId="1D3CBFB0"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76" w:name="_Ref49171304"/>
      <w:bookmarkStart w:id="377" w:name="_Toc49958706"/>
      <w:r w:rsidRPr="00B14839">
        <w:rPr>
          <w:rFonts w:ascii="Century Gothic" w:hAnsi="Century Gothic"/>
          <w:iCs w:val="0"/>
          <w:color w:val="4D671B"/>
          <w:sz w:val="36"/>
          <w:szCs w:val="36"/>
          <w:lang w:val="en-ZA"/>
        </w:rPr>
        <w:t>Gaps in Test Capability</w:t>
      </w:r>
      <w:bookmarkEnd w:id="376"/>
      <w:bookmarkEnd w:id="377"/>
    </w:p>
    <w:p w14:paraId="3E9283C0"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There are four types of gap in the national payload test capability:</w:t>
      </w:r>
    </w:p>
    <w:p w14:paraId="15D53B2A" w14:textId="77777777" w:rsidR="00B14839" w:rsidRPr="00B14839" w:rsidRDefault="00B14839" w:rsidP="00405923">
      <w:pPr>
        <w:numPr>
          <w:ilvl w:val="0"/>
          <w:numId w:val="20"/>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Minor infrastructure elements needed to complete Level 1 capability in some regions</w:t>
      </w:r>
    </w:p>
    <w:p w14:paraId="304B68A4" w14:textId="77777777" w:rsidR="00B14839" w:rsidRPr="00B14839" w:rsidRDefault="00B14839" w:rsidP="00405923">
      <w:pPr>
        <w:numPr>
          <w:ilvl w:val="0"/>
          <w:numId w:val="20"/>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Key elements of a Level 2 capability for the nation</w:t>
      </w:r>
    </w:p>
    <w:p w14:paraId="57FA1FC3" w14:textId="77777777" w:rsidR="00B14839" w:rsidRPr="00B14839" w:rsidRDefault="00B14839" w:rsidP="00405923">
      <w:pPr>
        <w:numPr>
          <w:ilvl w:val="0"/>
          <w:numId w:val="20"/>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Skills, expertise and education on the use of a recognised testing standard</w:t>
      </w:r>
    </w:p>
    <w:p w14:paraId="31A160EB" w14:textId="77777777" w:rsidR="00B14839" w:rsidRPr="00B14839" w:rsidRDefault="00B14839" w:rsidP="00405923">
      <w:pPr>
        <w:numPr>
          <w:ilvl w:val="0"/>
          <w:numId w:val="20"/>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Niche capabilities identified as desirable by individual organisations in the sector.</w:t>
      </w:r>
    </w:p>
    <w:p w14:paraId="73D77E94" w14:textId="77777777" w:rsidR="008961F1" w:rsidRPr="00B14839" w:rsidRDefault="008961F1" w:rsidP="00D53A66">
      <w:pPr>
        <w:spacing w:before="0" w:after="160" w:line="259" w:lineRule="auto"/>
        <w:ind w:left="720"/>
        <w:contextualSpacing/>
        <w:jc w:val="both"/>
        <w:rPr>
          <w:rFonts w:ascii="Century Gothic" w:hAnsi="Century Gothic" w:cs="Arial"/>
          <w:iCs w:val="0"/>
          <w:szCs w:val="20"/>
          <w:lang w:val="en-ZA"/>
        </w:rPr>
      </w:pPr>
    </w:p>
    <w:p w14:paraId="170FF27D"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The first relates to cases where organisations have the necessary test facility, but lack, for example, measurement instruments, mounting jigs or cleanliness suitable for space hardware, or adequate size. In a small number of cases, a certain type of test facility may be missing from a Level 1 complement (e.g. a thermal cycling chamber).</w:t>
      </w:r>
    </w:p>
    <w:p w14:paraId="59D65417" w14:textId="102B0528"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Secondly, there are gaps in capability which would be beneficial to fill to increase sector sophistication, quality and mission assurance.  Research shows that such facilities would be used; however, the level of use is unlikely to sustain them independently.</w:t>
      </w:r>
    </w:p>
    <w:p w14:paraId="0E64D66B"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Thirdly, the sector would benefit from access to skills and expertise in space testing. This would particularly help start-ups and universities as well as being of universal benefit to the national space sector. Several organisations raised this point in their survey responses. Currently, no standard is universally applied to space testing in Australia.</w:t>
      </w:r>
      <w:r w:rsidRPr="00B14839" w:rsidDel="000E0FB3">
        <w:rPr>
          <w:rFonts w:ascii="Century Gothic" w:hAnsi="Century Gothic" w:cs="Arial"/>
          <w:iCs w:val="0"/>
          <w:szCs w:val="20"/>
          <w:lang w:val="en-ZA"/>
        </w:rPr>
        <w:t xml:space="preserve"> </w:t>
      </w:r>
    </w:p>
    <w:p w14:paraId="4D82751A" w14:textId="77777777" w:rsidR="00B14839" w:rsidRPr="00B14839" w:rsidRDefault="00B14839" w:rsidP="00B14839">
      <w:pPr>
        <w:spacing w:before="0" w:after="160" w:line="259" w:lineRule="auto"/>
        <w:jc w:val="both"/>
        <w:rPr>
          <w:rFonts w:ascii="Century Gothic" w:hAnsi="Century Gothic" w:cs="Arial"/>
          <w:iCs w:val="0"/>
          <w:szCs w:val="20"/>
          <w:lang w:val="en-ZA"/>
        </w:rPr>
      </w:pPr>
      <w:r w:rsidRPr="00B14839">
        <w:rPr>
          <w:rFonts w:ascii="Century Gothic" w:hAnsi="Century Gothic" w:cs="Arial"/>
          <w:iCs w:val="0"/>
          <w:szCs w:val="20"/>
          <w:lang w:val="en-ZA"/>
        </w:rPr>
        <w:t xml:space="preserve">Finally, in their responses to the survey, organisations listed those test facilities they considered desirable. </w:t>
      </w:r>
      <w:r w:rsidRPr="00B14839">
        <w:rPr>
          <w:rFonts w:ascii="Century Gothic" w:hAnsi="Century Gothic" w:cs="Arial"/>
          <w:iCs w:val="0"/>
          <w:szCs w:val="20"/>
          <w:lang w:val="en-ZA"/>
        </w:rPr>
        <w:fldChar w:fldCharType="begin"/>
      </w:r>
      <w:r w:rsidRPr="00B14839">
        <w:rPr>
          <w:rFonts w:ascii="Century Gothic" w:hAnsi="Century Gothic" w:cs="Arial"/>
          <w:iCs w:val="0"/>
          <w:szCs w:val="20"/>
          <w:lang w:val="en-ZA"/>
        </w:rPr>
        <w:instrText xml:space="preserve"> REF _Ref46471492 \h  \* MERGEFORMAT </w:instrText>
      </w:r>
      <w:r w:rsidRPr="00B14839">
        <w:rPr>
          <w:rFonts w:ascii="Century Gothic" w:hAnsi="Century Gothic" w:cs="Arial"/>
          <w:iCs w:val="0"/>
          <w:szCs w:val="20"/>
          <w:lang w:val="en-ZA"/>
        </w:rPr>
      </w:r>
      <w:r w:rsidRPr="00B14839">
        <w:rPr>
          <w:rFonts w:ascii="Century Gothic" w:hAnsi="Century Gothic" w:cs="Arial"/>
          <w:iCs w:val="0"/>
          <w:szCs w:val="20"/>
          <w:lang w:val="en-ZA"/>
        </w:rPr>
        <w:fldChar w:fldCharType="separate"/>
      </w:r>
      <w:r w:rsidR="0085061C" w:rsidRPr="0085061C">
        <w:rPr>
          <w:rFonts w:ascii="Century Gothic" w:hAnsi="Century Gothic" w:cs="Arial"/>
          <w:iCs w:val="0"/>
          <w:szCs w:val="20"/>
          <w:lang w:val="en-ZA"/>
        </w:rPr>
        <w:t xml:space="preserve">Figure </w:t>
      </w:r>
      <w:r w:rsidR="0085061C" w:rsidRPr="0085061C">
        <w:rPr>
          <w:rFonts w:ascii="Century Gothic" w:hAnsi="Century Gothic" w:cs="Arial"/>
          <w:iCs w:val="0"/>
          <w:noProof/>
          <w:szCs w:val="20"/>
          <w:lang w:val="en-ZA"/>
        </w:rPr>
        <w:t>6</w:t>
      </w:r>
      <w:r w:rsidRPr="00B14839">
        <w:rPr>
          <w:rFonts w:ascii="Century Gothic" w:hAnsi="Century Gothic" w:cs="Arial"/>
          <w:iCs w:val="0"/>
          <w:szCs w:val="20"/>
          <w:lang w:val="en-ZA"/>
        </w:rPr>
        <w:fldChar w:fldCharType="end"/>
      </w:r>
      <w:r w:rsidRPr="00B14839">
        <w:rPr>
          <w:rFonts w:ascii="Century Gothic" w:hAnsi="Century Gothic" w:cs="Arial"/>
          <w:iCs w:val="0"/>
          <w:szCs w:val="20"/>
          <w:lang w:val="en-ZA"/>
        </w:rPr>
        <w:t xml:space="preserve"> shows the relative popularity of a range of facilities currently unavailable and considered useful by different organisations. Here again, the level of use is likely to be low and sporadic and commercially unsustainable in the foreseeable future.</w:t>
      </w:r>
    </w:p>
    <w:p w14:paraId="20D3430F" w14:textId="77777777" w:rsidR="00B14839" w:rsidRPr="00B14839" w:rsidRDefault="00B14839" w:rsidP="00B14839">
      <w:pPr>
        <w:spacing w:before="0" w:after="160" w:line="259" w:lineRule="auto"/>
        <w:jc w:val="both"/>
        <w:rPr>
          <w:rFonts w:ascii="Century Gothic" w:hAnsi="Century Gothic" w:cs="Arial"/>
          <w:iCs w:val="0"/>
          <w:szCs w:val="20"/>
          <w:lang w:val="en-ZA"/>
        </w:rPr>
      </w:pPr>
    </w:p>
    <w:p w14:paraId="63C05D68" w14:textId="77777777" w:rsidR="00B14839" w:rsidRPr="00B14839" w:rsidRDefault="00B14839" w:rsidP="00B14839">
      <w:pPr>
        <w:spacing w:before="0" w:after="160" w:line="259" w:lineRule="auto"/>
        <w:jc w:val="center"/>
        <w:rPr>
          <w:rFonts w:ascii="Century Gothic" w:hAnsi="Century Gothic" w:cs="Arial"/>
          <w:iCs w:val="0"/>
          <w:sz w:val="22"/>
          <w:szCs w:val="22"/>
          <w:lang w:val="en-ZA"/>
        </w:rPr>
      </w:pPr>
      <w:r w:rsidRPr="00B14839">
        <w:rPr>
          <w:rFonts w:ascii="Century Gothic" w:hAnsi="Century Gothic" w:cs="Arial"/>
          <w:iCs w:val="0"/>
          <w:noProof/>
          <w:sz w:val="22"/>
          <w:szCs w:val="22"/>
          <w:lang w:eastAsia="en-AU"/>
        </w:rPr>
        <w:lastRenderedPageBreak/>
        <w:drawing>
          <wp:inline distT="0" distB="0" distL="0" distR="0" wp14:anchorId="06FB7BCE" wp14:editId="78C93159">
            <wp:extent cx="6108007" cy="4359460"/>
            <wp:effectExtent l="0" t="0" r="7620" b="3175"/>
            <wp:docPr id="2" name="Picture 2" descr="Pie chart showing the numbers of organisations which have identified a range of different test capabilities they would like to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6108007" cy="4359460"/>
                    </a:xfrm>
                    <a:prstGeom prst="rect">
                      <a:avLst/>
                    </a:prstGeom>
                  </pic:spPr>
                </pic:pic>
              </a:graphicData>
            </a:graphic>
          </wp:inline>
        </w:drawing>
      </w:r>
    </w:p>
    <w:p w14:paraId="65CC3925" w14:textId="77777777" w:rsidR="00B14839" w:rsidRPr="00B14839" w:rsidRDefault="00B14839" w:rsidP="00D53A66">
      <w:pPr>
        <w:spacing w:before="0" w:after="0" w:line="240" w:lineRule="auto"/>
        <w:jc w:val="center"/>
        <w:rPr>
          <w:rFonts w:ascii="Century Gothic" w:hAnsi="Century Gothic" w:cs="Arial"/>
          <w:b/>
          <w:bCs/>
          <w:iCs w:val="0"/>
          <w:smallCaps/>
          <w:color w:val="455F51"/>
          <w:szCs w:val="20"/>
          <w:lang w:val="en-ZA"/>
        </w:rPr>
      </w:pPr>
      <w:bookmarkStart w:id="378" w:name="_Ref46471492"/>
      <w:r w:rsidRPr="00B14839">
        <w:rPr>
          <w:rFonts w:ascii="Century Gothic" w:hAnsi="Century Gothic" w:cs="Arial"/>
          <w:b/>
          <w:bCs/>
          <w:iCs w:val="0"/>
          <w:smallCaps/>
          <w:color w:val="455F51"/>
          <w:szCs w:val="20"/>
          <w:lang w:val="en-ZA"/>
        </w:rPr>
        <w:t xml:space="preserve">Figure </w:t>
      </w:r>
      <w:r w:rsidRPr="00B14839">
        <w:rPr>
          <w:rFonts w:ascii="Century Gothic" w:hAnsi="Century Gothic" w:cs="Arial"/>
          <w:b/>
          <w:bCs/>
          <w:iCs w:val="0"/>
          <w:smallCaps/>
          <w:color w:val="455F51"/>
          <w:szCs w:val="20"/>
          <w:lang w:val="en-ZA"/>
        </w:rPr>
        <w:fldChar w:fldCharType="begin"/>
      </w:r>
      <w:r w:rsidRPr="00B14839">
        <w:rPr>
          <w:rFonts w:ascii="Century Gothic" w:hAnsi="Century Gothic" w:cs="Arial"/>
          <w:b/>
          <w:bCs/>
          <w:iCs w:val="0"/>
          <w:smallCaps/>
          <w:color w:val="455F51"/>
          <w:szCs w:val="20"/>
          <w:lang w:val="en-ZA"/>
        </w:rPr>
        <w:instrText xml:space="preserve"> SEQ Figure \* ARABIC </w:instrText>
      </w:r>
      <w:r w:rsidRPr="00B14839">
        <w:rPr>
          <w:rFonts w:ascii="Century Gothic" w:hAnsi="Century Gothic" w:cs="Arial"/>
          <w:b/>
          <w:bCs/>
          <w:iCs w:val="0"/>
          <w:smallCaps/>
          <w:color w:val="455F51"/>
          <w:szCs w:val="20"/>
          <w:lang w:val="en-ZA"/>
        </w:rPr>
        <w:fldChar w:fldCharType="separate"/>
      </w:r>
      <w:r w:rsidR="0085061C">
        <w:rPr>
          <w:rFonts w:ascii="Century Gothic" w:hAnsi="Century Gothic" w:cs="Arial"/>
          <w:b/>
          <w:bCs/>
          <w:iCs w:val="0"/>
          <w:smallCaps/>
          <w:noProof/>
          <w:color w:val="455F51"/>
          <w:szCs w:val="20"/>
          <w:lang w:val="en-ZA"/>
        </w:rPr>
        <w:t>6</w:t>
      </w:r>
      <w:r w:rsidRPr="00B14839">
        <w:rPr>
          <w:rFonts w:ascii="Century Gothic" w:hAnsi="Century Gothic" w:cs="Arial"/>
          <w:b/>
          <w:bCs/>
          <w:iCs w:val="0"/>
          <w:smallCaps/>
          <w:color w:val="455F51"/>
          <w:szCs w:val="20"/>
          <w:lang w:val="en-ZA"/>
        </w:rPr>
        <w:fldChar w:fldCharType="end"/>
      </w:r>
      <w:bookmarkEnd w:id="378"/>
      <w:r w:rsidRPr="00B14839">
        <w:rPr>
          <w:rFonts w:ascii="Century Gothic" w:hAnsi="Century Gothic" w:cs="Arial"/>
          <w:b/>
          <w:bCs/>
          <w:iCs w:val="0"/>
          <w:smallCaps/>
          <w:color w:val="455F51"/>
          <w:szCs w:val="20"/>
          <w:lang w:val="en-ZA"/>
        </w:rPr>
        <w:t xml:space="preserve"> Numbers of organisation identifying different missing test capabilities</w:t>
      </w:r>
    </w:p>
    <w:p w14:paraId="66B91C87" w14:textId="77777777" w:rsidR="00B14839" w:rsidRPr="00B14839" w:rsidRDefault="00B14839" w:rsidP="00B14839">
      <w:pPr>
        <w:keepNext/>
        <w:keepLines/>
        <w:spacing w:before="400" w:after="40" w:line="240" w:lineRule="auto"/>
        <w:outlineLvl w:val="0"/>
        <w:rPr>
          <w:rFonts w:ascii="Century Gothic" w:hAnsi="Century Gothic"/>
          <w:iCs w:val="0"/>
          <w:color w:val="4D671B"/>
          <w:sz w:val="36"/>
          <w:szCs w:val="36"/>
          <w:lang w:val="en-ZA"/>
        </w:rPr>
      </w:pPr>
      <w:bookmarkStart w:id="379" w:name="_Ref49171312"/>
      <w:bookmarkStart w:id="380" w:name="_Toc49958707"/>
      <w:r w:rsidRPr="00B14839">
        <w:rPr>
          <w:rFonts w:ascii="Century Gothic" w:hAnsi="Century Gothic"/>
          <w:iCs w:val="0"/>
          <w:color w:val="4D671B"/>
          <w:sz w:val="36"/>
          <w:szCs w:val="36"/>
          <w:lang w:val="en-ZA"/>
        </w:rPr>
        <w:t>Conclusions</w:t>
      </w:r>
      <w:bookmarkEnd w:id="379"/>
      <w:bookmarkEnd w:id="380"/>
    </w:p>
    <w:p w14:paraId="668849F2"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Most infrastructure for Level 1 capability exists in multiple locations in Australia</w:t>
      </w:r>
    </w:p>
    <w:p w14:paraId="1589C021"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This allows the mandatory tests required by launch providers for auxiliary payloads to be performed</w:t>
      </w:r>
    </w:p>
    <w:p w14:paraId="609C6516"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Growth in demand for Level 1 testing can easily be accommodated for the foreseeable future</w:t>
      </w:r>
    </w:p>
    <w:p w14:paraId="6ADEF88C"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Awareness in the sector of where the Level 1 capability exists needs to be raised: the attached annex contributes to this</w:t>
      </w:r>
    </w:p>
    <w:p w14:paraId="06F200DC"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The Level 1 facilities would benefit from upgrades and enhancements: this could be co-ordinated by a national body</w:t>
      </w:r>
    </w:p>
    <w:p w14:paraId="0D179DEA"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There are gaps in Level 2 and 3 test capabilities which would enable greater mission assurance – and hence quality – to be achieved</w:t>
      </w:r>
    </w:p>
    <w:p w14:paraId="5E11D101"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Uplifting national testing capability to Level 2 and 3 will also increase the competitiveness of the sector</w:t>
      </w:r>
    </w:p>
    <w:p w14:paraId="6C8BF9A3"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Supporting skills and expertise would enhance the sector’s performance</w:t>
      </w:r>
    </w:p>
    <w:p w14:paraId="50F4E018"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Having reach-back to a national pool of space testing expertise would support reliable growth of the sector</w:t>
      </w:r>
    </w:p>
    <w:p w14:paraId="5D45D88D"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The current distribution of basic test facilities around the country facilitates a relatively straight-forward capability consolidation in centres where demand is highest</w:t>
      </w:r>
    </w:p>
    <w:p w14:paraId="5B917F46" w14:textId="77777777" w:rsidR="00B14839" w:rsidRPr="00B14839" w:rsidRDefault="00B14839" w:rsidP="00405923">
      <w:pPr>
        <w:numPr>
          <w:ilvl w:val="0"/>
          <w:numId w:val="18"/>
        </w:numPr>
        <w:spacing w:before="0" w:after="160" w:line="259" w:lineRule="auto"/>
        <w:contextualSpacing/>
        <w:jc w:val="both"/>
        <w:rPr>
          <w:rFonts w:ascii="Century Gothic" w:hAnsi="Century Gothic" w:cs="Arial"/>
          <w:iCs w:val="0"/>
          <w:szCs w:val="20"/>
          <w:lang w:val="en-ZA"/>
        </w:rPr>
      </w:pPr>
      <w:r w:rsidRPr="00B14839">
        <w:rPr>
          <w:rFonts w:ascii="Century Gothic" w:hAnsi="Century Gothic" w:cs="Arial"/>
          <w:iCs w:val="0"/>
          <w:szCs w:val="20"/>
          <w:lang w:val="en-ZA"/>
        </w:rPr>
        <w:t>There are nascent Level 2/3 test facilities in a small number of locations, upon which national capabilities could be built</w:t>
      </w:r>
    </w:p>
    <w:p w14:paraId="77CC8967" w14:textId="77777777" w:rsidR="00B14839" w:rsidRPr="00B14839" w:rsidRDefault="00B14839" w:rsidP="00B14839">
      <w:pPr>
        <w:spacing w:before="0" w:after="160" w:line="259" w:lineRule="auto"/>
        <w:ind w:left="720"/>
        <w:contextualSpacing/>
        <w:jc w:val="both"/>
        <w:rPr>
          <w:rFonts w:ascii="Century Gothic" w:hAnsi="Century Gothic" w:cs="Arial"/>
          <w:iCs w:val="0"/>
          <w:szCs w:val="20"/>
          <w:lang w:val="en-ZA"/>
        </w:rPr>
      </w:pPr>
    </w:p>
    <w:p w14:paraId="7CC0209C" w14:textId="77777777" w:rsidR="00B14839" w:rsidRPr="00B14839" w:rsidRDefault="00B14839" w:rsidP="00B14839">
      <w:pPr>
        <w:spacing w:before="0" w:after="160" w:line="259" w:lineRule="auto"/>
        <w:jc w:val="center"/>
        <w:rPr>
          <w:rFonts w:ascii="Century Gothic" w:hAnsi="Century Gothic" w:cs="Arial"/>
          <w:iCs w:val="0"/>
          <w:sz w:val="18"/>
          <w:szCs w:val="18"/>
          <w:lang w:val="en-ZA"/>
        </w:rPr>
      </w:pPr>
    </w:p>
    <w:tbl>
      <w:tblPr>
        <w:tblStyle w:val="GridTable4-Accent21"/>
        <w:tblW w:w="0" w:type="auto"/>
        <w:tblLook w:val="04A0" w:firstRow="1" w:lastRow="0" w:firstColumn="1" w:lastColumn="0" w:noHBand="0" w:noVBand="1"/>
        <w:tblCaption w:val="Table of abbreviations used in the main body of the report."/>
      </w:tblPr>
      <w:tblGrid>
        <w:gridCol w:w="1413"/>
        <w:gridCol w:w="3455"/>
        <w:gridCol w:w="1364"/>
        <w:gridCol w:w="3504"/>
      </w:tblGrid>
      <w:tr w:rsidR="00B14839" w:rsidRPr="00B14839" w14:paraId="13EE6248" w14:textId="77777777" w:rsidTr="00B14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71B00BF6" w14:textId="77777777" w:rsidR="00B14839" w:rsidRPr="00B14839" w:rsidRDefault="00B14839" w:rsidP="00B95E35">
            <w:pPr>
              <w:spacing w:before="0" w:after="0" w:line="240" w:lineRule="auto"/>
              <w:rPr>
                <w:rFonts w:ascii="Century Gothic" w:hAnsi="Century Gothic"/>
                <w:iCs w:val="0"/>
                <w:sz w:val="18"/>
                <w:szCs w:val="18"/>
              </w:rPr>
            </w:pPr>
            <w:r w:rsidRPr="00B14839">
              <w:rPr>
                <w:rFonts w:ascii="Century Gothic" w:hAnsi="Century Gothic"/>
                <w:iCs w:val="0"/>
                <w:sz w:val="18"/>
                <w:szCs w:val="18"/>
              </w:rPr>
              <w:t>Abbreviation</w:t>
            </w:r>
          </w:p>
        </w:tc>
        <w:tc>
          <w:tcPr>
            <w:tcW w:w="3455" w:type="dxa"/>
          </w:tcPr>
          <w:p w14:paraId="09C7CFFC" w14:textId="77777777" w:rsidR="00B14839" w:rsidRPr="00B14839" w:rsidRDefault="00B14839"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B14839">
              <w:rPr>
                <w:rFonts w:ascii="Century Gothic" w:hAnsi="Century Gothic"/>
                <w:iCs w:val="0"/>
                <w:sz w:val="18"/>
                <w:szCs w:val="18"/>
              </w:rPr>
              <w:t>Meaning</w:t>
            </w:r>
          </w:p>
        </w:tc>
        <w:tc>
          <w:tcPr>
            <w:tcW w:w="1364" w:type="dxa"/>
          </w:tcPr>
          <w:p w14:paraId="5182B483" w14:textId="77777777" w:rsidR="00B14839" w:rsidRPr="00B14839" w:rsidRDefault="00B14839"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B14839">
              <w:rPr>
                <w:rFonts w:ascii="Century Gothic" w:hAnsi="Century Gothic"/>
                <w:iCs w:val="0"/>
                <w:sz w:val="18"/>
                <w:szCs w:val="18"/>
              </w:rPr>
              <w:t>Abbreviation</w:t>
            </w:r>
          </w:p>
        </w:tc>
        <w:tc>
          <w:tcPr>
            <w:tcW w:w="3504" w:type="dxa"/>
          </w:tcPr>
          <w:p w14:paraId="1E53E7C0" w14:textId="77777777" w:rsidR="00B14839" w:rsidRPr="00B14839" w:rsidRDefault="00B14839"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B14839">
              <w:rPr>
                <w:rFonts w:ascii="Century Gothic" w:hAnsi="Century Gothic"/>
                <w:iCs w:val="0"/>
                <w:sz w:val="18"/>
                <w:szCs w:val="18"/>
              </w:rPr>
              <w:t>Meaning</w:t>
            </w:r>
          </w:p>
        </w:tc>
      </w:tr>
      <w:tr w:rsidR="00B14839" w:rsidRPr="00B14839" w14:paraId="61B28B35" w14:textId="77777777" w:rsidTr="00B1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B3D1A1B" w14:textId="77777777" w:rsidR="00B14839" w:rsidRPr="00B14839" w:rsidRDefault="00B14839" w:rsidP="00B95E35">
            <w:pPr>
              <w:spacing w:before="0" w:after="0" w:line="240" w:lineRule="auto"/>
              <w:rPr>
                <w:rFonts w:ascii="Century Gothic" w:hAnsi="Century Gothic"/>
                <w:bCs w:val="0"/>
                <w:iCs w:val="0"/>
                <w:color w:val="000000"/>
                <w:sz w:val="20"/>
                <w:szCs w:val="20"/>
              </w:rPr>
            </w:pPr>
            <w:r w:rsidRPr="00B14839">
              <w:rPr>
                <w:rFonts w:ascii="Century Gothic" w:hAnsi="Century Gothic"/>
                <w:bCs w:val="0"/>
                <w:iCs w:val="0"/>
                <w:color w:val="000000"/>
                <w:sz w:val="20"/>
                <w:szCs w:val="20"/>
              </w:rPr>
              <w:t>AITC</w:t>
            </w:r>
          </w:p>
        </w:tc>
        <w:tc>
          <w:tcPr>
            <w:tcW w:w="3455" w:type="dxa"/>
          </w:tcPr>
          <w:p w14:paraId="321F4F42"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Advanced Instrumentation Technology Centre</w:t>
            </w:r>
          </w:p>
        </w:tc>
        <w:tc>
          <w:tcPr>
            <w:tcW w:w="1364" w:type="dxa"/>
          </w:tcPr>
          <w:p w14:paraId="76305B75"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 xml:space="preserve">EMC </w:t>
            </w:r>
          </w:p>
        </w:tc>
        <w:tc>
          <w:tcPr>
            <w:tcW w:w="3504" w:type="dxa"/>
          </w:tcPr>
          <w:p w14:paraId="38319875"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Electromagnetic Capability</w:t>
            </w:r>
          </w:p>
        </w:tc>
      </w:tr>
      <w:tr w:rsidR="00B14839" w:rsidRPr="00B14839" w14:paraId="182CAD60" w14:textId="77777777" w:rsidTr="00402271">
        <w:tc>
          <w:tcPr>
            <w:cnfStyle w:val="001000000000" w:firstRow="0" w:lastRow="0" w:firstColumn="1" w:lastColumn="0" w:oddVBand="0" w:evenVBand="0" w:oddHBand="0" w:evenHBand="0" w:firstRowFirstColumn="0" w:firstRowLastColumn="0" w:lastRowFirstColumn="0" w:lastRowLastColumn="0"/>
            <w:tcW w:w="1413" w:type="dxa"/>
          </w:tcPr>
          <w:p w14:paraId="19934DC4" w14:textId="77777777" w:rsidR="00B14839" w:rsidRPr="00B14839" w:rsidRDefault="00B14839" w:rsidP="00B95E35">
            <w:pPr>
              <w:spacing w:before="0" w:after="0" w:line="240" w:lineRule="auto"/>
              <w:rPr>
                <w:rFonts w:ascii="Century Gothic" w:hAnsi="Century Gothic"/>
                <w:bCs w:val="0"/>
                <w:iCs w:val="0"/>
                <w:color w:val="000000"/>
                <w:sz w:val="20"/>
                <w:szCs w:val="20"/>
              </w:rPr>
            </w:pPr>
            <w:r w:rsidRPr="00B14839">
              <w:rPr>
                <w:rFonts w:ascii="Century Gothic" w:hAnsi="Century Gothic"/>
                <w:bCs w:val="0"/>
                <w:iCs w:val="0"/>
                <w:color w:val="000000"/>
                <w:sz w:val="20"/>
                <w:szCs w:val="20"/>
              </w:rPr>
              <w:t>ANSTO</w:t>
            </w:r>
          </w:p>
        </w:tc>
        <w:tc>
          <w:tcPr>
            <w:tcW w:w="3455" w:type="dxa"/>
          </w:tcPr>
          <w:p w14:paraId="431B260E"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Australian Nuclear Science and Technology Organisation</w:t>
            </w:r>
          </w:p>
        </w:tc>
        <w:tc>
          <w:tcPr>
            <w:tcW w:w="1364" w:type="dxa"/>
          </w:tcPr>
          <w:p w14:paraId="038FB65D"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EMI</w:t>
            </w:r>
          </w:p>
        </w:tc>
        <w:tc>
          <w:tcPr>
            <w:tcW w:w="3504" w:type="dxa"/>
          </w:tcPr>
          <w:p w14:paraId="3B53C801"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Electromagnetic Interference</w:t>
            </w:r>
          </w:p>
        </w:tc>
      </w:tr>
      <w:tr w:rsidR="00B14839" w:rsidRPr="00B14839" w14:paraId="1521E5B1" w14:textId="77777777" w:rsidTr="00B1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503FBA5" w14:textId="77777777" w:rsidR="00B14839" w:rsidRPr="00B14839" w:rsidRDefault="00B14839" w:rsidP="00B95E35">
            <w:pPr>
              <w:spacing w:before="0" w:after="0" w:line="240" w:lineRule="auto"/>
              <w:rPr>
                <w:rFonts w:ascii="Century Gothic" w:hAnsi="Century Gothic"/>
                <w:bCs w:val="0"/>
                <w:iCs w:val="0"/>
                <w:color w:val="000000"/>
                <w:sz w:val="20"/>
                <w:szCs w:val="20"/>
              </w:rPr>
            </w:pPr>
            <w:r w:rsidRPr="00B14839">
              <w:rPr>
                <w:rFonts w:ascii="Century Gothic" w:hAnsi="Century Gothic"/>
                <w:bCs w:val="0"/>
                <w:iCs w:val="0"/>
                <w:color w:val="000000"/>
                <w:sz w:val="20"/>
                <w:szCs w:val="20"/>
              </w:rPr>
              <w:t>ANU</w:t>
            </w:r>
          </w:p>
        </w:tc>
        <w:tc>
          <w:tcPr>
            <w:tcW w:w="3455" w:type="dxa"/>
          </w:tcPr>
          <w:p w14:paraId="04D98C29"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Australia National University</w:t>
            </w:r>
          </w:p>
        </w:tc>
        <w:tc>
          <w:tcPr>
            <w:tcW w:w="1364" w:type="dxa"/>
          </w:tcPr>
          <w:p w14:paraId="28E2C29C"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 xml:space="preserve">RF </w:t>
            </w:r>
          </w:p>
        </w:tc>
        <w:tc>
          <w:tcPr>
            <w:tcW w:w="3504" w:type="dxa"/>
          </w:tcPr>
          <w:p w14:paraId="1E50999D"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Radio Frequency</w:t>
            </w:r>
          </w:p>
        </w:tc>
      </w:tr>
      <w:tr w:rsidR="00B14839" w:rsidRPr="00B14839" w14:paraId="4654A197" w14:textId="77777777" w:rsidTr="00402271">
        <w:tc>
          <w:tcPr>
            <w:cnfStyle w:val="001000000000" w:firstRow="0" w:lastRow="0" w:firstColumn="1" w:lastColumn="0" w:oddVBand="0" w:evenVBand="0" w:oddHBand="0" w:evenHBand="0" w:firstRowFirstColumn="0" w:firstRowLastColumn="0" w:lastRowFirstColumn="0" w:lastRowLastColumn="0"/>
            <w:tcW w:w="1413" w:type="dxa"/>
          </w:tcPr>
          <w:p w14:paraId="50757FFB" w14:textId="77777777" w:rsidR="00B14839" w:rsidRPr="00B14839" w:rsidRDefault="00B14839" w:rsidP="00B95E35">
            <w:pPr>
              <w:spacing w:before="0" w:after="0" w:line="240" w:lineRule="auto"/>
              <w:rPr>
                <w:rFonts w:ascii="Century Gothic" w:hAnsi="Century Gothic"/>
                <w:bCs w:val="0"/>
                <w:iCs w:val="0"/>
                <w:color w:val="000000"/>
                <w:sz w:val="20"/>
                <w:szCs w:val="20"/>
              </w:rPr>
            </w:pPr>
            <w:r w:rsidRPr="00B14839">
              <w:rPr>
                <w:rFonts w:ascii="Century Gothic" w:hAnsi="Century Gothic"/>
                <w:bCs w:val="0"/>
                <w:iCs w:val="0"/>
                <w:color w:val="000000"/>
                <w:sz w:val="20"/>
                <w:szCs w:val="20"/>
              </w:rPr>
              <w:t>CSIRO</w:t>
            </w:r>
          </w:p>
        </w:tc>
        <w:tc>
          <w:tcPr>
            <w:tcW w:w="3455" w:type="dxa"/>
          </w:tcPr>
          <w:p w14:paraId="46BBA15E"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shd w:val="clear" w:color="auto" w:fill="FFFFFF"/>
              </w:rPr>
              <w:t>Commonwealth Scientific and Industrial Research Organisation</w:t>
            </w:r>
          </w:p>
        </w:tc>
        <w:tc>
          <w:tcPr>
            <w:tcW w:w="1364" w:type="dxa"/>
          </w:tcPr>
          <w:p w14:paraId="272A5D2E"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 xml:space="preserve">SA </w:t>
            </w:r>
          </w:p>
        </w:tc>
        <w:tc>
          <w:tcPr>
            <w:tcW w:w="3504" w:type="dxa"/>
          </w:tcPr>
          <w:p w14:paraId="1F4572DF" w14:textId="77777777" w:rsidR="00B14839" w:rsidRPr="00B14839" w:rsidRDefault="00B14839"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South Australia</w:t>
            </w:r>
          </w:p>
        </w:tc>
      </w:tr>
      <w:tr w:rsidR="00B14839" w:rsidRPr="00B14839" w14:paraId="4DA1AA89" w14:textId="77777777" w:rsidTr="00B14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C7E9C2" w14:textId="77777777" w:rsidR="00B14839" w:rsidRPr="00B14839" w:rsidRDefault="00B14839" w:rsidP="00B95E35">
            <w:pPr>
              <w:spacing w:before="0" w:after="0" w:line="240" w:lineRule="auto"/>
              <w:rPr>
                <w:rFonts w:ascii="Century Gothic" w:hAnsi="Century Gothic"/>
                <w:bCs w:val="0"/>
                <w:iCs w:val="0"/>
                <w:color w:val="000000"/>
                <w:sz w:val="20"/>
                <w:szCs w:val="20"/>
              </w:rPr>
            </w:pPr>
            <w:r w:rsidRPr="00B14839">
              <w:rPr>
                <w:rFonts w:ascii="Century Gothic" w:hAnsi="Century Gothic"/>
                <w:bCs w:val="0"/>
                <w:iCs w:val="0"/>
                <w:color w:val="000000"/>
                <w:sz w:val="20"/>
                <w:szCs w:val="20"/>
              </w:rPr>
              <w:t>DSTG</w:t>
            </w:r>
          </w:p>
        </w:tc>
        <w:tc>
          <w:tcPr>
            <w:tcW w:w="3455" w:type="dxa"/>
          </w:tcPr>
          <w:p w14:paraId="0B5F9165"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color w:val="000000"/>
                <w:sz w:val="20"/>
                <w:szCs w:val="20"/>
              </w:rPr>
              <w:t>Defence Science and Technology Group</w:t>
            </w:r>
          </w:p>
        </w:tc>
        <w:tc>
          <w:tcPr>
            <w:tcW w:w="1364" w:type="dxa"/>
          </w:tcPr>
          <w:p w14:paraId="6C5981F7"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sz w:val="18"/>
                <w:szCs w:val="18"/>
              </w:rPr>
              <w:t>TVAC</w:t>
            </w:r>
          </w:p>
        </w:tc>
        <w:tc>
          <w:tcPr>
            <w:tcW w:w="3504" w:type="dxa"/>
          </w:tcPr>
          <w:p w14:paraId="40DBDC5D" w14:textId="77777777" w:rsidR="00B14839" w:rsidRPr="00B14839" w:rsidRDefault="00B14839"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color w:val="000000"/>
                <w:sz w:val="20"/>
                <w:szCs w:val="20"/>
              </w:rPr>
            </w:pPr>
            <w:r w:rsidRPr="00B14839">
              <w:rPr>
                <w:rFonts w:ascii="Century Gothic" w:hAnsi="Century Gothic"/>
                <w:iCs w:val="0"/>
                <w:sz w:val="18"/>
                <w:szCs w:val="18"/>
              </w:rPr>
              <w:t>Thermal Vacuum</w:t>
            </w:r>
          </w:p>
        </w:tc>
      </w:tr>
    </w:tbl>
    <w:p w14:paraId="563FB04F" w14:textId="0AD3621B" w:rsidR="008204CA" w:rsidRDefault="00B14839" w:rsidP="00371615">
      <w:pPr>
        <w:spacing w:before="0" w:after="160" w:line="259" w:lineRule="auto"/>
        <w:jc w:val="center"/>
        <w:rPr>
          <w:rFonts w:ascii="Century Gothic" w:hAnsi="Century Gothic" w:cs="Arial"/>
          <w:iCs w:val="0"/>
          <w:color w:val="729928"/>
          <w:sz w:val="32"/>
          <w:szCs w:val="32"/>
          <w:lang w:val="en-ZA"/>
        </w:rPr>
        <w:sectPr w:rsidR="008204CA" w:rsidSect="00402271">
          <w:headerReference w:type="default" r:id="rId45"/>
          <w:footerReference w:type="default" r:id="rId46"/>
          <w:pgSz w:w="11906" w:h="16838"/>
          <w:pgMar w:top="1440" w:right="1080" w:bottom="1440" w:left="1080" w:header="708" w:footer="708" w:gutter="0"/>
          <w:cols w:space="708"/>
          <w:docGrid w:linePitch="360"/>
        </w:sectPr>
      </w:pPr>
      <w:r w:rsidRPr="00B14839">
        <w:rPr>
          <w:rFonts w:ascii="Century Gothic" w:hAnsi="Century Gothic" w:cs="Arial"/>
          <w:iCs w:val="0"/>
          <w:sz w:val="18"/>
          <w:szCs w:val="18"/>
          <w:lang w:val="en-ZA"/>
        </w:rPr>
        <w:br w:type="page"/>
      </w:r>
    </w:p>
    <w:p w14:paraId="46032B52" w14:textId="4C9313FE" w:rsidR="008204CA" w:rsidRPr="008204CA" w:rsidRDefault="008204CA" w:rsidP="008204CA">
      <w:pPr>
        <w:spacing w:before="0" w:after="160" w:line="259" w:lineRule="auto"/>
        <w:jc w:val="center"/>
        <w:rPr>
          <w:rFonts w:ascii="Century Gothic" w:hAnsi="Century Gothic" w:cs="Arial"/>
          <w:iCs w:val="0"/>
          <w:sz w:val="18"/>
          <w:szCs w:val="18"/>
          <w:lang w:val="en-ZA"/>
        </w:rPr>
      </w:pPr>
    </w:p>
    <w:p w14:paraId="158E8B50" w14:textId="10A256F1" w:rsidR="008204CA" w:rsidRPr="00371615" w:rsidRDefault="008204CA" w:rsidP="00371615">
      <w:pPr>
        <w:keepNext/>
        <w:keepLines/>
        <w:spacing w:before="400" w:after="40" w:line="240" w:lineRule="auto"/>
        <w:outlineLvl w:val="0"/>
        <w:rPr>
          <w:rFonts w:ascii="Century Gothic" w:hAnsi="Century Gothic"/>
          <w:iCs w:val="0"/>
          <w:color w:val="4D671B"/>
          <w:sz w:val="36"/>
          <w:szCs w:val="36"/>
          <w:lang w:val="en-ZA"/>
        </w:rPr>
      </w:pPr>
      <w:r w:rsidRPr="008204CA">
        <w:rPr>
          <w:rFonts w:ascii="Century Gothic" w:hAnsi="Century Gothic"/>
          <w:iCs w:val="0"/>
          <w:color w:val="4D671B"/>
          <w:sz w:val="36"/>
          <w:szCs w:val="36"/>
          <w:lang w:val="en-ZA"/>
        </w:rPr>
        <w:t>Annex – Directory of Australian Space Test Capability</w:t>
      </w:r>
    </w:p>
    <w:p w14:paraId="18834A84" w14:textId="77777777" w:rsidR="008204CA" w:rsidRPr="008204CA" w:rsidRDefault="008204CA" w:rsidP="008204CA">
      <w:pPr>
        <w:spacing w:before="0" w:after="160" w:line="259" w:lineRule="auto"/>
        <w:rPr>
          <w:rFonts w:ascii="Century Gothic" w:hAnsi="Century Gothic" w:cs="Arial"/>
          <w:iCs w:val="0"/>
          <w:color w:val="729928"/>
          <w:sz w:val="32"/>
          <w:szCs w:val="32"/>
          <w:lang w:val="en-ZA"/>
        </w:rPr>
      </w:pPr>
    </w:p>
    <w:p w14:paraId="2F5B232A" w14:textId="6E2AFCC9" w:rsidR="008204CA" w:rsidRPr="008204CA" w:rsidRDefault="008204CA" w:rsidP="008204CA">
      <w:pPr>
        <w:spacing w:before="0" w:after="160" w:line="259" w:lineRule="auto"/>
        <w:rPr>
          <w:rFonts w:ascii="Century Gothic" w:hAnsi="Century Gothic" w:cs="Arial"/>
          <w:iCs w:val="0"/>
          <w:color w:val="729928"/>
          <w:sz w:val="32"/>
          <w:szCs w:val="32"/>
          <w:lang w:val="en-ZA"/>
        </w:rPr>
      </w:pPr>
      <w:r w:rsidRPr="008204CA">
        <w:rPr>
          <w:rFonts w:ascii="Century Gothic" w:hAnsi="Century Gothic" w:cs="Arial"/>
          <w:iCs w:val="0"/>
          <w:color w:val="729928"/>
          <w:sz w:val="32"/>
          <w:szCs w:val="32"/>
          <w:lang w:val="en-ZA"/>
        </w:rPr>
        <w:t>Current and Potentially Relevant Payload Quali</w:t>
      </w:r>
      <w:r w:rsidR="00371615">
        <w:rPr>
          <w:rFonts w:ascii="Century Gothic" w:hAnsi="Century Gothic" w:cs="Arial"/>
          <w:iCs w:val="0"/>
          <w:color w:val="729928"/>
          <w:sz w:val="32"/>
          <w:szCs w:val="32"/>
          <w:lang w:val="en-ZA"/>
        </w:rPr>
        <w:t>fication Equipment in Australia</w:t>
      </w:r>
    </w:p>
    <w:p w14:paraId="5660BEB9" w14:textId="77777777" w:rsidR="008204CA" w:rsidRPr="008204CA" w:rsidRDefault="008204CA" w:rsidP="008204CA">
      <w:pPr>
        <w:spacing w:before="0" w:after="160" w:line="259" w:lineRule="auto"/>
        <w:rPr>
          <w:rFonts w:ascii="Century Gothic" w:hAnsi="Century Gothic" w:cs="Arial"/>
          <w:iCs w:val="0"/>
          <w:color w:val="729928"/>
          <w:sz w:val="32"/>
          <w:szCs w:val="32"/>
          <w:lang w:val="en-ZA"/>
        </w:rPr>
      </w:pPr>
    </w:p>
    <w:p w14:paraId="5881AF73" w14:textId="77777777" w:rsidR="008204CA" w:rsidRPr="008204CA" w:rsidRDefault="008204CA" w:rsidP="008204CA">
      <w:pPr>
        <w:spacing w:before="0" w:after="160" w:line="259" w:lineRule="auto"/>
        <w:rPr>
          <w:rFonts w:ascii="Century Gothic" w:hAnsi="Century Gothic" w:cs="Arial"/>
          <w:iCs w:val="0"/>
          <w:sz w:val="32"/>
          <w:szCs w:val="32"/>
          <w:lang w:val="en-ZA"/>
        </w:rPr>
      </w:pPr>
      <w:r w:rsidRPr="008204CA">
        <w:rPr>
          <w:rFonts w:ascii="Century Gothic" w:hAnsi="Century Gothic" w:cs="Arial"/>
          <w:iCs w:val="0"/>
          <w:sz w:val="32"/>
          <w:szCs w:val="32"/>
          <w:lang w:val="en-ZA"/>
        </w:rPr>
        <w:t>Notes:</w:t>
      </w:r>
    </w:p>
    <w:p w14:paraId="0234AC5E" w14:textId="77777777" w:rsidR="008204CA" w:rsidRPr="008204CA" w:rsidRDefault="008204CA" w:rsidP="00405923">
      <w:pPr>
        <w:numPr>
          <w:ilvl w:val="0"/>
          <w:numId w:val="23"/>
        </w:numPr>
        <w:spacing w:before="0" w:after="160" w:line="259" w:lineRule="auto"/>
        <w:contextualSpacing/>
        <w:rPr>
          <w:rFonts w:ascii="Century Gothic" w:hAnsi="Century Gothic" w:cs="Arial"/>
          <w:iCs w:val="0"/>
          <w:szCs w:val="20"/>
          <w:lang w:val="en-ZA"/>
        </w:rPr>
      </w:pPr>
      <w:r w:rsidRPr="008204CA">
        <w:rPr>
          <w:rFonts w:ascii="Century Gothic" w:hAnsi="Century Gothic" w:cs="Arial"/>
          <w:iCs w:val="0"/>
          <w:szCs w:val="20"/>
          <w:lang w:val="en-ZA"/>
        </w:rPr>
        <w:t xml:space="preserve">This annex contains the results of the audit of existing test capability. </w:t>
      </w:r>
    </w:p>
    <w:p w14:paraId="39C5409B"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Whilst the audit may not be exhaustive, it provides the fullest overview currently available, based on the survey responses and follow-up investigations by Nova Systems.</w:t>
      </w:r>
    </w:p>
    <w:p w14:paraId="5F4C4576"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 xml:space="preserve">It is a directory of space payload </w:t>
      </w:r>
      <w:r w:rsidRPr="008204CA">
        <w:rPr>
          <w:rFonts w:ascii="Century Gothic" w:hAnsi="Century Gothic" w:cs="Arial"/>
          <w:i/>
          <w:szCs w:val="20"/>
          <w:lang w:val="en-ZA"/>
        </w:rPr>
        <w:t>qualification-relevant</w:t>
      </w:r>
      <w:r w:rsidRPr="008204CA">
        <w:rPr>
          <w:rFonts w:ascii="Century Gothic" w:hAnsi="Century Gothic" w:cs="Arial"/>
          <w:iCs w:val="0"/>
          <w:szCs w:val="20"/>
          <w:lang w:val="en-ZA"/>
        </w:rPr>
        <w:t xml:space="preserve"> test facilities in Australia in May 2020</w:t>
      </w:r>
    </w:p>
    <w:p w14:paraId="0C11B7D5"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It does not comment on the immediate suitability.</w:t>
      </w:r>
    </w:p>
    <w:p w14:paraId="1EC61270" w14:textId="77777777" w:rsidR="008204CA" w:rsidRPr="008204CA" w:rsidRDefault="008204CA" w:rsidP="00405923">
      <w:pPr>
        <w:numPr>
          <w:ilvl w:val="1"/>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For example, modifications may be required when testing space hardware (eg the facility may not be sufficiently clean because of items tested previously, or suitable measurement equipment may not be available, or would need to be supplied by the user, or suitable mounting fixtures may not be available).</w:t>
      </w:r>
    </w:p>
    <w:p w14:paraId="2FBE2509"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The focus is largely on facilities for supporting qualification of orbital payloads, since this is the largest area of hardware development activity in the Australian space sector.</w:t>
      </w:r>
    </w:p>
    <w:p w14:paraId="2C9F95A6"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For organisations which did not respond to the survey, publicly available information (for example, from company websites) was used as input.</w:t>
      </w:r>
    </w:p>
    <w:p w14:paraId="013CD0CF" w14:textId="77777777" w:rsidR="008204CA" w:rsidRPr="008204CA" w:rsidRDefault="008204CA" w:rsidP="00405923">
      <w:pPr>
        <w:numPr>
          <w:ilvl w:val="0"/>
          <w:numId w:val="23"/>
        </w:numPr>
        <w:spacing w:before="0" w:after="160" w:line="259" w:lineRule="auto"/>
        <w:contextualSpacing/>
        <w:jc w:val="both"/>
        <w:rPr>
          <w:rFonts w:ascii="Century Gothic" w:hAnsi="Century Gothic" w:cs="Arial"/>
          <w:iCs w:val="0"/>
          <w:szCs w:val="20"/>
          <w:lang w:val="en-ZA"/>
        </w:rPr>
      </w:pPr>
      <w:r w:rsidRPr="008204CA">
        <w:rPr>
          <w:rFonts w:ascii="Century Gothic" w:hAnsi="Century Gothic" w:cs="Arial"/>
          <w:iCs w:val="0"/>
          <w:szCs w:val="20"/>
          <w:lang w:val="en-ZA"/>
        </w:rPr>
        <w:t>The tables reflect the existence of equipment, not necessarily the overall facility capability required to provide a fully effective test service.</w:t>
      </w:r>
    </w:p>
    <w:p w14:paraId="15233DF7" w14:textId="77777777" w:rsidR="008204CA" w:rsidRPr="008204CA" w:rsidRDefault="008204CA" w:rsidP="008204CA">
      <w:pPr>
        <w:spacing w:before="0" w:after="160" w:line="259" w:lineRule="auto"/>
        <w:rPr>
          <w:rFonts w:ascii="Century Gothic" w:hAnsi="Century Gothic" w:cs="Arial"/>
          <w:iCs w:val="0"/>
          <w:szCs w:val="20"/>
          <w:lang w:val="en-ZA"/>
        </w:rPr>
      </w:pPr>
    </w:p>
    <w:tbl>
      <w:tblPr>
        <w:tblStyle w:val="GridTable4-Accent22"/>
        <w:tblW w:w="0" w:type="auto"/>
        <w:tblLook w:val="04A0" w:firstRow="1" w:lastRow="0" w:firstColumn="1" w:lastColumn="0" w:noHBand="0" w:noVBand="1"/>
        <w:tblCaption w:val="Table of abbreviations used in the Annex."/>
      </w:tblPr>
      <w:tblGrid>
        <w:gridCol w:w="1413"/>
        <w:gridCol w:w="3455"/>
        <w:gridCol w:w="1364"/>
        <w:gridCol w:w="3504"/>
      </w:tblGrid>
      <w:tr w:rsidR="008204CA" w:rsidRPr="008204CA" w14:paraId="7422508C"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040CD905" w14:textId="77777777" w:rsidR="008204CA" w:rsidRPr="008204CA" w:rsidRDefault="008204CA" w:rsidP="00B95E35">
            <w:pPr>
              <w:spacing w:before="0" w:after="0" w:line="240" w:lineRule="auto"/>
              <w:rPr>
                <w:rFonts w:ascii="Century Gothic" w:hAnsi="Century Gothic"/>
                <w:iCs w:val="0"/>
                <w:sz w:val="18"/>
                <w:szCs w:val="18"/>
              </w:rPr>
            </w:pPr>
            <w:r w:rsidRPr="008204CA">
              <w:rPr>
                <w:rFonts w:ascii="Century Gothic" w:hAnsi="Century Gothic"/>
                <w:iCs w:val="0"/>
                <w:sz w:val="18"/>
                <w:szCs w:val="18"/>
              </w:rPr>
              <w:t>Abbreviation</w:t>
            </w:r>
          </w:p>
        </w:tc>
        <w:tc>
          <w:tcPr>
            <w:tcW w:w="3455" w:type="dxa"/>
          </w:tcPr>
          <w:p w14:paraId="7BEE3AD7" w14:textId="77777777" w:rsidR="008204CA" w:rsidRPr="008204CA" w:rsidRDefault="008204CA"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Meaning</w:t>
            </w:r>
          </w:p>
        </w:tc>
        <w:tc>
          <w:tcPr>
            <w:tcW w:w="1364" w:type="dxa"/>
          </w:tcPr>
          <w:p w14:paraId="7D543E21" w14:textId="77777777" w:rsidR="008204CA" w:rsidRPr="008204CA" w:rsidRDefault="008204CA"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Abbreviation</w:t>
            </w:r>
          </w:p>
        </w:tc>
        <w:tc>
          <w:tcPr>
            <w:tcW w:w="3504" w:type="dxa"/>
          </w:tcPr>
          <w:p w14:paraId="23E06F80" w14:textId="77777777" w:rsidR="008204CA" w:rsidRPr="008204CA" w:rsidRDefault="008204CA" w:rsidP="00B95E3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Meaning</w:t>
            </w:r>
          </w:p>
        </w:tc>
      </w:tr>
      <w:tr w:rsidR="008204CA" w:rsidRPr="008204CA" w14:paraId="15736681" w14:textId="77777777" w:rsidTr="00820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378FCE6"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CoG</w:t>
            </w:r>
          </w:p>
        </w:tc>
        <w:tc>
          <w:tcPr>
            <w:tcW w:w="3455" w:type="dxa"/>
          </w:tcPr>
          <w:p w14:paraId="338AEF14"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Centre of Gravity</w:t>
            </w:r>
          </w:p>
        </w:tc>
        <w:tc>
          <w:tcPr>
            <w:tcW w:w="1364" w:type="dxa"/>
          </w:tcPr>
          <w:p w14:paraId="74029ED7"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RGA</w:t>
            </w:r>
          </w:p>
        </w:tc>
        <w:tc>
          <w:tcPr>
            <w:tcW w:w="3504" w:type="dxa"/>
          </w:tcPr>
          <w:p w14:paraId="23949060"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Residual Gas Analyser</w:t>
            </w:r>
          </w:p>
        </w:tc>
      </w:tr>
      <w:tr w:rsidR="008204CA" w:rsidRPr="008204CA" w14:paraId="74545423" w14:textId="77777777" w:rsidTr="008204CA">
        <w:tc>
          <w:tcPr>
            <w:cnfStyle w:val="001000000000" w:firstRow="0" w:lastRow="0" w:firstColumn="1" w:lastColumn="0" w:oddVBand="0" w:evenVBand="0" w:oddHBand="0" w:evenHBand="0" w:firstRowFirstColumn="0" w:firstRowLastColumn="0" w:lastRowFirstColumn="0" w:lastRowLastColumn="0"/>
            <w:tcW w:w="1413" w:type="dxa"/>
          </w:tcPr>
          <w:p w14:paraId="07301C1D"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DAQ</w:t>
            </w:r>
          </w:p>
        </w:tc>
        <w:tc>
          <w:tcPr>
            <w:tcW w:w="3455" w:type="dxa"/>
          </w:tcPr>
          <w:p w14:paraId="5BB32F51"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Data Acquisition</w:t>
            </w:r>
          </w:p>
        </w:tc>
        <w:tc>
          <w:tcPr>
            <w:tcW w:w="1364" w:type="dxa"/>
          </w:tcPr>
          <w:p w14:paraId="042B2BC4"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RH</w:t>
            </w:r>
          </w:p>
        </w:tc>
        <w:tc>
          <w:tcPr>
            <w:tcW w:w="3504" w:type="dxa"/>
          </w:tcPr>
          <w:p w14:paraId="073AC2EB"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Relative Humidity</w:t>
            </w:r>
          </w:p>
        </w:tc>
      </w:tr>
      <w:tr w:rsidR="008204CA" w:rsidRPr="008204CA" w14:paraId="2042B60B" w14:textId="77777777" w:rsidTr="00820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22CA757"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GN2</w:t>
            </w:r>
          </w:p>
        </w:tc>
        <w:tc>
          <w:tcPr>
            <w:tcW w:w="3455" w:type="dxa"/>
          </w:tcPr>
          <w:p w14:paraId="661CB2B5"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Gaseous Nitrogen</w:t>
            </w:r>
          </w:p>
        </w:tc>
        <w:tc>
          <w:tcPr>
            <w:tcW w:w="1364" w:type="dxa"/>
          </w:tcPr>
          <w:p w14:paraId="7600BE7D"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SRS</w:t>
            </w:r>
          </w:p>
        </w:tc>
        <w:tc>
          <w:tcPr>
            <w:tcW w:w="3504" w:type="dxa"/>
          </w:tcPr>
          <w:p w14:paraId="1598C177"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Shock Response Spectrum</w:t>
            </w:r>
          </w:p>
        </w:tc>
      </w:tr>
      <w:tr w:rsidR="008204CA" w:rsidRPr="008204CA" w14:paraId="69E102EA" w14:textId="77777777" w:rsidTr="008204CA">
        <w:tc>
          <w:tcPr>
            <w:cnfStyle w:val="001000000000" w:firstRow="0" w:lastRow="0" w:firstColumn="1" w:lastColumn="0" w:oddVBand="0" w:evenVBand="0" w:oddHBand="0" w:evenHBand="0" w:firstRowFirstColumn="0" w:firstRowLastColumn="0" w:lastRowFirstColumn="0" w:lastRowLastColumn="0"/>
            <w:tcW w:w="1413" w:type="dxa"/>
          </w:tcPr>
          <w:p w14:paraId="3A4E863C"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HAB</w:t>
            </w:r>
          </w:p>
        </w:tc>
        <w:tc>
          <w:tcPr>
            <w:tcW w:w="3455" w:type="dxa"/>
          </w:tcPr>
          <w:p w14:paraId="71807526"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 Altitude Balloon</w:t>
            </w:r>
          </w:p>
        </w:tc>
        <w:tc>
          <w:tcPr>
            <w:tcW w:w="1364" w:type="dxa"/>
          </w:tcPr>
          <w:p w14:paraId="681B2C56"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TC</w:t>
            </w:r>
          </w:p>
        </w:tc>
        <w:tc>
          <w:tcPr>
            <w:tcW w:w="3504" w:type="dxa"/>
          </w:tcPr>
          <w:p w14:paraId="7580D10E"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Thermal Cycling</w:t>
            </w:r>
          </w:p>
        </w:tc>
      </w:tr>
      <w:tr w:rsidR="008204CA" w:rsidRPr="008204CA" w14:paraId="636DDF3D" w14:textId="77777777" w:rsidTr="00820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839BC85"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LSP</w:t>
            </w:r>
          </w:p>
        </w:tc>
        <w:tc>
          <w:tcPr>
            <w:tcW w:w="3455" w:type="dxa"/>
          </w:tcPr>
          <w:p w14:paraId="5A0241A3"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Service Provider</w:t>
            </w:r>
          </w:p>
        </w:tc>
        <w:tc>
          <w:tcPr>
            <w:tcW w:w="1364" w:type="dxa"/>
          </w:tcPr>
          <w:p w14:paraId="239CE5DB"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TQCM</w:t>
            </w:r>
          </w:p>
        </w:tc>
        <w:tc>
          <w:tcPr>
            <w:tcW w:w="3504" w:type="dxa"/>
          </w:tcPr>
          <w:p w14:paraId="552ABBA7"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Thermoelectric Quartz Crystal Microbalance</w:t>
            </w:r>
          </w:p>
        </w:tc>
      </w:tr>
      <w:tr w:rsidR="008204CA" w:rsidRPr="008204CA" w14:paraId="7EA76AB5" w14:textId="77777777" w:rsidTr="008204CA">
        <w:tc>
          <w:tcPr>
            <w:cnfStyle w:val="001000000000" w:firstRow="0" w:lastRow="0" w:firstColumn="1" w:lastColumn="0" w:oddVBand="0" w:evenVBand="0" w:oddHBand="0" w:evenHBand="0" w:firstRowFirstColumn="0" w:firstRowLastColumn="0" w:lastRowFirstColumn="0" w:lastRowLastColumn="0"/>
            <w:tcW w:w="1413" w:type="dxa"/>
          </w:tcPr>
          <w:p w14:paraId="091A24BE"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MoI</w:t>
            </w:r>
          </w:p>
        </w:tc>
        <w:tc>
          <w:tcPr>
            <w:tcW w:w="3455" w:type="dxa"/>
          </w:tcPr>
          <w:p w14:paraId="4B0050FC"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Moment of Inertia</w:t>
            </w:r>
          </w:p>
        </w:tc>
        <w:tc>
          <w:tcPr>
            <w:tcW w:w="1364" w:type="dxa"/>
          </w:tcPr>
          <w:p w14:paraId="662FA3B8"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TVAC</w:t>
            </w:r>
          </w:p>
        </w:tc>
        <w:tc>
          <w:tcPr>
            <w:tcW w:w="3504" w:type="dxa"/>
          </w:tcPr>
          <w:p w14:paraId="4CA8B152" w14:textId="77777777" w:rsidR="008204CA" w:rsidRPr="008204CA" w:rsidRDefault="008204CA" w:rsidP="00B95E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Thermal Vacuum</w:t>
            </w:r>
          </w:p>
        </w:tc>
      </w:tr>
      <w:tr w:rsidR="008204CA" w:rsidRPr="008204CA" w14:paraId="1D878AB1" w14:textId="77777777" w:rsidTr="00820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B58C60" w14:textId="77777777" w:rsidR="008204CA" w:rsidRPr="00D53A66" w:rsidRDefault="008204CA" w:rsidP="00B95E35">
            <w:pPr>
              <w:spacing w:before="0" w:after="0" w:line="240" w:lineRule="auto"/>
              <w:rPr>
                <w:rFonts w:ascii="Century Gothic" w:hAnsi="Century Gothic"/>
                <w:b w:val="0"/>
                <w:sz w:val="18"/>
                <w:szCs w:val="18"/>
              </w:rPr>
            </w:pPr>
            <w:r w:rsidRPr="008204CA">
              <w:rPr>
                <w:rFonts w:ascii="Century Gothic" w:hAnsi="Century Gothic"/>
                <w:bCs w:val="0"/>
                <w:iCs w:val="0"/>
                <w:sz w:val="18"/>
                <w:szCs w:val="18"/>
              </w:rPr>
              <w:t>RF</w:t>
            </w:r>
          </w:p>
        </w:tc>
        <w:tc>
          <w:tcPr>
            <w:tcW w:w="3455" w:type="dxa"/>
          </w:tcPr>
          <w:p w14:paraId="0AD72B00"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Radio Frequency</w:t>
            </w:r>
          </w:p>
        </w:tc>
        <w:tc>
          <w:tcPr>
            <w:tcW w:w="1364" w:type="dxa"/>
          </w:tcPr>
          <w:p w14:paraId="7B9956AB"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UAV</w:t>
            </w:r>
          </w:p>
        </w:tc>
        <w:tc>
          <w:tcPr>
            <w:tcW w:w="3504" w:type="dxa"/>
          </w:tcPr>
          <w:p w14:paraId="449EDCC0" w14:textId="77777777" w:rsidR="008204CA" w:rsidRPr="008204CA" w:rsidRDefault="008204CA" w:rsidP="00B95E3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Unmanned Aerial Vehicle</w:t>
            </w:r>
          </w:p>
        </w:tc>
      </w:tr>
    </w:tbl>
    <w:p w14:paraId="73E07314" w14:textId="4C9313FE" w:rsidR="008204CA" w:rsidRPr="008204CA" w:rsidRDefault="008204CA" w:rsidP="008204CA">
      <w:pPr>
        <w:spacing w:before="0" w:after="160" w:line="259" w:lineRule="auto"/>
        <w:rPr>
          <w:rFonts w:ascii="Century Gothic" w:hAnsi="Century Gothic" w:cs="Arial"/>
          <w:iCs w:val="0"/>
          <w:color w:val="729928"/>
          <w:sz w:val="32"/>
          <w:szCs w:val="32"/>
          <w:lang w:val="en-ZA"/>
        </w:rPr>
      </w:pPr>
    </w:p>
    <w:p w14:paraId="04ABAAC0" w14:textId="77777777" w:rsidR="008204CA" w:rsidRPr="008204CA" w:rsidRDefault="008204CA" w:rsidP="008204CA">
      <w:pPr>
        <w:spacing w:before="0" w:after="160" w:line="259" w:lineRule="auto"/>
        <w:rPr>
          <w:rFonts w:ascii="Century Gothic" w:hAnsi="Century Gothic" w:cs="Arial"/>
          <w:iCs w:val="0"/>
          <w:color w:val="729928"/>
          <w:sz w:val="32"/>
          <w:szCs w:val="32"/>
          <w:lang w:val="en-ZA"/>
        </w:rPr>
        <w:sectPr w:rsidR="008204CA" w:rsidRPr="008204CA" w:rsidSect="008204CA">
          <w:headerReference w:type="default" r:id="rId47"/>
          <w:footerReference w:type="default" r:id="rId48"/>
          <w:pgSz w:w="11906" w:h="16838"/>
          <w:pgMar w:top="1440" w:right="1080" w:bottom="1440" w:left="1080" w:header="708" w:footer="708" w:gutter="0"/>
          <w:cols w:space="708"/>
          <w:docGrid w:linePitch="360"/>
        </w:sectPr>
      </w:pPr>
    </w:p>
    <w:tbl>
      <w:tblPr>
        <w:tblStyle w:val="GridTable42"/>
        <w:tblW w:w="4673" w:type="pct"/>
        <w:tblLook w:val="04A0" w:firstRow="1" w:lastRow="0" w:firstColumn="1" w:lastColumn="0" w:noHBand="0" w:noVBand="1"/>
      </w:tblPr>
      <w:tblGrid>
        <w:gridCol w:w="1619"/>
        <w:gridCol w:w="2203"/>
        <w:gridCol w:w="3968"/>
        <w:gridCol w:w="5246"/>
      </w:tblGrid>
      <w:tr w:rsidR="008204CA" w:rsidRPr="008204CA" w14:paraId="1686F63D"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48C22B31"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5BFFCD6B"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7F785ACF"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4740A857"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139CBE57" w14:textId="77777777" w:rsidTr="008204CA">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21" w:type="pct"/>
            <w:vMerge w:val="restart"/>
          </w:tcPr>
          <w:p w14:paraId="52A13376" w14:textId="77777777" w:rsidR="008204CA" w:rsidRPr="008204CA" w:rsidRDefault="008204CA" w:rsidP="008204CA">
            <w:pPr>
              <w:tabs>
                <w:tab w:val="left" w:pos="346"/>
              </w:tabs>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 xml:space="preserve">Vibration tests </w:t>
            </w:r>
          </w:p>
        </w:tc>
        <w:tc>
          <w:tcPr>
            <w:tcW w:w="845" w:type="pct"/>
            <w:vMerge w:val="restart"/>
          </w:tcPr>
          <w:p w14:paraId="0D4023A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Swept sine response search survey</w:t>
            </w:r>
          </w:p>
          <w:p w14:paraId="70A4020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Modal survey</w:t>
            </w:r>
          </w:p>
          <w:p w14:paraId="5EEE89E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Sinusoidal vibration</w:t>
            </w:r>
          </w:p>
          <w:p w14:paraId="002D482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Random Motion Vibration</w:t>
            </w:r>
          </w:p>
        </w:tc>
        <w:tc>
          <w:tcPr>
            <w:tcW w:w="1522" w:type="pct"/>
          </w:tcPr>
          <w:p w14:paraId="64359C7D"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APC Technology, Cheltenham, SA</w:t>
            </w:r>
          </w:p>
        </w:tc>
        <w:tc>
          <w:tcPr>
            <w:tcW w:w="2012" w:type="pct"/>
          </w:tcPr>
          <w:p w14:paraId="77C15A9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Hardware developer with facilities for in-house testing not generally available to external users</w:t>
            </w:r>
          </w:p>
          <w:p w14:paraId="4FBCA89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10kN, slip table assumed</w:t>
            </w:r>
          </w:p>
        </w:tc>
      </w:tr>
      <w:tr w:rsidR="008204CA" w:rsidRPr="008204CA" w14:paraId="369836C8" w14:textId="77777777" w:rsidTr="008204CA">
        <w:trPr>
          <w:trHeight w:val="434"/>
        </w:trPr>
        <w:tc>
          <w:tcPr>
            <w:cnfStyle w:val="001000000000" w:firstRow="0" w:lastRow="0" w:firstColumn="1" w:lastColumn="0" w:oddVBand="0" w:evenVBand="0" w:oddHBand="0" w:evenHBand="0" w:firstRowFirstColumn="0" w:firstRowLastColumn="0" w:lastRowFirstColumn="0" w:lastRowLastColumn="0"/>
            <w:tcW w:w="621" w:type="pct"/>
            <w:vMerge/>
          </w:tcPr>
          <w:p w14:paraId="7F3ED164"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27F3D59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2" w:type="pct"/>
          </w:tcPr>
          <w:p w14:paraId="50563A8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APV-T Test Centre, Campbellfield VIC</w:t>
            </w:r>
          </w:p>
        </w:tc>
        <w:tc>
          <w:tcPr>
            <w:tcW w:w="2012" w:type="pct"/>
          </w:tcPr>
          <w:p w14:paraId="1711299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crash test lab</w:t>
            </w:r>
          </w:p>
          <w:p w14:paraId="08761F3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35kN, no slip table</w:t>
            </w:r>
          </w:p>
        </w:tc>
      </w:tr>
      <w:tr w:rsidR="008204CA" w:rsidRPr="008204CA" w14:paraId="37923A46" w14:textId="77777777" w:rsidTr="008204C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21" w:type="pct"/>
            <w:vMerge/>
          </w:tcPr>
          <w:p w14:paraId="087A5A2C"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58E1F05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2" w:type="pct"/>
          </w:tcPr>
          <w:p w14:paraId="6ECE602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2012" w:type="pct"/>
            <w:vMerge w:val="restart"/>
          </w:tcPr>
          <w:p w14:paraId="7E4C49A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4FB28B9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5-off shakers with slip tables across three sites</w:t>
            </w:r>
          </w:p>
          <w:p w14:paraId="0FA13C4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Largest 60kN</w:t>
            </w:r>
          </w:p>
        </w:tc>
      </w:tr>
      <w:tr w:rsidR="008204CA" w:rsidRPr="008204CA" w14:paraId="72158428" w14:textId="77777777" w:rsidTr="008204CA">
        <w:trPr>
          <w:trHeight w:val="448"/>
        </w:trPr>
        <w:tc>
          <w:tcPr>
            <w:cnfStyle w:val="001000000000" w:firstRow="0" w:lastRow="0" w:firstColumn="1" w:lastColumn="0" w:oddVBand="0" w:evenVBand="0" w:oddHBand="0" w:evenHBand="0" w:firstRowFirstColumn="0" w:firstRowLastColumn="0" w:lastRowFirstColumn="0" w:lastRowLastColumn="0"/>
            <w:tcW w:w="621" w:type="pct"/>
            <w:vMerge/>
          </w:tcPr>
          <w:p w14:paraId="7FD25808"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43882B7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2" w:type="pct"/>
          </w:tcPr>
          <w:p w14:paraId="59F9023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2012" w:type="pct"/>
            <w:vMerge/>
          </w:tcPr>
          <w:p w14:paraId="40D6235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2599FE06" w14:textId="77777777" w:rsidTr="008204C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21" w:type="pct"/>
            <w:vMerge/>
          </w:tcPr>
          <w:p w14:paraId="3E7BF967"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351BBC7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2" w:type="pct"/>
          </w:tcPr>
          <w:p w14:paraId="0419BEC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Para Hills West, SA</w:t>
            </w:r>
          </w:p>
        </w:tc>
        <w:tc>
          <w:tcPr>
            <w:tcW w:w="2012" w:type="pct"/>
            <w:vMerge/>
          </w:tcPr>
          <w:p w14:paraId="6AB7BB5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2243AED5" w14:textId="77777777" w:rsidTr="008204CA">
        <w:trPr>
          <w:trHeight w:val="48"/>
        </w:trPr>
        <w:tc>
          <w:tcPr>
            <w:cnfStyle w:val="001000000000" w:firstRow="0" w:lastRow="0" w:firstColumn="1" w:lastColumn="0" w:oddVBand="0" w:evenVBand="0" w:oddHBand="0" w:evenHBand="0" w:firstRowFirstColumn="0" w:firstRowLastColumn="0" w:lastRowFirstColumn="0" w:lastRowLastColumn="0"/>
            <w:tcW w:w="621" w:type="pct"/>
            <w:vMerge/>
          </w:tcPr>
          <w:p w14:paraId="1FB2FFBA"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31094A5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2" w:type="pct"/>
          </w:tcPr>
          <w:p w14:paraId="4C7638F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2012" w:type="pct"/>
          </w:tcPr>
          <w:p w14:paraId="6E74F0A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174190C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22kN shaker with slip table</w:t>
            </w:r>
          </w:p>
          <w:p w14:paraId="495C3F9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450N shaker</w:t>
            </w:r>
          </w:p>
          <w:p w14:paraId="72FF81A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several rail-rider and tab-clamp CubeSat test fixtures available</w:t>
            </w:r>
          </w:p>
          <w:p w14:paraId="4F1CE32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6176913B" w14:textId="77777777" w:rsidTr="008204CA">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621" w:type="pct"/>
            <w:vMerge/>
          </w:tcPr>
          <w:p w14:paraId="1996DC6D"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4B92FA2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2" w:type="pct"/>
          </w:tcPr>
          <w:p w14:paraId="609422C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BAE Systems, Edinburgh SA</w:t>
            </w:r>
          </w:p>
        </w:tc>
        <w:tc>
          <w:tcPr>
            <w:tcW w:w="2012" w:type="pct"/>
          </w:tcPr>
          <w:p w14:paraId="2E07205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w:t>
            </w:r>
          </w:p>
          <w:p w14:paraId="62712AC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22kN shaker with slip table</w:t>
            </w:r>
          </w:p>
          <w:p w14:paraId="2A823D4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53kN shaker with slip table</w:t>
            </w:r>
          </w:p>
        </w:tc>
      </w:tr>
      <w:tr w:rsidR="008204CA" w:rsidRPr="008204CA" w14:paraId="36F15B82" w14:textId="77777777" w:rsidTr="008204CA">
        <w:trPr>
          <w:trHeight w:val="451"/>
        </w:trPr>
        <w:tc>
          <w:tcPr>
            <w:cnfStyle w:val="001000000000" w:firstRow="0" w:lastRow="0" w:firstColumn="1" w:lastColumn="0" w:oddVBand="0" w:evenVBand="0" w:oddHBand="0" w:evenHBand="0" w:firstRowFirstColumn="0" w:firstRowLastColumn="0" w:lastRowFirstColumn="0" w:lastRowLastColumn="0"/>
            <w:tcW w:w="621" w:type="pct"/>
            <w:vMerge/>
          </w:tcPr>
          <w:p w14:paraId="1CAE719B"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6B4913B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2" w:type="pct"/>
          </w:tcPr>
          <w:p w14:paraId="6D86F7A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Bellinger Systems, Rydalmere NSW</w:t>
            </w:r>
          </w:p>
        </w:tc>
        <w:tc>
          <w:tcPr>
            <w:tcW w:w="2012" w:type="pct"/>
          </w:tcPr>
          <w:p w14:paraId="6DD6975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110N shaker with limited instrumentation</w:t>
            </w:r>
          </w:p>
          <w:p w14:paraId="5C795CF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Component-level testing only</w:t>
            </w:r>
          </w:p>
        </w:tc>
      </w:tr>
      <w:tr w:rsidR="008204CA" w:rsidRPr="008204CA" w14:paraId="16430C5A" w14:textId="77777777" w:rsidTr="008204C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21" w:type="pct"/>
            <w:vMerge/>
          </w:tcPr>
          <w:p w14:paraId="64505EE5"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7A555AC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2" w:type="pct"/>
          </w:tcPr>
          <w:p w14:paraId="378820C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City QLD</w:t>
            </w:r>
          </w:p>
        </w:tc>
        <w:tc>
          <w:tcPr>
            <w:tcW w:w="2012" w:type="pct"/>
          </w:tcPr>
          <w:p w14:paraId="7C5DD9F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 – available to external customers</w:t>
            </w:r>
          </w:p>
          <w:p w14:paraId="377ECB1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shaker with slip table capacity not provided</w:t>
            </w:r>
          </w:p>
        </w:tc>
      </w:tr>
      <w:tr w:rsidR="008204CA" w:rsidRPr="008204CA" w14:paraId="3888D23A" w14:textId="77777777" w:rsidTr="008204CA">
        <w:trPr>
          <w:trHeight w:val="45"/>
        </w:trPr>
        <w:tc>
          <w:tcPr>
            <w:cnfStyle w:val="001000000000" w:firstRow="0" w:lastRow="0" w:firstColumn="1" w:lastColumn="0" w:oddVBand="0" w:evenVBand="0" w:oddHBand="0" w:evenHBand="0" w:firstRowFirstColumn="0" w:firstRowLastColumn="0" w:lastRowFirstColumn="0" w:lastRowLastColumn="0"/>
            <w:tcW w:w="621" w:type="pct"/>
            <w:vMerge/>
          </w:tcPr>
          <w:p w14:paraId="253D92FE"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45" w:type="pct"/>
            <w:vMerge/>
          </w:tcPr>
          <w:p w14:paraId="463CD9E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2" w:type="pct"/>
          </w:tcPr>
          <w:p w14:paraId="277FBB7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Boeing Australia, Port Melbourne VIC </w:t>
            </w:r>
          </w:p>
        </w:tc>
        <w:tc>
          <w:tcPr>
            <w:tcW w:w="2012" w:type="pct"/>
          </w:tcPr>
          <w:p w14:paraId="6A47DAE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supporting in-house testing In-house engineering test facility – no longer available to external customers</w:t>
            </w:r>
          </w:p>
          <w:p w14:paraId="61A6013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90kN shaker with slip table</w:t>
            </w:r>
          </w:p>
        </w:tc>
      </w:tr>
    </w:tbl>
    <w:p w14:paraId="73F5C698" w14:textId="77777777" w:rsidR="008204CA" w:rsidRPr="008204CA" w:rsidRDefault="008204CA" w:rsidP="008204CA">
      <w:pPr>
        <w:spacing w:before="0" w:after="160" w:line="259" w:lineRule="auto"/>
        <w:rPr>
          <w:rFonts w:ascii="Century Gothic" w:hAnsi="Century Gothic" w:cs="Arial"/>
          <w:iCs w:val="0"/>
          <w:color w:val="729928"/>
          <w:szCs w:val="20"/>
          <w:lang w:val="en-ZA"/>
        </w:rPr>
      </w:pPr>
    </w:p>
    <w:p w14:paraId="36D0B905"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860"/>
        <w:gridCol w:w="2123"/>
        <w:gridCol w:w="3888"/>
        <w:gridCol w:w="5165"/>
      </w:tblGrid>
      <w:tr w:rsidR="008204CA" w:rsidRPr="008204CA" w14:paraId="392BCC12" w14:textId="77777777" w:rsidTr="008204CA">
        <w:trPr>
          <w:cnfStyle w:val="100000000000" w:firstRow="1" w:lastRow="0" w:firstColumn="0" w:lastColumn="0" w:oddVBand="0" w:evenVBand="0" w:oddHBand="0" w:evenHBand="0" w:firstRowFirstColumn="0" w:firstRowLastColumn="0" w:lastRowFirstColumn="0" w:lastRowLastColumn="0"/>
          <w:trHeight w:val="45"/>
          <w:tblHeader/>
        </w:trPr>
        <w:tc>
          <w:tcPr>
            <w:cnfStyle w:val="001000000000" w:firstRow="0" w:lastRow="0" w:firstColumn="1" w:lastColumn="0" w:oddVBand="0" w:evenVBand="0" w:oddHBand="0" w:evenHBand="0" w:firstRowFirstColumn="0" w:firstRowLastColumn="0" w:lastRowFirstColumn="0" w:lastRowLastColumn="0"/>
            <w:tcW w:w="713" w:type="pct"/>
          </w:tcPr>
          <w:p w14:paraId="0056BBC7" w14:textId="77777777" w:rsidR="008204CA" w:rsidRPr="008204CA" w:rsidRDefault="008204CA" w:rsidP="008204CA">
            <w:pPr>
              <w:spacing w:before="60" w:after="60" w:line="240" w:lineRule="auto"/>
              <w:ind w:left="1080"/>
              <w:rPr>
                <w:rFonts w:ascii="Century Gothic" w:hAnsi="Century Gothic"/>
                <w:iCs w:val="0"/>
                <w:sz w:val="18"/>
                <w:szCs w:val="18"/>
              </w:rPr>
            </w:pPr>
            <w:r w:rsidRPr="008204CA">
              <w:rPr>
                <w:rFonts w:ascii="Century Gothic" w:hAnsi="Century Gothic"/>
                <w:iCs w:val="0"/>
                <w:sz w:val="18"/>
                <w:szCs w:val="18"/>
              </w:rPr>
              <w:t>Class</w:t>
            </w:r>
          </w:p>
        </w:tc>
        <w:tc>
          <w:tcPr>
            <w:tcW w:w="814" w:type="pct"/>
          </w:tcPr>
          <w:p w14:paraId="1A6E754C" w14:textId="77777777" w:rsidR="008204CA" w:rsidRPr="008204CA" w:rsidRDefault="008204CA" w:rsidP="008204CA">
            <w:pPr>
              <w:spacing w:before="60" w:after="60" w:line="240" w:lineRule="auto"/>
              <w:ind w:left="36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1491" w:type="pct"/>
          </w:tcPr>
          <w:p w14:paraId="1A969A56" w14:textId="77777777" w:rsidR="008204CA" w:rsidRPr="008204CA" w:rsidRDefault="008204CA" w:rsidP="008204CA">
            <w:pPr>
              <w:spacing w:before="60" w:after="60" w:line="240" w:lineRule="auto"/>
              <w:ind w:left="36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1981" w:type="pct"/>
          </w:tcPr>
          <w:p w14:paraId="1EABA027" w14:textId="77777777" w:rsidR="008204CA" w:rsidRPr="008204CA" w:rsidRDefault="008204CA" w:rsidP="008204CA">
            <w:pPr>
              <w:spacing w:before="60" w:after="60" w:line="240" w:lineRule="auto"/>
              <w:ind w:left="36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63173C6C" w14:textId="77777777" w:rsidTr="008204CA">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713" w:type="pct"/>
            <w:vMerge w:val="restart"/>
          </w:tcPr>
          <w:p w14:paraId="60409AAA" w14:textId="77777777" w:rsidR="008204CA" w:rsidRPr="008204CA" w:rsidRDefault="008204CA" w:rsidP="008204CA">
            <w:pPr>
              <w:spacing w:before="60" w:after="60" w:line="240" w:lineRule="auto"/>
              <w:rPr>
                <w:rFonts w:ascii="Century Gothic" w:hAnsi="Century Gothic"/>
                <w:iCs w:val="0"/>
                <w:sz w:val="18"/>
                <w:szCs w:val="18"/>
              </w:rPr>
            </w:pPr>
            <w:r w:rsidRPr="008204CA">
              <w:rPr>
                <w:rFonts w:ascii="Century Gothic" w:hAnsi="Century Gothic"/>
                <w:iCs w:val="0"/>
                <w:color w:val="000000"/>
                <w:szCs w:val="20"/>
                <w:lang w:eastAsia="en-AU"/>
              </w:rPr>
              <w:t>Vibration tests</w:t>
            </w:r>
          </w:p>
        </w:tc>
        <w:tc>
          <w:tcPr>
            <w:tcW w:w="814" w:type="pct"/>
            <w:vMerge w:val="restart"/>
          </w:tcPr>
          <w:p w14:paraId="297A5A94"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Swept sine response search survey</w:t>
            </w:r>
          </w:p>
          <w:p w14:paraId="55F1AC0B"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Modal survey</w:t>
            </w:r>
          </w:p>
          <w:p w14:paraId="3361F864"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Sinusoidal vibration</w:t>
            </w:r>
          </w:p>
          <w:p w14:paraId="5082D85D"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Random Motion Vibration</w:t>
            </w:r>
          </w:p>
        </w:tc>
        <w:tc>
          <w:tcPr>
            <w:tcW w:w="1491" w:type="pct"/>
          </w:tcPr>
          <w:p w14:paraId="46B33EE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Compliance Engineering, Keysborough VIC</w:t>
            </w:r>
          </w:p>
        </w:tc>
        <w:tc>
          <w:tcPr>
            <w:tcW w:w="1981" w:type="pct"/>
          </w:tcPr>
          <w:p w14:paraId="6581ED7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447F4F6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10kN with slip table</w:t>
            </w:r>
          </w:p>
        </w:tc>
      </w:tr>
      <w:tr w:rsidR="008204CA" w:rsidRPr="008204CA" w14:paraId="4505E8FA" w14:textId="77777777" w:rsidTr="008204CA">
        <w:trPr>
          <w:trHeight w:val="45"/>
        </w:trPr>
        <w:tc>
          <w:tcPr>
            <w:cnfStyle w:val="001000000000" w:firstRow="0" w:lastRow="0" w:firstColumn="1" w:lastColumn="0" w:oddVBand="0" w:evenVBand="0" w:oddHBand="0" w:evenHBand="0" w:firstRowFirstColumn="0" w:firstRowLastColumn="0" w:lastRowFirstColumn="0" w:lastRowLastColumn="0"/>
            <w:tcW w:w="713" w:type="pct"/>
            <w:vMerge/>
          </w:tcPr>
          <w:p w14:paraId="0D75F90B" w14:textId="77777777" w:rsidR="008204CA" w:rsidRPr="008204CA" w:rsidRDefault="008204CA" w:rsidP="008204CA">
            <w:pPr>
              <w:spacing w:before="60" w:after="60" w:line="240" w:lineRule="auto"/>
              <w:rPr>
                <w:rFonts w:ascii="Century Gothic" w:hAnsi="Century Gothic"/>
                <w:iCs w:val="0"/>
                <w:sz w:val="18"/>
                <w:szCs w:val="18"/>
              </w:rPr>
            </w:pPr>
          </w:p>
        </w:tc>
        <w:tc>
          <w:tcPr>
            <w:tcW w:w="814" w:type="pct"/>
            <w:vMerge/>
          </w:tcPr>
          <w:p w14:paraId="01DFCD80" w14:textId="77777777" w:rsidR="008204CA" w:rsidRPr="008204CA" w:rsidRDefault="008204CA" w:rsidP="00405923">
            <w:pPr>
              <w:numPr>
                <w:ilvl w:val="0"/>
                <w:numId w:val="24"/>
              </w:num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91" w:type="pct"/>
          </w:tcPr>
          <w:p w14:paraId="01DB6B5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Curtin University, Bentley WA</w:t>
            </w:r>
          </w:p>
        </w:tc>
        <w:tc>
          <w:tcPr>
            <w:tcW w:w="1981" w:type="pct"/>
          </w:tcPr>
          <w:p w14:paraId="59B09E4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laboratory; space hardware developer</w:t>
            </w:r>
          </w:p>
          <w:p w14:paraId="67B5D05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22EF89DD" w14:textId="77777777" w:rsidTr="008204CA">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713" w:type="pct"/>
            <w:vMerge/>
          </w:tcPr>
          <w:p w14:paraId="0EC79D15" w14:textId="77777777" w:rsidR="008204CA" w:rsidRPr="008204CA" w:rsidRDefault="008204CA" w:rsidP="008204CA">
            <w:pPr>
              <w:spacing w:before="60" w:after="60" w:line="240" w:lineRule="auto"/>
              <w:rPr>
                <w:rFonts w:ascii="Century Gothic" w:hAnsi="Century Gothic"/>
                <w:iCs w:val="0"/>
                <w:sz w:val="18"/>
                <w:szCs w:val="18"/>
              </w:rPr>
            </w:pPr>
          </w:p>
        </w:tc>
        <w:tc>
          <w:tcPr>
            <w:tcW w:w="814" w:type="pct"/>
            <w:vMerge/>
          </w:tcPr>
          <w:p w14:paraId="1AE1F570"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91" w:type="pct"/>
          </w:tcPr>
          <w:p w14:paraId="6991961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DSTG, Edinburgh SA</w:t>
            </w:r>
          </w:p>
        </w:tc>
        <w:tc>
          <w:tcPr>
            <w:tcW w:w="1981" w:type="pct"/>
          </w:tcPr>
          <w:p w14:paraId="1138BAD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 payloads</w:t>
            </w:r>
          </w:p>
          <w:p w14:paraId="4865927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2.9kN shaker with basic instrumentation</w:t>
            </w:r>
          </w:p>
          <w:p w14:paraId="7BAFD0F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Slip table details not provided in response</w:t>
            </w:r>
          </w:p>
        </w:tc>
      </w:tr>
      <w:tr w:rsidR="008204CA" w:rsidRPr="008204CA" w14:paraId="17D9461C" w14:textId="77777777" w:rsidTr="008204CA">
        <w:trPr>
          <w:trHeight w:val="792"/>
        </w:trPr>
        <w:tc>
          <w:tcPr>
            <w:cnfStyle w:val="001000000000" w:firstRow="0" w:lastRow="0" w:firstColumn="1" w:lastColumn="0" w:oddVBand="0" w:evenVBand="0" w:oddHBand="0" w:evenHBand="0" w:firstRowFirstColumn="0" w:firstRowLastColumn="0" w:lastRowFirstColumn="0" w:lastRowLastColumn="0"/>
            <w:tcW w:w="713" w:type="pct"/>
            <w:vMerge/>
          </w:tcPr>
          <w:p w14:paraId="5A88B4BB" w14:textId="77777777" w:rsidR="008204CA" w:rsidRPr="008204CA" w:rsidRDefault="008204CA" w:rsidP="008204CA">
            <w:pPr>
              <w:spacing w:before="60" w:after="60" w:line="240" w:lineRule="auto"/>
              <w:rPr>
                <w:rFonts w:ascii="Century Gothic" w:hAnsi="Century Gothic"/>
                <w:iCs w:val="0"/>
                <w:sz w:val="18"/>
                <w:szCs w:val="18"/>
              </w:rPr>
            </w:pPr>
          </w:p>
        </w:tc>
        <w:tc>
          <w:tcPr>
            <w:tcW w:w="814" w:type="pct"/>
            <w:vMerge/>
          </w:tcPr>
          <w:p w14:paraId="498A54C8" w14:textId="77777777" w:rsidR="008204CA" w:rsidRPr="008204CA" w:rsidRDefault="008204CA" w:rsidP="00405923">
            <w:pPr>
              <w:numPr>
                <w:ilvl w:val="0"/>
                <w:numId w:val="24"/>
              </w:num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91" w:type="pct"/>
          </w:tcPr>
          <w:p w14:paraId="5AE3573E" w14:textId="77777777" w:rsidR="008204CA" w:rsidRPr="008204CA" w:rsidRDefault="008204CA" w:rsidP="00405923">
            <w:pPr>
              <w:numPr>
                <w:ilvl w:val="0"/>
                <w:numId w:val="21"/>
              </w:numPr>
              <w:spacing w:before="60" w:after="60" w:line="200" w:lineRule="atLeast"/>
              <w:ind w:left="319"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 Port Wakefield SA</w:t>
            </w:r>
          </w:p>
        </w:tc>
        <w:tc>
          <w:tcPr>
            <w:tcW w:w="1981" w:type="pct"/>
          </w:tcPr>
          <w:p w14:paraId="5E96D68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Known to have extensive facilities</w:t>
            </w:r>
          </w:p>
          <w:p w14:paraId="5BB05C7E" w14:textId="77777777" w:rsidR="008204CA" w:rsidRPr="008204CA" w:rsidRDefault="008204CA" w:rsidP="00405923">
            <w:pPr>
              <w:numPr>
                <w:ilvl w:val="0"/>
                <w:numId w:val="21"/>
              </w:numPr>
              <w:spacing w:before="60" w:after="60" w:line="200" w:lineRule="atLeast"/>
              <w:ind w:left="319"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r w:rsidR="008204CA" w:rsidRPr="008204CA" w14:paraId="1B68ABDC" w14:textId="77777777" w:rsidTr="008204C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713" w:type="pct"/>
            <w:vMerge/>
          </w:tcPr>
          <w:p w14:paraId="05636F13" w14:textId="77777777" w:rsidR="008204CA" w:rsidRPr="008204CA" w:rsidRDefault="008204CA" w:rsidP="008204CA">
            <w:pPr>
              <w:spacing w:before="60" w:after="60" w:line="240" w:lineRule="auto"/>
              <w:rPr>
                <w:rFonts w:ascii="Century Gothic" w:hAnsi="Century Gothic"/>
                <w:iCs w:val="0"/>
                <w:sz w:val="18"/>
                <w:szCs w:val="18"/>
              </w:rPr>
            </w:pPr>
          </w:p>
        </w:tc>
        <w:tc>
          <w:tcPr>
            <w:tcW w:w="814" w:type="pct"/>
            <w:vMerge/>
          </w:tcPr>
          <w:p w14:paraId="52A8E9A4"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91" w:type="pct"/>
          </w:tcPr>
          <w:p w14:paraId="35182C3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Flight Data Systems, Keilor Park VIC</w:t>
            </w:r>
          </w:p>
        </w:tc>
        <w:tc>
          <w:tcPr>
            <w:tcW w:w="1981" w:type="pct"/>
          </w:tcPr>
          <w:p w14:paraId="7B64380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Military/Civil aircraft equipment supplier with in-house test capability</w:t>
            </w:r>
          </w:p>
          <w:p w14:paraId="4EC74C4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29.6 kN with slip table</w:t>
            </w:r>
          </w:p>
          <w:p w14:paraId="4EC5F58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 environment</w:t>
            </w:r>
          </w:p>
        </w:tc>
      </w:tr>
      <w:tr w:rsidR="008204CA" w:rsidRPr="008204CA" w14:paraId="6195B0C2" w14:textId="77777777" w:rsidTr="008204CA">
        <w:trPr>
          <w:trHeight w:val="451"/>
        </w:trPr>
        <w:tc>
          <w:tcPr>
            <w:cnfStyle w:val="001000000000" w:firstRow="0" w:lastRow="0" w:firstColumn="1" w:lastColumn="0" w:oddVBand="0" w:evenVBand="0" w:oddHBand="0" w:evenHBand="0" w:firstRowFirstColumn="0" w:firstRowLastColumn="0" w:lastRowFirstColumn="0" w:lastRowLastColumn="0"/>
            <w:tcW w:w="713" w:type="pct"/>
            <w:vMerge/>
          </w:tcPr>
          <w:p w14:paraId="1995E7C6" w14:textId="77777777" w:rsidR="008204CA" w:rsidRPr="008204CA" w:rsidRDefault="008204CA" w:rsidP="008204CA">
            <w:pPr>
              <w:spacing w:before="60" w:after="60" w:line="240" w:lineRule="auto"/>
              <w:rPr>
                <w:rFonts w:ascii="Century Gothic" w:hAnsi="Century Gothic"/>
                <w:iCs w:val="0"/>
                <w:sz w:val="18"/>
                <w:szCs w:val="18"/>
              </w:rPr>
            </w:pPr>
          </w:p>
        </w:tc>
        <w:tc>
          <w:tcPr>
            <w:tcW w:w="814" w:type="pct"/>
            <w:vMerge/>
          </w:tcPr>
          <w:p w14:paraId="26E94A08" w14:textId="77777777" w:rsidR="008204CA" w:rsidRPr="008204CA" w:rsidRDefault="008204CA" w:rsidP="00405923">
            <w:pPr>
              <w:numPr>
                <w:ilvl w:val="0"/>
                <w:numId w:val="24"/>
              </w:num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91" w:type="pct"/>
          </w:tcPr>
          <w:p w14:paraId="5EC9EA1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 of Adelaide, AVT</w:t>
            </w:r>
          </w:p>
        </w:tc>
        <w:tc>
          <w:tcPr>
            <w:tcW w:w="1981" w:type="pct"/>
          </w:tcPr>
          <w:p w14:paraId="0326AF1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Research laboratory; space hardware developer </w:t>
            </w:r>
          </w:p>
          <w:p w14:paraId="7E175E9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4C05255E" w14:textId="77777777" w:rsidTr="008204C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713" w:type="pct"/>
            <w:vMerge/>
          </w:tcPr>
          <w:p w14:paraId="46AAFFD5" w14:textId="77777777" w:rsidR="008204CA" w:rsidRPr="008204CA" w:rsidRDefault="008204CA" w:rsidP="008204CA">
            <w:pPr>
              <w:spacing w:before="60" w:after="60" w:line="240" w:lineRule="auto"/>
              <w:rPr>
                <w:rFonts w:ascii="Century Gothic" w:hAnsi="Century Gothic"/>
                <w:iCs w:val="0"/>
                <w:szCs w:val="22"/>
              </w:rPr>
            </w:pPr>
          </w:p>
        </w:tc>
        <w:tc>
          <w:tcPr>
            <w:tcW w:w="814" w:type="pct"/>
            <w:vMerge/>
          </w:tcPr>
          <w:p w14:paraId="292563CD" w14:textId="77777777" w:rsidR="008204CA" w:rsidRPr="008204CA" w:rsidRDefault="008204CA" w:rsidP="00405923">
            <w:pPr>
              <w:numPr>
                <w:ilvl w:val="0"/>
                <w:numId w:val="24"/>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Cs w:val="22"/>
              </w:rPr>
            </w:pPr>
          </w:p>
        </w:tc>
        <w:tc>
          <w:tcPr>
            <w:tcW w:w="1491" w:type="pct"/>
          </w:tcPr>
          <w:p w14:paraId="1A7265A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Flight Data Systems, Keilor Park VIC</w:t>
            </w:r>
          </w:p>
        </w:tc>
        <w:tc>
          <w:tcPr>
            <w:tcW w:w="1981" w:type="pct"/>
          </w:tcPr>
          <w:p w14:paraId="31B2514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Military/Civil aircraft equipment supplier with in-house test capability</w:t>
            </w:r>
          </w:p>
          <w:p w14:paraId="20E588B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29.6 kN with slip table</w:t>
            </w:r>
          </w:p>
          <w:p w14:paraId="20BB49A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 environment</w:t>
            </w:r>
          </w:p>
        </w:tc>
      </w:tr>
      <w:tr w:rsidR="008204CA" w:rsidRPr="008204CA" w14:paraId="45475DEE" w14:textId="77777777" w:rsidTr="008204CA">
        <w:trPr>
          <w:trHeight w:val="307"/>
        </w:trPr>
        <w:tc>
          <w:tcPr>
            <w:cnfStyle w:val="001000000000" w:firstRow="0" w:lastRow="0" w:firstColumn="1" w:lastColumn="0" w:oddVBand="0" w:evenVBand="0" w:oddHBand="0" w:evenHBand="0" w:firstRowFirstColumn="0" w:firstRowLastColumn="0" w:lastRowFirstColumn="0" w:lastRowLastColumn="0"/>
            <w:tcW w:w="713" w:type="pct"/>
            <w:vMerge/>
          </w:tcPr>
          <w:p w14:paraId="7C776C99" w14:textId="77777777" w:rsidR="008204CA" w:rsidRPr="008204CA" w:rsidRDefault="008204CA" w:rsidP="00405923">
            <w:pPr>
              <w:numPr>
                <w:ilvl w:val="1"/>
                <w:numId w:val="22"/>
              </w:numPr>
              <w:spacing w:before="60" w:after="60" w:line="200" w:lineRule="atLeast"/>
              <w:ind w:left="608"/>
              <w:rPr>
                <w:rFonts w:ascii="Century Gothic" w:hAnsi="Century Gothic"/>
                <w:iCs w:val="0"/>
                <w:szCs w:val="22"/>
              </w:rPr>
            </w:pPr>
          </w:p>
        </w:tc>
        <w:tc>
          <w:tcPr>
            <w:tcW w:w="814" w:type="pct"/>
            <w:vMerge/>
          </w:tcPr>
          <w:p w14:paraId="0C8E278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Cs w:val="22"/>
              </w:rPr>
            </w:pPr>
          </w:p>
        </w:tc>
        <w:tc>
          <w:tcPr>
            <w:tcW w:w="1491" w:type="pct"/>
          </w:tcPr>
          <w:p w14:paraId="448F99A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NSW Sydney ACSER, Sydney NSW</w:t>
            </w:r>
          </w:p>
        </w:tc>
        <w:tc>
          <w:tcPr>
            <w:tcW w:w="1981" w:type="pct"/>
          </w:tcPr>
          <w:p w14:paraId="540637D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laboratory; space hardware developer</w:t>
            </w:r>
          </w:p>
          <w:p w14:paraId="0D99185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shaker facility planned</w:t>
            </w:r>
          </w:p>
        </w:tc>
      </w:tr>
      <w:tr w:rsidR="008204CA" w:rsidRPr="008204CA" w14:paraId="638289E4" w14:textId="77777777" w:rsidTr="008204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713" w:type="pct"/>
            <w:vMerge/>
          </w:tcPr>
          <w:p w14:paraId="5DEB4043" w14:textId="77777777" w:rsidR="008204CA" w:rsidRPr="008204CA" w:rsidRDefault="008204CA" w:rsidP="00405923">
            <w:pPr>
              <w:numPr>
                <w:ilvl w:val="1"/>
                <w:numId w:val="22"/>
              </w:numPr>
              <w:spacing w:before="60" w:after="60" w:line="200" w:lineRule="atLeast"/>
              <w:ind w:left="608"/>
              <w:rPr>
                <w:rFonts w:ascii="Century Gothic" w:hAnsi="Century Gothic"/>
                <w:iCs w:val="0"/>
                <w:szCs w:val="22"/>
              </w:rPr>
            </w:pPr>
          </w:p>
        </w:tc>
        <w:tc>
          <w:tcPr>
            <w:tcW w:w="814" w:type="pct"/>
            <w:vMerge/>
          </w:tcPr>
          <w:p w14:paraId="250D2B2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Cs w:val="22"/>
              </w:rPr>
            </w:pPr>
          </w:p>
        </w:tc>
        <w:tc>
          <w:tcPr>
            <w:tcW w:w="1491" w:type="pct"/>
          </w:tcPr>
          <w:p w14:paraId="053D1E5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Technology Sydney, Ultimo NSW</w:t>
            </w:r>
          </w:p>
        </w:tc>
        <w:tc>
          <w:tcPr>
            <w:tcW w:w="1981" w:type="pct"/>
          </w:tcPr>
          <w:p w14:paraId="14C262D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laboratory</w:t>
            </w:r>
          </w:p>
          <w:p w14:paraId="0056035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Several shakers identified</w:t>
            </w:r>
          </w:p>
          <w:p w14:paraId="7ECB979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689B9D6F" w14:textId="77777777" w:rsidTr="008204CA">
        <w:trPr>
          <w:trHeight w:val="92"/>
        </w:trPr>
        <w:tc>
          <w:tcPr>
            <w:cnfStyle w:val="001000000000" w:firstRow="0" w:lastRow="0" w:firstColumn="1" w:lastColumn="0" w:oddVBand="0" w:evenVBand="0" w:oddHBand="0" w:evenHBand="0" w:firstRowFirstColumn="0" w:firstRowLastColumn="0" w:lastRowFirstColumn="0" w:lastRowLastColumn="0"/>
            <w:tcW w:w="713" w:type="pct"/>
            <w:vMerge/>
          </w:tcPr>
          <w:p w14:paraId="21F0CD91" w14:textId="77777777" w:rsidR="008204CA" w:rsidRPr="008204CA" w:rsidRDefault="008204CA" w:rsidP="00405923">
            <w:pPr>
              <w:numPr>
                <w:ilvl w:val="1"/>
                <w:numId w:val="22"/>
              </w:numPr>
              <w:spacing w:before="60" w:after="60" w:line="200" w:lineRule="atLeast"/>
              <w:ind w:left="608"/>
              <w:rPr>
                <w:rFonts w:ascii="Century Gothic" w:hAnsi="Century Gothic"/>
                <w:iCs w:val="0"/>
                <w:szCs w:val="22"/>
              </w:rPr>
            </w:pPr>
          </w:p>
        </w:tc>
        <w:tc>
          <w:tcPr>
            <w:tcW w:w="814" w:type="pct"/>
            <w:vMerge/>
          </w:tcPr>
          <w:p w14:paraId="2E0AF01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Cs w:val="22"/>
              </w:rPr>
            </w:pPr>
          </w:p>
        </w:tc>
        <w:tc>
          <w:tcPr>
            <w:tcW w:w="1491" w:type="pct"/>
          </w:tcPr>
          <w:p w14:paraId="74A8A57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Port Melbourne VIC</w:t>
            </w:r>
          </w:p>
        </w:tc>
        <w:tc>
          <w:tcPr>
            <w:tcW w:w="1981" w:type="pct"/>
          </w:tcPr>
          <w:p w14:paraId="04E00E7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 catering to industry and defence</w:t>
            </w:r>
          </w:p>
          <w:p w14:paraId="22987F7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New 60kN with slip table</w:t>
            </w:r>
          </w:p>
          <w:p w14:paraId="4F5FD37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Old 22kN shaker with slip table</w:t>
            </w:r>
          </w:p>
          <w:p w14:paraId="2A3FB1F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093AA9B0" w14:textId="77777777" w:rsidTr="008204CA">
        <w:trPr>
          <w:cnfStyle w:val="000000100000" w:firstRow="0" w:lastRow="0" w:firstColumn="0" w:lastColumn="0" w:oddVBand="0" w:evenVBand="0" w:oddHBand="1"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713" w:type="pct"/>
            <w:vMerge/>
          </w:tcPr>
          <w:p w14:paraId="34F38E75" w14:textId="77777777" w:rsidR="008204CA" w:rsidRPr="008204CA" w:rsidRDefault="008204CA" w:rsidP="00405923">
            <w:pPr>
              <w:numPr>
                <w:ilvl w:val="1"/>
                <w:numId w:val="22"/>
              </w:numPr>
              <w:spacing w:before="60" w:after="60" w:line="200" w:lineRule="atLeast"/>
              <w:ind w:left="608"/>
              <w:rPr>
                <w:rFonts w:ascii="Century Gothic" w:hAnsi="Century Gothic"/>
                <w:iCs w:val="0"/>
                <w:szCs w:val="22"/>
              </w:rPr>
            </w:pPr>
          </w:p>
        </w:tc>
        <w:tc>
          <w:tcPr>
            <w:tcW w:w="814" w:type="pct"/>
            <w:vMerge/>
          </w:tcPr>
          <w:p w14:paraId="7EACDDE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Cs w:val="22"/>
              </w:rPr>
            </w:pPr>
          </w:p>
        </w:tc>
        <w:tc>
          <w:tcPr>
            <w:tcW w:w="1491" w:type="pct"/>
          </w:tcPr>
          <w:p w14:paraId="48C9674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Chester Hill NSW</w:t>
            </w:r>
          </w:p>
        </w:tc>
        <w:tc>
          <w:tcPr>
            <w:tcW w:w="1981" w:type="pct"/>
          </w:tcPr>
          <w:p w14:paraId="718C7EA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 catering to industry and defence</w:t>
            </w:r>
          </w:p>
          <w:p w14:paraId="35E31D9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10kN shaker with slip table</w:t>
            </w:r>
          </w:p>
          <w:p w14:paraId="64F3E72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26kN shaker with slip table</w:t>
            </w:r>
          </w:p>
          <w:p w14:paraId="7BF88CB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bl>
    <w:p w14:paraId="2A8C85C1"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p w14:paraId="6BF3F528"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838"/>
        <w:gridCol w:w="2125"/>
        <w:gridCol w:w="3971"/>
        <w:gridCol w:w="5102"/>
      </w:tblGrid>
      <w:tr w:rsidR="008204CA" w:rsidRPr="008204CA" w14:paraId="1432960A"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0910FAA4"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t>Class</w:t>
            </w:r>
          </w:p>
        </w:tc>
        <w:tc>
          <w:tcPr>
            <w:tcW w:w="0" w:type="pct"/>
          </w:tcPr>
          <w:p w14:paraId="6B6C29D6"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2F8DE2CA"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71423686"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730F06C7" w14:textId="77777777" w:rsidTr="008204CA">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05" w:type="pct"/>
            <w:vMerge w:val="restart"/>
          </w:tcPr>
          <w:p w14:paraId="73B2ABB6" w14:textId="77777777" w:rsidR="008204CA" w:rsidRPr="008204CA" w:rsidRDefault="008204CA" w:rsidP="008204CA">
            <w:pPr>
              <w:tabs>
                <w:tab w:val="left" w:pos="346"/>
              </w:tabs>
              <w:spacing w:before="60" w:after="60" w:line="240" w:lineRule="auto"/>
              <w:rPr>
                <w:rFonts w:ascii="Century Gothic" w:hAnsi="Century Gothic"/>
                <w:iCs w:val="0"/>
                <w:color w:val="000000"/>
                <w:szCs w:val="20"/>
              </w:rPr>
            </w:pPr>
            <w:r w:rsidRPr="008204CA">
              <w:rPr>
                <w:rFonts w:ascii="Century Gothic" w:hAnsi="Century Gothic"/>
                <w:iCs w:val="0"/>
                <w:color w:val="000000"/>
                <w:szCs w:val="20"/>
              </w:rPr>
              <w:t>Shock Tests - Mechanical</w:t>
            </w:r>
          </w:p>
        </w:tc>
        <w:tc>
          <w:tcPr>
            <w:tcW w:w="815" w:type="pct"/>
            <w:vMerge w:val="restart"/>
          </w:tcPr>
          <w:p w14:paraId="28725A2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Mechanical Shock</w:t>
            </w:r>
          </w:p>
          <w:p w14:paraId="45F97FE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environment loads</w:t>
            </w:r>
          </w:p>
          <w:p w14:paraId="0FABC24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Generally, not required for secondary payloads, but some LSPs do require it (e.g. Antrix PSLV)</w:t>
            </w:r>
          </w:p>
          <w:p w14:paraId="4B496BC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machines available for MIL-STD “bump” testing (low energy, large displacement)</w:t>
            </w:r>
          </w:p>
          <w:p w14:paraId="5AB84B1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Shakers may also be used, depending on test level and test item mass</w:t>
            </w:r>
          </w:p>
        </w:tc>
        <w:tc>
          <w:tcPr>
            <w:tcW w:w="1523" w:type="pct"/>
          </w:tcPr>
          <w:p w14:paraId="6B24B79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APC Technology, Cheltenham, SA</w:t>
            </w:r>
          </w:p>
        </w:tc>
        <w:tc>
          <w:tcPr>
            <w:tcW w:w="1957" w:type="pct"/>
          </w:tcPr>
          <w:p w14:paraId="7AA43C0D"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Hardware developer with facilities for in-house testing not generally available to external users</w:t>
            </w:r>
          </w:p>
          <w:p w14:paraId="09A0A60D"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r w:rsidR="008204CA" w:rsidRPr="008204CA" w14:paraId="5A8D2645" w14:textId="77777777" w:rsidTr="008204CA">
        <w:trPr>
          <w:trHeight w:val="62"/>
        </w:trPr>
        <w:tc>
          <w:tcPr>
            <w:cnfStyle w:val="001000000000" w:firstRow="0" w:lastRow="0" w:firstColumn="1" w:lastColumn="0" w:oddVBand="0" w:evenVBand="0" w:oddHBand="0" w:evenHBand="0" w:firstRowFirstColumn="0" w:firstRowLastColumn="0" w:lastRowFirstColumn="0" w:lastRowLastColumn="0"/>
            <w:tcW w:w="705" w:type="pct"/>
            <w:vMerge/>
          </w:tcPr>
          <w:p w14:paraId="2283FA21"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3C1F84F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3" w:type="pct"/>
          </w:tcPr>
          <w:p w14:paraId="203C4AA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APV-T Test Centre, Campbellfield VIC</w:t>
            </w:r>
          </w:p>
        </w:tc>
        <w:tc>
          <w:tcPr>
            <w:tcW w:w="1957" w:type="pct"/>
          </w:tcPr>
          <w:p w14:paraId="4407A8A0"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crash test lab</w:t>
            </w:r>
          </w:p>
          <w:p w14:paraId="74DCED6B"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r w:rsidR="008204CA" w:rsidRPr="008204CA" w14:paraId="51EF5231" w14:textId="77777777" w:rsidTr="008204CA">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705" w:type="pct"/>
            <w:vMerge/>
          </w:tcPr>
          <w:p w14:paraId="7401FD67"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0B635E8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3" w:type="pct"/>
          </w:tcPr>
          <w:p w14:paraId="7E2EB35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1957" w:type="pct"/>
            <w:vMerge w:val="restart"/>
          </w:tcPr>
          <w:p w14:paraId="60A3F1D1"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0C80C2A9"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equipment across three sites</w:t>
            </w:r>
          </w:p>
          <w:p w14:paraId="42B877CE"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1150kg capacity, &lt;600g</w:t>
            </w:r>
          </w:p>
          <w:p w14:paraId="39D8EC55" w14:textId="77777777" w:rsidR="008204CA" w:rsidRPr="008204CA" w:rsidRDefault="008204CA" w:rsidP="00405923">
            <w:pPr>
              <w:numPr>
                <w:ilvl w:val="0"/>
                <w:numId w:val="21"/>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100kg, &lt;30000g</w:t>
            </w:r>
          </w:p>
        </w:tc>
      </w:tr>
      <w:tr w:rsidR="008204CA" w:rsidRPr="008204CA" w14:paraId="6EEED500" w14:textId="77777777" w:rsidTr="008204CA">
        <w:trPr>
          <w:trHeight w:val="62"/>
        </w:trPr>
        <w:tc>
          <w:tcPr>
            <w:cnfStyle w:val="001000000000" w:firstRow="0" w:lastRow="0" w:firstColumn="1" w:lastColumn="0" w:oddVBand="0" w:evenVBand="0" w:oddHBand="0" w:evenHBand="0" w:firstRowFirstColumn="0" w:firstRowLastColumn="0" w:lastRowFirstColumn="0" w:lastRowLastColumn="0"/>
            <w:tcW w:w="705" w:type="pct"/>
            <w:vMerge/>
          </w:tcPr>
          <w:p w14:paraId="65310F6B"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2629721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3" w:type="pct"/>
          </w:tcPr>
          <w:p w14:paraId="1F0B67C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1957" w:type="pct"/>
            <w:vMerge/>
          </w:tcPr>
          <w:p w14:paraId="1398FB56"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3CC211AB" w14:textId="77777777" w:rsidTr="008204CA">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705" w:type="pct"/>
            <w:vMerge/>
          </w:tcPr>
          <w:p w14:paraId="5B6E5B22"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33AB043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3" w:type="pct"/>
          </w:tcPr>
          <w:p w14:paraId="42CC814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Para Hills West, SA</w:t>
            </w:r>
          </w:p>
        </w:tc>
        <w:tc>
          <w:tcPr>
            <w:tcW w:w="1957" w:type="pct"/>
            <w:vMerge/>
          </w:tcPr>
          <w:p w14:paraId="3A8934F9"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65B2CD02" w14:textId="77777777" w:rsidTr="008204CA">
        <w:trPr>
          <w:trHeight w:val="62"/>
        </w:trPr>
        <w:tc>
          <w:tcPr>
            <w:cnfStyle w:val="001000000000" w:firstRow="0" w:lastRow="0" w:firstColumn="1" w:lastColumn="0" w:oddVBand="0" w:evenVBand="0" w:oddHBand="0" w:evenHBand="0" w:firstRowFirstColumn="0" w:firstRowLastColumn="0" w:lastRowFirstColumn="0" w:lastRowLastColumn="0"/>
            <w:tcW w:w="705" w:type="pct"/>
            <w:vMerge/>
          </w:tcPr>
          <w:p w14:paraId="7C2CA575"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57D47FA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3" w:type="pct"/>
          </w:tcPr>
          <w:p w14:paraId="0E30FC5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1957" w:type="pct"/>
          </w:tcPr>
          <w:p w14:paraId="084E2A18"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39B197F0"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25kg bump test machine </w:t>
            </w:r>
          </w:p>
          <w:p w14:paraId="6D1E9505"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p w14:paraId="4947E1EB"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currently non-operational</w:t>
            </w:r>
          </w:p>
        </w:tc>
      </w:tr>
      <w:tr w:rsidR="008204CA" w:rsidRPr="008204CA" w14:paraId="2BA4567F" w14:textId="77777777" w:rsidTr="00820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vMerge/>
          </w:tcPr>
          <w:p w14:paraId="176FC15C"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815" w:type="pct"/>
            <w:vMerge/>
          </w:tcPr>
          <w:p w14:paraId="3559B50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523" w:type="pct"/>
          </w:tcPr>
          <w:p w14:paraId="4D826F6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City QLD</w:t>
            </w:r>
          </w:p>
        </w:tc>
        <w:tc>
          <w:tcPr>
            <w:tcW w:w="1957" w:type="pct"/>
          </w:tcPr>
          <w:p w14:paraId="1FF8ECE2"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 – available to external customers</w:t>
            </w:r>
          </w:p>
        </w:tc>
      </w:tr>
      <w:tr w:rsidR="008204CA" w:rsidRPr="008204CA" w14:paraId="7DF73CCA" w14:textId="77777777" w:rsidTr="008204CA">
        <w:trPr>
          <w:trHeight w:val="563"/>
        </w:trPr>
        <w:tc>
          <w:tcPr>
            <w:cnfStyle w:val="001000000000" w:firstRow="0" w:lastRow="0" w:firstColumn="1" w:lastColumn="0" w:oddVBand="0" w:evenVBand="0" w:oddHBand="0" w:evenHBand="0" w:firstRowFirstColumn="0" w:firstRowLastColumn="0" w:lastRowFirstColumn="0" w:lastRowLastColumn="0"/>
            <w:tcW w:w="705" w:type="pct"/>
            <w:vMerge/>
          </w:tcPr>
          <w:p w14:paraId="5A97090C"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815" w:type="pct"/>
            <w:vMerge/>
          </w:tcPr>
          <w:p w14:paraId="6F42F31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523" w:type="pct"/>
          </w:tcPr>
          <w:p w14:paraId="7673A79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Port Melbourne VIC</w:t>
            </w:r>
          </w:p>
        </w:tc>
        <w:tc>
          <w:tcPr>
            <w:tcW w:w="1957" w:type="pct"/>
          </w:tcPr>
          <w:p w14:paraId="4DF24D83"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 catering to industry and defence</w:t>
            </w:r>
          </w:p>
          <w:p w14:paraId="639470D5"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Facilities spread across sites</w:t>
            </w:r>
          </w:p>
          <w:p w14:paraId="50B977D7"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20,000g, 0.2 to 43ms half sine, &lt;50kg, 300mm table</w:t>
            </w:r>
          </w:p>
          <w:p w14:paraId="7637527C"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2,000g, 1 to 20ms half sine, &lt;120kg, 500mm table</w:t>
            </w:r>
          </w:p>
          <w:p w14:paraId="43646804"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350g, 1 to 30ms half sine, &lt;900kg, 1000mm table</w:t>
            </w:r>
          </w:p>
        </w:tc>
      </w:tr>
    </w:tbl>
    <w:p w14:paraId="10E3FB56"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p w14:paraId="152DBFBA"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702"/>
        <w:gridCol w:w="2404"/>
        <w:gridCol w:w="3671"/>
        <w:gridCol w:w="5259"/>
      </w:tblGrid>
      <w:tr w:rsidR="008204CA" w:rsidRPr="008204CA" w14:paraId="110A37D6" w14:textId="77777777" w:rsidTr="008204CA">
        <w:trPr>
          <w:cnfStyle w:val="100000000000" w:firstRow="1" w:lastRow="0" w:firstColumn="0" w:lastColumn="0" w:oddVBand="0" w:evenVBand="0" w:oddHBand="0" w:evenHBand="0" w:firstRowFirstColumn="0" w:firstRowLastColumn="0" w:lastRowFirstColumn="0" w:lastRowLastColumn="0"/>
          <w:trHeight w:val="563"/>
          <w:tblHeader/>
        </w:trPr>
        <w:tc>
          <w:tcPr>
            <w:cnfStyle w:val="001000000000" w:firstRow="0" w:lastRow="0" w:firstColumn="1" w:lastColumn="0" w:oddVBand="0" w:evenVBand="0" w:oddHBand="0" w:evenHBand="0" w:firstRowFirstColumn="0" w:firstRowLastColumn="0" w:lastRowFirstColumn="0" w:lastRowLastColumn="0"/>
            <w:tcW w:w="0" w:type="pct"/>
          </w:tcPr>
          <w:p w14:paraId="1720FFDD" w14:textId="77777777" w:rsidR="008204CA" w:rsidRPr="008204CA" w:rsidRDefault="008204CA" w:rsidP="008204CA">
            <w:pPr>
              <w:spacing w:before="60" w:after="60" w:line="240" w:lineRule="auto"/>
              <w:jc w:val="center"/>
              <w:rPr>
                <w:rFonts w:ascii="Century Gothic" w:hAnsi="Century Gothic"/>
                <w:iCs w:val="0"/>
                <w:sz w:val="18"/>
                <w:szCs w:val="18"/>
              </w:rPr>
            </w:pPr>
            <w:r w:rsidRPr="008204CA">
              <w:rPr>
                <w:rFonts w:ascii="Century Gothic" w:hAnsi="Century Gothic"/>
                <w:iCs w:val="0"/>
                <w:sz w:val="18"/>
                <w:szCs w:val="18"/>
              </w:rPr>
              <w:t>Class</w:t>
            </w:r>
          </w:p>
        </w:tc>
        <w:tc>
          <w:tcPr>
            <w:tcW w:w="0" w:type="pct"/>
          </w:tcPr>
          <w:p w14:paraId="68048B16" w14:textId="77777777" w:rsidR="008204CA" w:rsidRPr="008204CA" w:rsidRDefault="008204CA" w:rsidP="008204C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1158C7FA" w14:textId="77777777" w:rsidR="008204CA" w:rsidRPr="008204CA" w:rsidRDefault="008204CA" w:rsidP="008204CA">
            <w:pPr>
              <w:spacing w:before="60" w:after="60" w:line="240" w:lineRule="auto"/>
              <w:ind w:left="36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15FC7466" w14:textId="77777777" w:rsidR="008204CA" w:rsidRPr="008204CA" w:rsidRDefault="008204CA" w:rsidP="008204C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3169DE7F" w14:textId="77777777" w:rsidTr="008204C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53" w:type="pct"/>
          </w:tcPr>
          <w:p w14:paraId="500CCADB" w14:textId="77777777" w:rsidR="008204CA" w:rsidRPr="008204CA" w:rsidRDefault="008204CA" w:rsidP="008204CA">
            <w:pPr>
              <w:spacing w:before="60" w:after="60" w:line="240" w:lineRule="auto"/>
              <w:rPr>
                <w:rFonts w:ascii="Century Gothic" w:hAnsi="Century Gothic"/>
                <w:iCs w:val="0"/>
                <w:szCs w:val="20"/>
              </w:rPr>
            </w:pPr>
            <w:r w:rsidRPr="008204CA">
              <w:rPr>
                <w:rFonts w:ascii="Century Gothic" w:hAnsi="Century Gothic"/>
                <w:iCs w:val="0"/>
                <w:color w:val="000000"/>
                <w:szCs w:val="20"/>
              </w:rPr>
              <w:t>Shock Tests - Pyro</w:t>
            </w:r>
          </w:p>
        </w:tc>
        <w:tc>
          <w:tcPr>
            <w:tcW w:w="922" w:type="pct"/>
          </w:tcPr>
          <w:p w14:paraId="15CF23A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Pyro Shock</w:t>
            </w:r>
          </w:p>
          <w:p w14:paraId="46978D5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environment loads – e.g. booster separation, fairing deployment, (large) spacecraft separation</w:t>
            </w:r>
          </w:p>
          <w:p w14:paraId="3F15397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Only occasionally a requirement for secondary payloads (e.g. SpaceX Falcon 9, ULA Delta 2)</w:t>
            </w:r>
          </w:p>
          <w:p w14:paraId="2C4B3AD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Requires dedicated Shock Response Spectrum (SRS) facility and expertise to operate</w:t>
            </w:r>
          </w:p>
        </w:tc>
        <w:tc>
          <w:tcPr>
            <w:tcW w:w="1408" w:type="pct"/>
          </w:tcPr>
          <w:p w14:paraId="5D1C2590" w14:textId="77777777" w:rsidR="008204CA" w:rsidRPr="008204CA" w:rsidRDefault="008204CA" w:rsidP="00405923">
            <w:pPr>
              <w:numPr>
                <w:ilvl w:val="0"/>
                <w:numId w:val="21"/>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w:t>
            </w:r>
          </w:p>
        </w:tc>
        <w:tc>
          <w:tcPr>
            <w:tcW w:w="2017" w:type="pct"/>
          </w:tcPr>
          <w:p w14:paraId="1BD9E3A6"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10FF2515"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Resonant plate, nail-gun activated rig capable of 4000g SRS</w:t>
            </w:r>
          </w:p>
          <w:p w14:paraId="273E5EF0"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p w14:paraId="1ECCDB88"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Successfully used for BRMM CubeSat testing (with US collaborator support), but currently non-operational.</w:t>
            </w:r>
          </w:p>
          <w:p w14:paraId="340EA8AE"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Will require high-speed DAQ system and SRS software, as well as a significant investment in labour to understand SRS testing and “test formulas”</w:t>
            </w:r>
          </w:p>
        </w:tc>
      </w:tr>
      <w:tr w:rsidR="008204CA" w:rsidRPr="008204CA" w14:paraId="7451F89E" w14:textId="77777777" w:rsidTr="008204CA">
        <w:trPr>
          <w:trHeight w:val="563"/>
        </w:trPr>
        <w:tc>
          <w:tcPr>
            <w:cnfStyle w:val="001000000000" w:firstRow="0" w:lastRow="0" w:firstColumn="1" w:lastColumn="0" w:oddVBand="0" w:evenVBand="0" w:oddHBand="0" w:evenHBand="0" w:firstRowFirstColumn="0" w:firstRowLastColumn="0" w:lastRowFirstColumn="0" w:lastRowLastColumn="0"/>
            <w:tcW w:w="653" w:type="pct"/>
          </w:tcPr>
          <w:p w14:paraId="45898C52" w14:textId="77777777" w:rsidR="008204CA" w:rsidRPr="008204CA" w:rsidRDefault="008204CA" w:rsidP="008204CA">
            <w:pPr>
              <w:spacing w:before="60" w:after="60" w:line="240" w:lineRule="auto"/>
              <w:ind w:left="1080"/>
              <w:rPr>
                <w:rFonts w:ascii="Century Gothic" w:hAnsi="Century Gothic"/>
                <w:iCs w:val="0"/>
                <w:sz w:val="18"/>
                <w:szCs w:val="18"/>
              </w:rPr>
            </w:pPr>
          </w:p>
        </w:tc>
        <w:tc>
          <w:tcPr>
            <w:tcW w:w="922" w:type="pct"/>
          </w:tcPr>
          <w:p w14:paraId="48D90BFE" w14:textId="77777777" w:rsidR="008204CA" w:rsidRPr="008204CA" w:rsidRDefault="008204CA" w:rsidP="008204CA">
            <w:pPr>
              <w:spacing w:before="60" w:after="60" w:line="240" w:lineRule="auto"/>
              <w:ind w:left="3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08" w:type="pct"/>
          </w:tcPr>
          <w:p w14:paraId="49ADDFD2" w14:textId="77777777" w:rsidR="008204CA" w:rsidRPr="008204CA" w:rsidRDefault="008204CA" w:rsidP="00405923">
            <w:pPr>
              <w:numPr>
                <w:ilvl w:val="0"/>
                <w:numId w:val="21"/>
              </w:num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2017" w:type="pct"/>
          </w:tcPr>
          <w:p w14:paraId="2E705F3F"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2802B334"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will need to be upgraded for high-frequency SRS testing.</w:t>
            </w:r>
          </w:p>
          <w:p w14:paraId="0AA19807"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bl>
    <w:p w14:paraId="07BBA875"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bookmarkStart w:id="381" w:name="_GoBack"/>
      <w:bookmarkEnd w:id="381"/>
    </w:p>
    <w:p w14:paraId="453A4913"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697"/>
        <w:gridCol w:w="720"/>
        <w:gridCol w:w="1689"/>
        <w:gridCol w:w="3687"/>
        <w:gridCol w:w="5243"/>
      </w:tblGrid>
      <w:tr w:rsidR="008204CA" w:rsidRPr="008204CA" w14:paraId="68FCFE03" w14:textId="77777777" w:rsidTr="004738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7" w:type="pct"/>
            <w:gridSpan w:val="2"/>
          </w:tcPr>
          <w:p w14:paraId="68123D0F"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t>Class</w:t>
            </w:r>
          </w:p>
        </w:tc>
        <w:tc>
          <w:tcPr>
            <w:tcW w:w="648" w:type="pct"/>
          </w:tcPr>
          <w:p w14:paraId="1EBD5C84"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1414" w:type="pct"/>
          </w:tcPr>
          <w:p w14:paraId="6192F54A"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2011" w:type="pct"/>
          </w:tcPr>
          <w:p w14:paraId="5DD900B5"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78536956" w14:textId="77777777" w:rsidTr="0047387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51" w:type="pct"/>
            <w:vMerge w:val="restart"/>
          </w:tcPr>
          <w:p w14:paraId="4CA9A643" w14:textId="77777777" w:rsidR="008204CA" w:rsidRPr="008204CA" w:rsidRDefault="008204CA" w:rsidP="008204CA">
            <w:pPr>
              <w:spacing w:before="60" w:after="60" w:line="240" w:lineRule="auto"/>
              <w:rPr>
                <w:rFonts w:ascii="Century Gothic" w:hAnsi="Century Gothic"/>
                <w:iCs w:val="0"/>
                <w:color w:val="000000"/>
                <w:szCs w:val="20"/>
              </w:rPr>
            </w:pPr>
            <w:r w:rsidRPr="008204CA">
              <w:rPr>
                <w:rFonts w:ascii="Century Gothic" w:hAnsi="Century Gothic"/>
                <w:iCs w:val="0"/>
                <w:color w:val="000000"/>
                <w:szCs w:val="20"/>
              </w:rPr>
              <w:t>Static load tests</w:t>
            </w:r>
          </w:p>
        </w:tc>
        <w:tc>
          <w:tcPr>
            <w:tcW w:w="924" w:type="pct"/>
            <w:gridSpan w:val="2"/>
            <w:vMerge w:val="restart"/>
          </w:tcPr>
          <w:p w14:paraId="235C24C5"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Structural integrity/strength test covering launch acceleration</w:t>
            </w:r>
          </w:p>
          <w:p w14:paraId="20FB5789"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Required by LSPs on most spacecraft</w:t>
            </w:r>
          </w:p>
          <w:p w14:paraId="6559DE8F"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May be replaced by Quasi-static load (QSL) test on shakers at lowest possible frequency</w:t>
            </w:r>
          </w:p>
          <w:p w14:paraId="43BC1234"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May be undertaken with a centrifuge</w:t>
            </w:r>
          </w:p>
        </w:tc>
        <w:tc>
          <w:tcPr>
            <w:tcW w:w="3425" w:type="pct"/>
            <w:gridSpan w:val="2"/>
          </w:tcPr>
          <w:p w14:paraId="21133134"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Refer to vibration facilities for QSL capabilities</w:t>
            </w:r>
          </w:p>
        </w:tc>
      </w:tr>
      <w:tr w:rsidR="008204CA" w:rsidRPr="008204CA" w14:paraId="71989610" w14:textId="77777777" w:rsidTr="00473872">
        <w:trPr>
          <w:trHeight w:val="1321"/>
        </w:trPr>
        <w:tc>
          <w:tcPr>
            <w:cnfStyle w:val="001000000000" w:firstRow="0" w:lastRow="0" w:firstColumn="1" w:lastColumn="0" w:oddVBand="0" w:evenVBand="0" w:oddHBand="0" w:evenHBand="0" w:firstRowFirstColumn="0" w:firstRowLastColumn="0" w:lastRowFirstColumn="0" w:lastRowLastColumn="0"/>
            <w:tcW w:w="651" w:type="pct"/>
            <w:vMerge/>
          </w:tcPr>
          <w:p w14:paraId="32FCF317" w14:textId="77777777" w:rsidR="008204CA" w:rsidRPr="008204CA" w:rsidRDefault="008204CA" w:rsidP="00405923">
            <w:pPr>
              <w:numPr>
                <w:ilvl w:val="0"/>
                <w:numId w:val="21"/>
              </w:numPr>
              <w:spacing w:before="60" w:after="60" w:line="200" w:lineRule="atLeast"/>
              <w:contextualSpacing/>
              <w:rPr>
                <w:rFonts w:ascii="Century Gothic" w:hAnsi="Century Gothic"/>
                <w:iCs w:val="0"/>
                <w:color w:val="000000"/>
                <w:szCs w:val="20"/>
              </w:rPr>
            </w:pPr>
          </w:p>
        </w:tc>
        <w:tc>
          <w:tcPr>
            <w:tcW w:w="924" w:type="pct"/>
            <w:gridSpan w:val="2"/>
            <w:vMerge/>
          </w:tcPr>
          <w:p w14:paraId="2D069418"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706C3548"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Flight Data Systems, Keilor Park VIC</w:t>
            </w:r>
          </w:p>
        </w:tc>
        <w:tc>
          <w:tcPr>
            <w:tcW w:w="2011" w:type="pct"/>
          </w:tcPr>
          <w:p w14:paraId="0244FFD3"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Military/Civil aircraft equipment supplier with in-house test capability</w:t>
            </w:r>
          </w:p>
          <w:p w14:paraId="2C16EE16"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Centrifuge 20kg; ~500mm3; 17-21G</w:t>
            </w:r>
          </w:p>
          <w:p w14:paraId="06B890D3"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 environment</w:t>
            </w:r>
          </w:p>
        </w:tc>
      </w:tr>
      <w:tr w:rsidR="008204CA" w:rsidRPr="008204CA" w14:paraId="694B33CE" w14:textId="77777777" w:rsidTr="00473872">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651" w:type="pct"/>
            <w:vMerge w:val="restart"/>
          </w:tcPr>
          <w:p w14:paraId="05C1D27C" w14:textId="77777777" w:rsidR="008204CA" w:rsidRPr="008204CA" w:rsidRDefault="008204CA" w:rsidP="008204CA">
            <w:pPr>
              <w:spacing w:before="60" w:after="60" w:line="240" w:lineRule="auto"/>
              <w:rPr>
                <w:rFonts w:ascii="Century Gothic" w:hAnsi="Century Gothic"/>
                <w:iCs w:val="0"/>
                <w:color w:val="000000"/>
                <w:szCs w:val="20"/>
              </w:rPr>
            </w:pPr>
            <w:r w:rsidRPr="008204CA">
              <w:rPr>
                <w:rFonts w:ascii="Century Gothic" w:hAnsi="Century Gothic"/>
                <w:iCs w:val="0"/>
                <w:color w:val="000000"/>
                <w:szCs w:val="20"/>
              </w:rPr>
              <w:t xml:space="preserve">Acoustic tests </w:t>
            </w:r>
          </w:p>
        </w:tc>
        <w:tc>
          <w:tcPr>
            <w:tcW w:w="924" w:type="pct"/>
            <w:gridSpan w:val="2"/>
            <w:vMerge w:val="restart"/>
          </w:tcPr>
          <w:p w14:paraId="77B49D76"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Acoustic vibration </w:t>
            </w:r>
          </w:p>
          <w:p w14:paraId="67099D78"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Covers acoustic environment inside LV fairing</w:t>
            </w:r>
          </w:p>
          <w:p w14:paraId="76EAEA1E"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Generally, not applicable to small, secondary payloads </w:t>
            </w:r>
          </w:p>
          <w:p w14:paraId="2D2485D3"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Thus, not relevant in Australia at the present time</w:t>
            </w:r>
          </w:p>
          <w:p w14:paraId="6D2EAC1E"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Requires a reverberant chamber (building)</w:t>
            </w:r>
          </w:p>
        </w:tc>
        <w:tc>
          <w:tcPr>
            <w:tcW w:w="1414" w:type="pct"/>
          </w:tcPr>
          <w:p w14:paraId="328DEB24"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 of Adelaide AVC</w:t>
            </w:r>
          </w:p>
        </w:tc>
        <w:tc>
          <w:tcPr>
            <w:tcW w:w="2011" w:type="pct"/>
          </w:tcPr>
          <w:p w14:paraId="0982A1D1"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Two reverberant chambers for acoustic fatigue of aircraft panels</w:t>
            </w:r>
          </w:p>
          <w:p w14:paraId="73868B51"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Suitability for spacecraft acoustic tests not determined</w:t>
            </w:r>
          </w:p>
          <w:p w14:paraId="0B9B8BB4" w14:textId="77777777" w:rsidR="008204CA" w:rsidRPr="008204CA" w:rsidRDefault="008204CA" w:rsidP="00405923">
            <w:pPr>
              <w:numPr>
                <w:ilvl w:val="0"/>
                <w:numId w:val="21"/>
              </w:numPr>
              <w:spacing w:before="60" w:after="60" w:line="200" w:lineRule="atLeast"/>
              <w:ind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4121E277" w14:textId="77777777" w:rsidTr="00473872">
        <w:trPr>
          <w:trHeight w:val="563"/>
        </w:trPr>
        <w:tc>
          <w:tcPr>
            <w:cnfStyle w:val="001000000000" w:firstRow="0" w:lastRow="0" w:firstColumn="1" w:lastColumn="0" w:oddVBand="0" w:evenVBand="0" w:oddHBand="0" w:evenHBand="0" w:firstRowFirstColumn="0" w:firstRowLastColumn="0" w:lastRowFirstColumn="0" w:lastRowLastColumn="0"/>
            <w:tcW w:w="651" w:type="pct"/>
            <w:vMerge/>
          </w:tcPr>
          <w:p w14:paraId="050F679E" w14:textId="77777777" w:rsidR="008204CA" w:rsidRPr="008204CA" w:rsidRDefault="008204CA" w:rsidP="008204CA">
            <w:pPr>
              <w:spacing w:before="60" w:after="60" w:line="240" w:lineRule="auto"/>
              <w:ind w:left="1080"/>
              <w:rPr>
                <w:rFonts w:ascii="Century Gothic" w:hAnsi="Century Gothic"/>
                <w:iCs w:val="0"/>
                <w:sz w:val="18"/>
                <w:szCs w:val="18"/>
              </w:rPr>
            </w:pPr>
          </w:p>
        </w:tc>
        <w:tc>
          <w:tcPr>
            <w:tcW w:w="924" w:type="pct"/>
            <w:gridSpan w:val="2"/>
            <w:vMerge/>
          </w:tcPr>
          <w:p w14:paraId="3B06BC97" w14:textId="77777777" w:rsidR="008204CA" w:rsidRPr="008204CA" w:rsidRDefault="008204CA" w:rsidP="008204C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0C7DBC6F" w14:textId="77777777" w:rsidR="008204CA" w:rsidRPr="008204CA" w:rsidRDefault="008204CA" w:rsidP="00405923">
            <w:pPr>
              <w:numPr>
                <w:ilvl w:val="0"/>
                <w:numId w:val="21"/>
              </w:numPr>
              <w:spacing w:before="60" w:after="60" w:line="200" w:lineRule="atLeast"/>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Technology Sydney, Ultimo NSW</w:t>
            </w:r>
          </w:p>
        </w:tc>
        <w:tc>
          <w:tcPr>
            <w:tcW w:w="2011" w:type="pct"/>
          </w:tcPr>
          <w:p w14:paraId="4EB29E0E"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Reverberant chambers identified</w:t>
            </w:r>
          </w:p>
          <w:p w14:paraId="35664D9D"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Suitability for spacecraft acoustic tests not determined</w:t>
            </w:r>
          </w:p>
          <w:p w14:paraId="30BC414D" w14:textId="77777777" w:rsidR="008204CA" w:rsidRPr="008204CA" w:rsidRDefault="008204CA" w:rsidP="00405923">
            <w:pPr>
              <w:numPr>
                <w:ilvl w:val="0"/>
                <w:numId w:val="21"/>
              </w:numPr>
              <w:spacing w:before="60" w:after="60" w:line="200" w:lineRule="atLeast"/>
              <w:ind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4BF9D19C"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521"/>
        <w:gridCol w:w="3719"/>
        <w:gridCol w:w="2410"/>
        <w:gridCol w:w="5386"/>
      </w:tblGrid>
      <w:tr w:rsidR="008204CA" w:rsidRPr="008204CA" w14:paraId="1D0A1E02" w14:textId="77777777" w:rsidTr="008204CA">
        <w:trPr>
          <w:cnfStyle w:val="100000000000" w:firstRow="1" w:lastRow="0" w:firstColumn="0" w:lastColumn="0" w:oddVBand="0" w:evenVBand="0" w:oddHBand="0" w:evenHBand="0" w:firstRowFirstColumn="0" w:firstRowLastColumn="0" w:lastRowFirstColumn="0" w:lastRowLastColumn="0"/>
          <w:trHeight w:val="160"/>
          <w:tblHeader/>
        </w:trPr>
        <w:tc>
          <w:tcPr>
            <w:cnfStyle w:val="001000000000" w:firstRow="0" w:lastRow="0" w:firstColumn="1" w:lastColumn="0" w:oddVBand="0" w:evenVBand="0" w:oddHBand="0" w:evenHBand="0" w:firstRowFirstColumn="0" w:firstRowLastColumn="0" w:lastRowFirstColumn="0" w:lastRowLastColumn="0"/>
            <w:tcW w:w="0" w:type="pct"/>
          </w:tcPr>
          <w:p w14:paraId="49EB3A78" w14:textId="77777777" w:rsidR="008204CA" w:rsidRPr="008204CA" w:rsidRDefault="008204CA" w:rsidP="008204CA">
            <w:pPr>
              <w:tabs>
                <w:tab w:val="left" w:pos="346"/>
              </w:tabs>
              <w:spacing w:before="60" w:after="60" w:line="240" w:lineRule="auto"/>
              <w:ind w:left="100"/>
              <w:jc w:val="center"/>
              <w:rPr>
                <w:rFonts w:ascii="Century Gothic" w:hAnsi="Century Gothic"/>
                <w:iCs w:val="0"/>
                <w:sz w:val="18"/>
                <w:szCs w:val="18"/>
                <w:lang w:eastAsia="en-AU"/>
              </w:rPr>
            </w:pPr>
            <w:r w:rsidRPr="008204CA">
              <w:rPr>
                <w:rFonts w:ascii="Century Gothic" w:hAnsi="Century Gothic"/>
                <w:iCs w:val="0"/>
                <w:sz w:val="18"/>
                <w:szCs w:val="18"/>
                <w:lang w:eastAsia="en-AU"/>
              </w:rPr>
              <w:lastRenderedPageBreak/>
              <w:t>Class</w:t>
            </w:r>
          </w:p>
        </w:tc>
        <w:tc>
          <w:tcPr>
            <w:tcW w:w="0" w:type="pct"/>
          </w:tcPr>
          <w:p w14:paraId="602EDD8A"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lang w:eastAsia="en-AU"/>
              </w:rPr>
              <w:t>Test</w:t>
            </w:r>
          </w:p>
        </w:tc>
        <w:tc>
          <w:tcPr>
            <w:tcW w:w="0" w:type="pct"/>
          </w:tcPr>
          <w:p w14:paraId="00F5F012"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lang w:eastAsia="en-AU"/>
              </w:rPr>
              <w:t>Identified Facilities</w:t>
            </w:r>
          </w:p>
        </w:tc>
        <w:tc>
          <w:tcPr>
            <w:tcW w:w="0" w:type="pct"/>
          </w:tcPr>
          <w:p w14:paraId="76079C75"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lang w:eastAsia="en-AU"/>
              </w:rPr>
              <w:t>Facility Capability</w:t>
            </w:r>
          </w:p>
        </w:tc>
      </w:tr>
      <w:tr w:rsidR="008204CA" w:rsidRPr="008204CA" w14:paraId="0CD9877A" w14:textId="77777777" w:rsidTr="008204CA">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583" w:type="pct"/>
          </w:tcPr>
          <w:p w14:paraId="282DE827" w14:textId="77777777" w:rsidR="008204CA" w:rsidRPr="008204CA" w:rsidRDefault="008204CA" w:rsidP="008204CA">
            <w:pPr>
              <w:tabs>
                <w:tab w:val="left" w:pos="346"/>
              </w:tabs>
              <w:spacing w:before="60" w:after="60" w:line="240" w:lineRule="auto"/>
              <w:rPr>
                <w:rFonts w:ascii="Century Gothic" w:hAnsi="Century Gothic"/>
                <w:iCs w:val="0"/>
                <w:color w:val="FFFFFF"/>
                <w:szCs w:val="20"/>
                <w:lang w:eastAsia="en-AU"/>
              </w:rPr>
            </w:pPr>
            <w:r w:rsidRPr="008204CA">
              <w:rPr>
                <w:rFonts w:ascii="Century Gothic" w:hAnsi="Century Gothic"/>
                <w:iCs w:val="0"/>
                <w:color w:val="000000"/>
                <w:szCs w:val="20"/>
                <w:lang w:eastAsia="en-AU"/>
              </w:rPr>
              <w:t>Mass</w:t>
            </w:r>
            <w:r w:rsidRPr="008204CA">
              <w:rPr>
                <w:rFonts w:ascii="Century Gothic" w:hAnsi="Century Gothic"/>
                <w:iCs w:val="0"/>
                <w:color w:val="FF0000"/>
                <w:szCs w:val="20"/>
                <w:lang w:eastAsia="en-AU"/>
              </w:rPr>
              <w:t xml:space="preserve"> </w:t>
            </w:r>
            <w:r w:rsidRPr="008204CA">
              <w:rPr>
                <w:rFonts w:ascii="Century Gothic" w:hAnsi="Century Gothic"/>
                <w:iCs w:val="0"/>
                <w:color w:val="000000"/>
                <w:szCs w:val="20"/>
                <w:lang w:eastAsia="en-AU"/>
              </w:rPr>
              <w:t>properties test</w:t>
            </w:r>
            <w:r w:rsidRPr="008204CA">
              <w:rPr>
                <w:rFonts w:ascii="Century Gothic" w:hAnsi="Century Gothic"/>
                <w:iCs w:val="0"/>
                <w:color w:val="000000"/>
                <w:szCs w:val="20"/>
              </w:rPr>
              <w:t>s</w:t>
            </w:r>
          </w:p>
        </w:tc>
        <w:tc>
          <w:tcPr>
            <w:tcW w:w="1426" w:type="pct"/>
          </w:tcPr>
          <w:p w14:paraId="042FE73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Mass</w:t>
            </w:r>
          </w:p>
          <w:p w14:paraId="3CC570D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Centre of Gravity (CoG)</w:t>
            </w:r>
          </w:p>
          <w:p w14:paraId="7D877FE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Moment of Inertia (MoI)</w:t>
            </w:r>
          </w:p>
          <w:p w14:paraId="52420AB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Spin balancing</w:t>
            </w:r>
          </w:p>
          <w:p w14:paraId="4AA30EC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providers generally require this information, but are satisfied with analysis</w:t>
            </w:r>
          </w:p>
        </w:tc>
        <w:tc>
          <w:tcPr>
            <w:tcW w:w="924" w:type="pct"/>
          </w:tcPr>
          <w:p w14:paraId="6C7B273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2066" w:type="pct"/>
          </w:tcPr>
          <w:p w14:paraId="4B9C159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3DF4122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25kg capacity CoG &amp; MoI</w:t>
            </w:r>
          </w:p>
          <w:p w14:paraId="576917A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Class 10k cleanroom environment.</w:t>
            </w:r>
          </w:p>
          <w:p w14:paraId="75BDC91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Caters to CubeSat class spacecraft only</w:t>
            </w:r>
          </w:p>
        </w:tc>
      </w:tr>
    </w:tbl>
    <w:p w14:paraId="102F054D" w14:textId="77777777" w:rsidR="008204CA" w:rsidRPr="008204CA" w:rsidRDefault="008204CA" w:rsidP="008204CA">
      <w:pPr>
        <w:spacing w:before="0" w:after="160" w:line="259" w:lineRule="auto"/>
        <w:rPr>
          <w:rFonts w:ascii="Century Gothic" w:hAnsi="Century Gothic" w:cs="Arial"/>
          <w:iCs w:val="0"/>
          <w:sz w:val="22"/>
          <w:szCs w:val="22"/>
          <w:lang w:val="en-ZA"/>
        </w:rPr>
      </w:pPr>
    </w:p>
    <w:p w14:paraId="76EB145D"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p w14:paraId="3379393C" w14:textId="77777777" w:rsidR="008204CA" w:rsidRPr="008204CA" w:rsidRDefault="008204CA" w:rsidP="008204CA">
      <w:pPr>
        <w:spacing w:before="0" w:after="160" w:line="259" w:lineRule="auto"/>
        <w:rPr>
          <w:rFonts w:ascii="Century Gothic" w:hAnsi="Century Gothic" w:cs="Arial"/>
          <w:iCs w:val="0"/>
          <w:sz w:val="22"/>
          <w:szCs w:val="22"/>
          <w:lang w:val="en-ZA"/>
        </w:rPr>
      </w:pPr>
    </w:p>
    <w:tbl>
      <w:tblPr>
        <w:tblStyle w:val="GridTable42"/>
        <w:tblW w:w="4673" w:type="pct"/>
        <w:tblLook w:val="04A0" w:firstRow="1" w:lastRow="0" w:firstColumn="1" w:lastColumn="0" w:noHBand="0" w:noVBand="1"/>
      </w:tblPr>
      <w:tblGrid>
        <w:gridCol w:w="1788"/>
        <w:gridCol w:w="3452"/>
        <w:gridCol w:w="3687"/>
        <w:gridCol w:w="4109"/>
      </w:tblGrid>
      <w:tr w:rsidR="008204CA" w:rsidRPr="008204CA" w14:paraId="6C4C050B"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4C95799B"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t>Class</w:t>
            </w:r>
          </w:p>
        </w:tc>
        <w:tc>
          <w:tcPr>
            <w:tcW w:w="0" w:type="pct"/>
          </w:tcPr>
          <w:p w14:paraId="1D66FBBD"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12D43FA1"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7399BF47"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45B3F58C" w14:textId="77777777" w:rsidTr="008204CA">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686" w:type="pct"/>
            <w:vMerge w:val="restart"/>
          </w:tcPr>
          <w:p w14:paraId="3B6A79BF" w14:textId="77777777" w:rsidR="008204CA" w:rsidRPr="008204CA" w:rsidRDefault="008204CA" w:rsidP="008204CA">
            <w:pPr>
              <w:tabs>
                <w:tab w:val="left" w:pos="346"/>
              </w:tabs>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Thermal Cycling (ambient pressure)</w:t>
            </w:r>
          </w:p>
        </w:tc>
        <w:tc>
          <w:tcPr>
            <w:tcW w:w="1324" w:type="pct"/>
            <w:vMerge w:val="restart"/>
          </w:tcPr>
          <w:p w14:paraId="7ECD6CE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Not required by LSPs, but this is an extremely useful facility for space hardware development and qualification test for electronics and deployable mechanisms.</w:t>
            </w:r>
          </w:p>
          <w:p w14:paraId="29D6BB1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Chambers readily commercially available for -30°C to +80°C</w:t>
            </w:r>
          </w:p>
          <w:p w14:paraId="2DD3786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Must ensure that the facility has capability of 0% humidity (GN2 environment) to ensure no condensation/damage</w:t>
            </w:r>
          </w:p>
          <w:p w14:paraId="24BE0F16" w14:textId="77777777" w:rsidR="008204CA" w:rsidRPr="008204CA" w:rsidRDefault="008204CA" w:rsidP="00405923">
            <w:pPr>
              <w:numPr>
                <w:ilvl w:val="0"/>
                <w:numId w:val="21"/>
              </w:numPr>
              <w:spacing w:before="60" w:after="6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Climatic chambers may NOT be suitable (due to a lack of humidity control or inability to maintain 0%RH).</w:t>
            </w:r>
          </w:p>
        </w:tc>
        <w:tc>
          <w:tcPr>
            <w:tcW w:w="1414" w:type="pct"/>
          </w:tcPr>
          <w:p w14:paraId="2A557D6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APV-T Test Centre, Campbellfield VIC</w:t>
            </w:r>
          </w:p>
        </w:tc>
        <w:tc>
          <w:tcPr>
            <w:tcW w:w="1576" w:type="pct"/>
          </w:tcPr>
          <w:p w14:paraId="2CB8E46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crash test lab</w:t>
            </w:r>
          </w:p>
          <w:p w14:paraId="4C1E692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r w:rsidR="008204CA" w:rsidRPr="008204CA" w14:paraId="6FE2C8D2" w14:textId="77777777" w:rsidTr="008204CA">
        <w:trPr>
          <w:trHeight w:val="146"/>
        </w:trPr>
        <w:tc>
          <w:tcPr>
            <w:cnfStyle w:val="001000000000" w:firstRow="0" w:lastRow="0" w:firstColumn="1" w:lastColumn="0" w:oddVBand="0" w:evenVBand="0" w:oddHBand="0" w:evenHBand="0" w:firstRowFirstColumn="0" w:firstRowLastColumn="0" w:lastRowFirstColumn="0" w:lastRowLastColumn="0"/>
            <w:tcW w:w="686" w:type="pct"/>
            <w:vMerge/>
          </w:tcPr>
          <w:p w14:paraId="23DFDE8B"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5E69367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055A4C8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1576" w:type="pct"/>
            <w:vMerge w:val="restart"/>
          </w:tcPr>
          <w:p w14:paraId="7436380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5F10106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15+ chambers across three sites</w:t>
            </w:r>
          </w:p>
          <w:p w14:paraId="065116C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-100°C to +120°C </w:t>
            </w:r>
          </w:p>
        </w:tc>
      </w:tr>
      <w:tr w:rsidR="008204CA" w:rsidRPr="008204CA" w14:paraId="034DDB18" w14:textId="77777777" w:rsidTr="008204C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86" w:type="pct"/>
            <w:vMerge/>
          </w:tcPr>
          <w:p w14:paraId="6A3F10E7"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10786E6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7730EC6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1576" w:type="pct"/>
            <w:vMerge/>
          </w:tcPr>
          <w:p w14:paraId="2AEA8DC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58C40473" w14:textId="77777777" w:rsidTr="008204CA">
        <w:trPr>
          <w:trHeight w:val="146"/>
        </w:trPr>
        <w:tc>
          <w:tcPr>
            <w:cnfStyle w:val="001000000000" w:firstRow="0" w:lastRow="0" w:firstColumn="1" w:lastColumn="0" w:oddVBand="0" w:evenVBand="0" w:oddHBand="0" w:evenHBand="0" w:firstRowFirstColumn="0" w:firstRowLastColumn="0" w:lastRowFirstColumn="0" w:lastRowLastColumn="0"/>
            <w:tcW w:w="686" w:type="pct"/>
            <w:vMerge/>
          </w:tcPr>
          <w:p w14:paraId="5CDAEC5A"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55AA213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7AC96118"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Austest Laboratories, Para Hills West, SA </w:t>
            </w:r>
          </w:p>
        </w:tc>
        <w:tc>
          <w:tcPr>
            <w:tcW w:w="1576" w:type="pct"/>
            <w:vMerge/>
          </w:tcPr>
          <w:p w14:paraId="1A9ECA4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3D2C1DDF" w14:textId="77777777" w:rsidTr="008204C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86" w:type="pct"/>
            <w:vMerge/>
          </w:tcPr>
          <w:p w14:paraId="72EBA21D"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54B739C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1430824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1576" w:type="pct"/>
          </w:tcPr>
          <w:p w14:paraId="2401ADD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6F77BE3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1m</w:t>
            </w:r>
            <w:r w:rsidRPr="008204CA">
              <w:rPr>
                <w:rFonts w:ascii="Century Gothic" w:hAnsi="Century Gothic"/>
                <w:iCs w:val="0"/>
                <w:sz w:val="18"/>
                <w:szCs w:val="18"/>
                <w:vertAlign w:val="superscript"/>
              </w:rPr>
              <w:t>3</w:t>
            </w:r>
            <w:r w:rsidRPr="008204CA">
              <w:rPr>
                <w:rFonts w:ascii="Century Gothic" w:hAnsi="Century Gothic"/>
                <w:iCs w:val="0"/>
                <w:sz w:val="18"/>
                <w:szCs w:val="18"/>
              </w:rPr>
              <w:t xml:space="preserve"> GN2 purged chamber; -70°C to +120°C </w:t>
            </w:r>
          </w:p>
          <w:p w14:paraId="5FCA2AE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Currently not reliable – stops cooling</w:t>
            </w:r>
          </w:p>
          <w:p w14:paraId="69DC22B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0FB49A75" w14:textId="77777777" w:rsidTr="008204CA">
        <w:trPr>
          <w:trHeight w:val="733"/>
        </w:trPr>
        <w:tc>
          <w:tcPr>
            <w:cnfStyle w:val="001000000000" w:firstRow="0" w:lastRow="0" w:firstColumn="1" w:lastColumn="0" w:oddVBand="0" w:evenVBand="0" w:oddHBand="0" w:evenHBand="0" w:firstRowFirstColumn="0" w:firstRowLastColumn="0" w:lastRowFirstColumn="0" w:lastRowLastColumn="0"/>
            <w:tcW w:w="686" w:type="pct"/>
            <w:vMerge/>
          </w:tcPr>
          <w:p w14:paraId="6082BC9E"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128AD39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72E4FC2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BAE Systems, Edinburgh SA</w:t>
            </w:r>
          </w:p>
        </w:tc>
        <w:tc>
          <w:tcPr>
            <w:tcW w:w="1576" w:type="pct"/>
          </w:tcPr>
          <w:p w14:paraId="55AB8238"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w:t>
            </w:r>
          </w:p>
          <w:p w14:paraId="2FAF94F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8ft</w:t>
            </w:r>
            <w:r w:rsidRPr="008204CA">
              <w:rPr>
                <w:rFonts w:ascii="Century Gothic" w:hAnsi="Century Gothic"/>
                <w:iCs w:val="0"/>
                <w:sz w:val="18"/>
                <w:szCs w:val="18"/>
                <w:vertAlign w:val="superscript"/>
              </w:rPr>
              <w:t xml:space="preserve">3 </w:t>
            </w:r>
            <w:r w:rsidRPr="008204CA">
              <w:rPr>
                <w:rFonts w:ascii="Century Gothic" w:hAnsi="Century Gothic"/>
                <w:iCs w:val="0"/>
                <w:sz w:val="18"/>
                <w:szCs w:val="18"/>
              </w:rPr>
              <w:t>chamber: -68°C to +177°C</w:t>
            </w:r>
          </w:p>
          <w:p w14:paraId="7DF2431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32ft</w:t>
            </w:r>
            <w:r w:rsidRPr="008204CA">
              <w:rPr>
                <w:rFonts w:ascii="Century Gothic" w:hAnsi="Century Gothic"/>
                <w:iCs w:val="0"/>
                <w:sz w:val="18"/>
                <w:szCs w:val="18"/>
                <w:vertAlign w:val="superscript"/>
              </w:rPr>
              <w:t xml:space="preserve">3 </w:t>
            </w:r>
            <w:r w:rsidRPr="008204CA">
              <w:rPr>
                <w:rFonts w:ascii="Century Gothic" w:hAnsi="Century Gothic"/>
                <w:iCs w:val="0"/>
                <w:sz w:val="18"/>
                <w:szCs w:val="18"/>
              </w:rPr>
              <w:t>chamber: -73°C to +177°C</w:t>
            </w:r>
          </w:p>
          <w:p w14:paraId="520472C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0% RH details not provided in response</w:t>
            </w:r>
          </w:p>
        </w:tc>
      </w:tr>
      <w:tr w:rsidR="008204CA" w:rsidRPr="008204CA" w14:paraId="75F3CC48" w14:textId="77777777" w:rsidTr="008204C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686" w:type="pct"/>
            <w:vMerge/>
          </w:tcPr>
          <w:p w14:paraId="1E9643A3"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24" w:type="pct"/>
            <w:vMerge/>
          </w:tcPr>
          <w:p w14:paraId="05AD827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6C73805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Bellinger Systems, Rydalmere NSW</w:t>
            </w:r>
          </w:p>
        </w:tc>
        <w:tc>
          <w:tcPr>
            <w:tcW w:w="1576" w:type="pct"/>
          </w:tcPr>
          <w:p w14:paraId="260FC41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serving defence</w:t>
            </w:r>
          </w:p>
          <w:p w14:paraId="45E2F75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0,5m</w:t>
            </w:r>
            <w:r w:rsidRPr="008204CA">
              <w:rPr>
                <w:rFonts w:ascii="Century Gothic" w:hAnsi="Century Gothic"/>
                <w:iCs w:val="0"/>
                <w:sz w:val="18"/>
                <w:szCs w:val="18"/>
                <w:vertAlign w:val="superscript"/>
              </w:rPr>
              <w:t xml:space="preserve">3 </w:t>
            </w:r>
            <w:r w:rsidRPr="008204CA">
              <w:rPr>
                <w:rFonts w:ascii="Century Gothic" w:hAnsi="Century Gothic"/>
                <w:iCs w:val="0"/>
                <w:sz w:val="18"/>
                <w:szCs w:val="18"/>
              </w:rPr>
              <w:t>chamber. -0°C to +100°C</w:t>
            </w:r>
          </w:p>
          <w:p w14:paraId="2F37423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0% RH details not provided in response</w:t>
            </w:r>
          </w:p>
        </w:tc>
      </w:tr>
    </w:tbl>
    <w:p w14:paraId="24F0EEFA"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673" w:type="pct"/>
        <w:tblLook w:val="04A0" w:firstRow="1" w:lastRow="0" w:firstColumn="1" w:lastColumn="0" w:noHBand="0" w:noVBand="1"/>
      </w:tblPr>
      <w:tblGrid>
        <w:gridCol w:w="1840"/>
        <w:gridCol w:w="3400"/>
        <w:gridCol w:w="3687"/>
        <w:gridCol w:w="4109"/>
      </w:tblGrid>
      <w:tr w:rsidR="008204CA" w:rsidRPr="008204CA" w14:paraId="7B468527" w14:textId="77777777" w:rsidTr="008204CA">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0" w:type="pct"/>
          </w:tcPr>
          <w:p w14:paraId="4A0CBA5F" w14:textId="77777777" w:rsidR="008204CA" w:rsidRPr="008204CA" w:rsidRDefault="008204CA" w:rsidP="008204CA">
            <w:pPr>
              <w:tabs>
                <w:tab w:val="left" w:pos="346"/>
              </w:tabs>
              <w:spacing w:before="60" w:after="60" w:line="240" w:lineRule="auto"/>
              <w:jc w:val="center"/>
              <w:rPr>
                <w:rFonts w:ascii="Century Gothic" w:hAnsi="Century Gothic"/>
                <w:iCs w:val="0"/>
                <w:color w:val="000000"/>
                <w:sz w:val="18"/>
                <w:szCs w:val="18"/>
              </w:rPr>
            </w:pPr>
            <w:r w:rsidRPr="008204CA">
              <w:rPr>
                <w:rFonts w:ascii="Century Gothic" w:hAnsi="Century Gothic"/>
                <w:iCs w:val="0"/>
                <w:sz w:val="18"/>
                <w:szCs w:val="18"/>
              </w:rPr>
              <w:lastRenderedPageBreak/>
              <w:t>Class</w:t>
            </w:r>
          </w:p>
        </w:tc>
        <w:tc>
          <w:tcPr>
            <w:tcW w:w="0" w:type="pct"/>
          </w:tcPr>
          <w:p w14:paraId="6556A846"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4882767F"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5008C3A6"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0B5802E4" w14:textId="77777777" w:rsidTr="008204C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706" w:type="pct"/>
            <w:vMerge w:val="restart"/>
          </w:tcPr>
          <w:p w14:paraId="5B6F1ECE" w14:textId="77777777" w:rsidR="008204CA" w:rsidRPr="008204CA" w:rsidRDefault="008204CA" w:rsidP="008204CA">
            <w:pPr>
              <w:tabs>
                <w:tab w:val="left" w:pos="346"/>
              </w:tabs>
              <w:spacing w:before="60" w:after="60" w:line="240" w:lineRule="auto"/>
              <w:ind w:left="100"/>
              <w:rPr>
                <w:rFonts w:ascii="Century Gothic" w:hAnsi="Century Gothic"/>
                <w:iCs w:val="0"/>
                <w:color w:val="000000"/>
                <w:sz w:val="18"/>
                <w:szCs w:val="18"/>
              </w:rPr>
            </w:pPr>
            <w:r w:rsidRPr="008204CA">
              <w:rPr>
                <w:rFonts w:ascii="Century Gothic" w:hAnsi="Century Gothic"/>
                <w:iCs w:val="0"/>
                <w:color w:val="000000"/>
                <w:szCs w:val="20"/>
                <w:lang w:eastAsia="en-AU"/>
              </w:rPr>
              <w:t>Thermal Cycling (ambient pressure)</w:t>
            </w:r>
          </w:p>
        </w:tc>
        <w:tc>
          <w:tcPr>
            <w:tcW w:w="1304" w:type="pct"/>
            <w:vMerge w:val="restart"/>
          </w:tcPr>
          <w:p w14:paraId="50FDA59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Not required by LSPs, but this is an extremely useful facility for space hardware development and qualification test for electronics and deployable mechanisms.</w:t>
            </w:r>
          </w:p>
          <w:p w14:paraId="2DC5989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Chambers readily commercially available for -30°C to +80°C</w:t>
            </w:r>
          </w:p>
          <w:p w14:paraId="107CE9A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Must ensure that the facility has capability of 0% humidity (GN2 environment) to ensure no condensation/damage</w:t>
            </w:r>
          </w:p>
          <w:p w14:paraId="231C4FA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Climatic chambers may NOT be suitable (due to a lack of humidity control or inability to maintain 0%RH).</w:t>
            </w:r>
          </w:p>
        </w:tc>
        <w:tc>
          <w:tcPr>
            <w:tcW w:w="1414" w:type="pct"/>
          </w:tcPr>
          <w:p w14:paraId="1027DAE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City QLD</w:t>
            </w:r>
          </w:p>
        </w:tc>
        <w:tc>
          <w:tcPr>
            <w:tcW w:w="1576" w:type="pct"/>
          </w:tcPr>
          <w:p w14:paraId="6404F28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 – available to external customers</w:t>
            </w:r>
          </w:p>
          <w:p w14:paraId="2CDA255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-40°C to +80°C</w:t>
            </w:r>
          </w:p>
          <w:p w14:paraId="47D7B98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-70°C to +180°C</w:t>
            </w:r>
          </w:p>
          <w:p w14:paraId="39F51CA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 in response</w:t>
            </w:r>
          </w:p>
        </w:tc>
      </w:tr>
      <w:tr w:rsidR="008204CA" w:rsidRPr="008204CA" w14:paraId="6A0B9D89" w14:textId="77777777" w:rsidTr="008204CA">
        <w:trPr>
          <w:trHeight w:val="1233"/>
        </w:trPr>
        <w:tc>
          <w:tcPr>
            <w:cnfStyle w:val="001000000000" w:firstRow="0" w:lastRow="0" w:firstColumn="1" w:lastColumn="0" w:oddVBand="0" w:evenVBand="0" w:oddHBand="0" w:evenHBand="0" w:firstRowFirstColumn="0" w:firstRowLastColumn="0" w:lastRowFirstColumn="0" w:lastRowLastColumn="0"/>
            <w:tcW w:w="706" w:type="pct"/>
            <w:vMerge/>
          </w:tcPr>
          <w:p w14:paraId="4A73935C"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04" w:type="pct"/>
            <w:vMerge/>
          </w:tcPr>
          <w:p w14:paraId="4EE9028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5C136B5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Compliance Engineering, Keysborough VIC</w:t>
            </w:r>
          </w:p>
        </w:tc>
        <w:tc>
          <w:tcPr>
            <w:tcW w:w="1576" w:type="pct"/>
          </w:tcPr>
          <w:p w14:paraId="700977BD" w14:textId="77777777" w:rsidR="008204CA" w:rsidRPr="008204CA" w:rsidRDefault="008204CA" w:rsidP="00405923">
            <w:pPr>
              <w:numPr>
                <w:ilvl w:val="0"/>
                <w:numId w:val="21"/>
              </w:numPr>
              <w:spacing w:before="60" w:after="60" w:line="259" w:lineRule="auto"/>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3643820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-40°C to +180°C</w:t>
            </w:r>
          </w:p>
          <w:p w14:paraId="56DFFD7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 in response</w:t>
            </w:r>
          </w:p>
        </w:tc>
      </w:tr>
      <w:tr w:rsidR="008204CA" w:rsidRPr="008204CA" w14:paraId="64C84D5A" w14:textId="77777777" w:rsidTr="008204CA">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706" w:type="pct"/>
            <w:vMerge/>
          </w:tcPr>
          <w:p w14:paraId="5AA792C5"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04" w:type="pct"/>
            <w:vMerge/>
          </w:tcPr>
          <w:p w14:paraId="69B66F0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16CE22C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DSTG, Edinburgh SA</w:t>
            </w:r>
          </w:p>
        </w:tc>
        <w:tc>
          <w:tcPr>
            <w:tcW w:w="1576" w:type="pct"/>
          </w:tcPr>
          <w:p w14:paraId="7D181D5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 payloads -40°C to +180°C</w:t>
            </w:r>
          </w:p>
          <w:p w14:paraId="212A09D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 in response</w:t>
            </w:r>
          </w:p>
        </w:tc>
      </w:tr>
      <w:tr w:rsidR="008204CA" w:rsidRPr="008204CA" w14:paraId="2AFE5E79" w14:textId="77777777" w:rsidTr="008204CA">
        <w:trPr>
          <w:trHeight w:val="1222"/>
        </w:trPr>
        <w:tc>
          <w:tcPr>
            <w:cnfStyle w:val="001000000000" w:firstRow="0" w:lastRow="0" w:firstColumn="1" w:lastColumn="0" w:oddVBand="0" w:evenVBand="0" w:oddHBand="0" w:evenHBand="0" w:firstRowFirstColumn="0" w:firstRowLastColumn="0" w:lastRowFirstColumn="0" w:lastRowLastColumn="0"/>
            <w:tcW w:w="706" w:type="pct"/>
            <w:vMerge/>
          </w:tcPr>
          <w:p w14:paraId="734C6423"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304" w:type="pct"/>
            <w:vMerge/>
          </w:tcPr>
          <w:p w14:paraId="54AA88E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2D51E47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DSTG, Fisherman’s Bend VIC</w:t>
            </w:r>
          </w:p>
        </w:tc>
        <w:tc>
          <w:tcPr>
            <w:tcW w:w="1576" w:type="pct"/>
          </w:tcPr>
          <w:p w14:paraId="39B5D8E8"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 payloads</w:t>
            </w:r>
          </w:p>
          <w:p w14:paraId="104F20E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-80°C to +300°C; 10-80% RH</w:t>
            </w:r>
          </w:p>
          <w:p w14:paraId="46AE625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 in response</w:t>
            </w:r>
          </w:p>
        </w:tc>
      </w:tr>
    </w:tbl>
    <w:p w14:paraId="7B7AFF67" w14:textId="77777777" w:rsidR="008204CA" w:rsidRPr="008204CA" w:rsidRDefault="008204CA" w:rsidP="008204CA">
      <w:pPr>
        <w:spacing w:before="0" w:after="160" w:line="259" w:lineRule="auto"/>
        <w:rPr>
          <w:rFonts w:ascii="Century Gothic" w:hAnsi="Century Gothic" w:cs="Arial"/>
          <w:iCs w:val="0"/>
          <w:sz w:val="22"/>
          <w:szCs w:val="22"/>
          <w:lang w:val="en-ZA"/>
        </w:rPr>
      </w:pPr>
    </w:p>
    <w:p w14:paraId="38A4FC24"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673" w:type="pct"/>
        <w:tblLook w:val="04A0" w:firstRow="1" w:lastRow="0" w:firstColumn="1" w:lastColumn="0" w:noHBand="0" w:noVBand="1"/>
      </w:tblPr>
      <w:tblGrid>
        <w:gridCol w:w="1821"/>
        <w:gridCol w:w="3419"/>
        <w:gridCol w:w="3687"/>
        <w:gridCol w:w="4109"/>
      </w:tblGrid>
      <w:tr w:rsidR="008204CA" w:rsidRPr="008204CA" w14:paraId="3DBA4583" w14:textId="77777777" w:rsidTr="008204CA">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0" w:type="pct"/>
          </w:tcPr>
          <w:p w14:paraId="2C69D64F" w14:textId="77777777" w:rsidR="008204CA" w:rsidRPr="008204CA" w:rsidRDefault="008204CA" w:rsidP="008204CA">
            <w:pPr>
              <w:tabs>
                <w:tab w:val="left" w:pos="346"/>
              </w:tabs>
              <w:spacing w:before="60" w:after="60" w:line="240" w:lineRule="auto"/>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734F5762" w14:textId="77777777" w:rsidR="008204CA" w:rsidRPr="008204CA" w:rsidRDefault="008204CA" w:rsidP="008204C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45D83DC4" w14:textId="77777777" w:rsidR="008204CA" w:rsidRPr="008204CA" w:rsidRDefault="008204CA" w:rsidP="008204C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13C66917" w14:textId="77777777" w:rsidR="008204CA" w:rsidRPr="008204CA" w:rsidRDefault="008204CA" w:rsidP="008204C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554E7BD6" w14:textId="77777777" w:rsidTr="008204CA">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698" w:type="pct"/>
            <w:vMerge w:val="restart"/>
          </w:tcPr>
          <w:p w14:paraId="2E09883C" w14:textId="77777777" w:rsidR="008204CA" w:rsidRPr="008204CA" w:rsidRDefault="008204CA" w:rsidP="008204CA">
            <w:pPr>
              <w:tabs>
                <w:tab w:val="left" w:pos="346"/>
              </w:tabs>
              <w:spacing w:before="60" w:after="60" w:line="240" w:lineRule="auto"/>
              <w:contextualSpacing/>
              <w:rPr>
                <w:rFonts w:ascii="Century Gothic" w:hAnsi="Century Gothic"/>
                <w:iCs w:val="0"/>
                <w:sz w:val="18"/>
                <w:szCs w:val="18"/>
              </w:rPr>
            </w:pPr>
            <w:r w:rsidRPr="008204CA">
              <w:rPr>
                <w:rFonts w:ascii="Century Gothic" w:hAnsi="Century Gothic"/>
                <w:iCs w:val="0"/>
                <w:color w:val="000000"/>
                <w:szCs w:val="20"/>
                <w:lang w:eastAsia="en-AU"/>
              </w:rPr>
              <w:t>Thermal Cycling (ambient pressure)</w:t>
            </w:r>
          </w:p>
        </w:tc>
        <w:tc>
          <w:tcPr>
            <w:tcW w:w="1311" w:type="pct"/>
            <w:vMerge w:val="restart"/>
          </w:tcPr>
          <w:p w14:paraId="3EBC30E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Not required by LSPs, but this is an extremely useful facility for space hardware development and qualification test for electronics and deployable mechanisms.</w:t>
            </w:r>
          </w:p>
          <w:p w14:paraId="54ABDB5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Chambers readily commercially available for -30°C to +80°C</w:t>
            </w:r>
          </w:p>
          <w:p w14:paraId="600B5E6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Must ensure that the facility has capability of 0% humidity (GN2 environment) to ensure no condensation/damage</w:t>
            </w:r>
          </w:p>
          <w:p w14:paraId="2F3119D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Climatic chambers may NOT be suitable (due to a lack of humidity control or inability to maintain 0%RH).</w:t>
            </w:r>
          </w:p>
        </w:tc>
        <w:tc>
          <w:tcPr>
            <w:tcW w:w="1414" w:type="pct"/>
          </w:tcPr>
          <w:p w14:paraId="09B91C15"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Technologies, Melbourne</w:t>
            </w:r>
          </w:p>
        </w:tc>
        <w:tc>
          <w:tcPr>
            <w:tcW w:w="1576" w:type="pct"/>
          </w:tcPr>
          <w:p w14:paraId="1D77165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7CA0D0B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-70°C to 180°C</w:t>
            </w:r>
          </w:p>
          <w:p w14:paraId="4074A0ED"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w:t>
            </w:r>
          </w:p>
        </w:tc>
      </w:tr>
      <w:tr w:rsidR="008204CA" w:rsidRPr="008204CA" w14:paraId="7CF15605" w14:textId="77777777" w:rsidTr="008204CA">
        <w:trPr>
          <w:trHeight w:val="595"/>
        </w:trPr>
        <w:tc>
          <w:tcPr>
            <w:cnfStyle w:val="001000000000" w:firstRow="0" w:lastRow="0" w:firstColumn="1" w:lastColumn="0" w:oddVBand="0" w:evenVBand="0" w:oddHBand="0" w:evenHBand="0" w:firstRowFirstColumn="0" w:firstRowLastColumn="0" w:lastRowFirstColumn="0" w:lastRowLastColumn="0"/>
            <w:tcW w:w="698" w:type="pct"/>
            <w:vMerge/>
          </w:tcPr>
          <w:p w14:paraId="3EF1B57B"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1311" w:type="pct"/>
            <w:vMerge/>
          </w:tcPr>
          <w:p w14:paraId="59CC095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03906B9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Flight Data Systems, Keilor Park VIC</w:t>
            </w:r>
          </w:p>
        </w:tc>
        <w:tc>
          <w:tcPr>
            <w:tcW w:w="1576" w:type="pct"/>
          </w:tcPr>
          <w:p w14:paraId="567D214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Military/Civil aircraft equipment supplier with in-house test capability</w:t>
            </w:r>
          </w:p>
          <w:p w14:paraId="19737AD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-68°C to 180°C; 16 x 11 x 11.75</w:t>
            </w:r>
          </w:p>
          <w:p w14:paraId="7E3B505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-68°C to 180°C; 76cm3; 10% to 98% RH</w:t>
            </w:r>
          </w:p>
          <w:p w14:paraId="4486A83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 environment</w:t>
            </w:r>
          </w:p>
        </w:tc>
      </w:tr>
      <w:tr w:rsidR="008204CA" w:rsidRPr="008204CA" w14:paraId="30C19B18" w14:textId="77777777" w:rsidTr="008204C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98" w:type="pct"/>
            <w:vMerge/>
          </w:tcPr>
          <w:p w14:paraId="517DF58D"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1311" w:type="pct"/>
            <w:vMerge/>
          </w:tcPr>
          <w:p w14:paraId="6842064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47F6B1E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Melbourne, Parkville VIC</w:t>
            </w:r>
          </w:p>
        </w:tc>
        <w:tc>
          <w:tcPr>
            <w:tcW w:w="1576" w:type="pct"/>
          </w:tcPr>
          <w:p w14:paraId="5E13869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laboratory; space hardware developer</w:t>
            </w:r>
          </w:p>
          <w:p w14:paraId="2E1E437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-40°C to 90°C </w:t>
            </w:r>
          </w:p>
          <w:p w14:paraId="5A0FF1F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and 0% RH details not provided in response</w:t>
            </w:r>
          </w:p>
        </w:tc>
      </w:tr>
      <w:tr w:rsidR="008204CA" w:rsidRPr="008204CA" w14:paraId="1F389150" w14:textId="77777777" w:rsidTr="008204CA">
        <w:trPr>
          <w:trHeight w:val="703"/>
        </w:trPr>
        <w:tc>
          <w:tcPr>
            <w:cnfStyle w:val="001000000000" w:firstRow="0" w:lastRow="0" w:firstColumn="1" w:lastColumn="0" w:oddVBand="0" w:evenVBand="0" w:oddHBand="0" w:evenHBand="0" w:firstRowFirstColumn="0" w:firstRowLastColumn="0" w:lastRowFirstColumn="0" w:lastRowLastColumn="0"/>
            <w:tcW w:w="698" w:type="pct"/>
            <w:vMerge/>
          </w:tcPr>
          <w:p w14:paraId="0E67BAD1"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1311" w:type="pct"/>
            <w:vMerge/>
          </w:tcPr>
          <w:p w14:paraId="3C76A84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2F21DEF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Port Melbourne VIC</w:t>
            </w:r>
          </w:p>
        </w:tc>
        <w:tc>
          <w:tcPr>
            <w:tcW w:w="1576" w:type="pct"/>
          </w:tcPr>
          <w:p w14:paraId="41748925" w14:textId="77777777" w:rsidR="008204CA" w:rsidRPr="008204CA" w:rsidRDefault="008204CA" w:rsidP="00405923">
            <w:pPr>
              <w:numPr>
                <w:ilvl w:val="0"/>
                <w:numId w:val="21"/>
              </w:numPr>
              <w:spacing w:before="60" w:after="60" w:line="259" w:lineRule="auto"/>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2EBE263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Several chambers up to walk-in size</w:t>
            </w:r>
          </w:p>
          <w:p w14:paraId="4FCDA4D0" w14:textId="77777777" w:rsidR="008204CA" w:rsidRPr="008204CA" w:rsidRDefault="008204CA" w:rsidP="00405923">
            <w:pPr>
              <w:numPr>
                <w:ilvl w:val="0"/>
                <w:numId w:val="21"/>
              </w:numPr>
              <w:spacing w:before="60" w:after="60" w:line="200" w:lineRule="atLeast"/>
              <w:ind w:left="318" w:hanging="218"/>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1m3 chamber: 1-70°C to +180°C; ramp rates: &gt;6°C/min; 0%RH (-20°C dewpoint)</w:t>
            </w:r>
          </w:p>
        </w:tc>
      </w:tr>
      <w:tr w:rsidR="008204CA" w:rsidRPr="008204CA" w14:paraId="0EBFA2A0" w14:textId="77777777" w:rsidTr="008204CA">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698" w:type="pct"/>
            <w:vMerge/>
          </w:tcPr>
          <w:p w14:paraId="582B640E" w14:textId="77777777" w:rsidR="008204CA" w:rsidRPr="008204CA" w:rsidRDefault="008204CA" w:rsidP="00405923">
            <w:pPr>
              <w:numPr>
                <w:ilvl w:val="1"/>
                <w:numId w:val="22"/>
              </w:numPr>
              <w:spacing w:before="60" w:after="60" w:line="200" w:lineRule="atLeast"/>
              <w:ind w:left="608"/>
              <w:rPr>
                <w:rFonts w:ascii="Century Gothic" w:hAnsi="Century Gothic"/>
                <w:iCs w:val="0"/>
                <w:sz w:val="18"/>
                <w:szCs w:val="18"/>
              </w:rPr>
            </w:pPr>
          </w:p>
        </w:tc>
        <w:tc>
          <w:tcPr>
            <w:tcW w:w="1311" w:type="pct"/>
            <w:vMerge/>
          </w:tcPr>
          <w:p w14:paraId="13AA5D8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09D3DCB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Chester Hill NSW</w:t>
            </w:r>
          </w:p>
        </w:tc>
        <w:tc>
          <w:tcPr>
            <w:tcW w:w="1576" w:type="pct"/>
          </w:tcPr>
          <w:p w14:paraId="1FC720F0" w14:textId="77777777" w:rsidR="008204CA" w:rsidRPr="008204CA" w:rsidRDefault="008204CA" w:rsidP="00405923">
            <w:pPr>
              <w:numPr>
                <w:ilvl w:val="0"/>
                <w:numId w:val="21"/>
              </w:numPr>
              <w:spacing w:before="60" w:after="6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3547637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1m3 chamber: -40°C to +180°C; 1.5m3; requires upgrade for dehumidification</w:t>
            </w:r>
          </w:p>
        </w:tc>
      </w:tr>
    </w:tbl>
    <w:p w14:paraId="68CE9828" w14:textId="77777777" w:rsidR="008204CA" w:rsidRPr="008204CA" w:rsidRDefault="008204CA" w:rsidP="008204CA">
      <w:pPr>
        <w:spacing w:before="0" w:after="160" w:line="259" w:lineRule="auto"/>
        <w:rPr>
          <w:rFonts w:ascii="Century Gothic" w:hAnsi="Century Gothic" w:cs="Arial"/>
          <w:iCs w:val="0"/>
          <w:sz w:val="22"/>
          <w:szCs w:val="22"/>
          <w:lang w:val="en-ZA"/>
        </w:rPr>
      </w:pPr>
    </w:p>
    <w:p w14:paraId="58B03409"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673" w:type="pct"/>
        <w:tblLook w:val="04A0" w:firstRow="1" w:lastRow="0" w:firstColumn="1" w:lastColumn="0" w:noHBand="0" w:noVBand="1"/>
      </w:tblPr>
      <w:tblGrid>
        <w:gridCol w:w="1838"/>
        <w:gridCol w:w="3402"/>
        <w:gridCol w:w="3687"/>
        <w:gridCol w:w="4109"/>
      </w:tblGrid>
      <w:tr w:rsidR="008204CA" w:rsidRPr="008204CA" w14:paraId="105DB250" w14:textId="77777777" w:rsidTr="008204CA">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0" w:type="pct"/>
          </w:tcPr>
          <w:p w14:paraId="7AC9209F" w14:textId="77777777" w:rsidR="008204CA" w:rsidRPr="008204CA" w:rsidRDefault="008204CA" w:rsidP="008204CA">
            <w:pPr>
              <w:tabs>
                <w:tab w:val="left" w:pos="346"/>
              </w:tabs>
              <w:spacing w:before="0" w:after="0" w:line="240" w:lineRule="auto"/>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10F56E6C"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Test</w:t>
            </w:r>
          </w:p>
        </w:tc>
        <w:tc>
          <w:tcPr>
            <w:tcW w:w="0" w:type="pct"/>
          </w:tcPr>
          <w:p w14:paraId="3299E60C"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Identified Facilities</w:t>
            </w:r>
          </w:p>
        </w:tc>
        <w:tc>
          <w:tcPr>
            <w:tcW w:w="0" w:type="pct"/>
          </w:tcPr>
          <w:p w14:paraId="551B38C5" w14:textId="77777777" w:rsidR="008204CA" w:rsidRPr="008204CA" w:rsidRDefault="008204CA" w:rsidP="008204CA">
            <w:pPr>
              <w:spacing w:before="60" w:after="60" w:line="259"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Facility Capability</w:t>
            </w:r>
          </w:p>
        </w:tc>
      </w:tr>
      <w:tr w:rsidR="008204CA" w:rsidRPr="008204CA" w14:paraId="394BCF52" w14:textId="77777777" w:rsidTr="008204C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705" w:type="pct"/>
            <w:vMerge w:val="restart"/>
          </w:tcPr>
          <w:p w14:paraId="758E6B3F" w14:textId="77777777" w:rsidR="008204CA" w:rsidRPr="008204CA" w:rsidRDefault="008204CA" w:rsidP="008204CA">
            <w:pPr>
              <w:tabs>
                <w:tab w:val="left" w:pos="346"/>
              </w:tabs>
              <w:spacing w:before="0" w:after="0" w:line="240" w:lineRule="auto"/>
              <w:rPr>
                <w:rFonts w:ascii="Century Gothic" w:hAnsi="Century Gothic"/>
                <w:iCs w:val="0"/>
                <w:sz w:val="18"/>
                <w:szCs w:val="18"/>
              </w:rPr>
            </w:pPr>
            <w:r w:rsidRPr="008204CA">
              <w:rPr>
                <w:rFonts w:ascii="Century Gothic" w:hAnsi="Century Gothic"/>
                <w:iCs w:val="0"/>
                <w:color w:val="000000"/>
                <w:sz w:val="18"/>
                <w:szCs w:val="18"/>
              </w:rPr>
              <w:t>Thermal Cycling (high altitude – low pressure)</w:t>
            </w:r>
          </w:p>
        </w:tc>
        <w:tc>
          <w:tcPr>
            <w:tcW w:w="1305" w:type="pct"/>
            <w:vMerge w:val="restart"/>
          </w:tcPr>
          <w:p w14:paraId="73B534F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LSPs</w:t>
            </w:r>
          </w:p>
          <w:p w14:paraId="09BDC2E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Useful for high-altitude payloads (e.g. HABs, UAVs, sounding rocket payloads)) </w:t>
            </w:r>
          </w:p>
          <w:p w14:paraId="4FEB8D7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This is a specialist test facility for high-altitude payloads, rather than space</w:t>
            </w:r>
          </w:p>
          <w:p w14:paraId="1A9EA46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chambers exist (aircraft industry)</w:t>
            </w:r>
          </w:p>
          <w:p w14:paraId="531620F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TVAC and TC chambers not suitable due to the need to maintain stable (high-altitude) pressure</w:t>
            </w:r>
          </w:p>
          <w:p w14:paraId="12FC89B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Must ensure that the facility has capability of 0% humidity (GN2 environment) to ensure no condensation/damage</w:t>
            </w:r>
          </w:p>
        </w:tc>
        <w:tc>
          <w:tcPr>
            <w:tcW w:w="1414" w:type="pct"/>
          </w:tcPr>
          <w:p w14:paraId="7D3CECDA"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1576" w:type="pct"/>
            <w:vMerge w:val="restart"/>
          </w:tcPr>
          <w:p w14:paraId="25575531" w14:textId="77777777" w:rsidR="008204CA" w:rsidRPr="008204CA" w:rsidRDefault="008204CA" w:rsidP="00405923">
            <w:pPr>
              <w:numPr>
                <w:ilvl w:val="0"/>
                <w:numId w:val="21"/>
              </w:numPr>
              <w:spacing w:before="60" w:after="6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226C0528" w14:textId="77777777" w:rsidR="008204CA" w:rsidRPr="008204CA" w:rsidRDefault="008204CA" w:rsidP="00405923">
            <w:pPr>
              <w:numPr>
                <w:ilvl w:val="0"/>
                <w:numId w:val="21"/>
              </w:numPr>
              <w:spacing w:before="60" w:after="6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6 altitude chambers, up to 4.2 m3 across sites</w:t>
            </w:r>
          </w:p>
          <w:p w14:paraId="250E8688" w14:textId="77777777" w:rsidR="008204CA" w:rsidRPr="008204CA" w:rsidRDefault="008204CA" w:rsidP="00405923">
            <w:pPr>
              <w:numPr>
                <w:ilvl w:val="0"/>
                <w:numId w:val="21"/>
              </w:numPr>
              <w:spacing w:before="60" w:after="60" w:line="259" w:lineRule="auto"/>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Max. altitude of 90,000 f</w:t>
            </w:r>
          </w:p>
        </w:tc>
      </w:tr>
      <w:tr w:rsidR="008204CA" w:rsidRPr="008204CA" w14:paraId="5588BAB3" w14:textId="77777777" w:rsidTr="008204CA">
        <w:trPr>
          <w:trHeight w:val="580"/>
        </w:trPr>
        <w:tc>
          <w:tcPr>
            <w:cnfStyle w:val="001000000000" w:firstRow="0" w:lastRow="0" w:firstColumn="1" w:lastColumn="0" w:oddVBand="0" w:evenVBand="0" w:oddHBand="0" w:evenHBand="0" w:firstRowFirstColumn="0" w:firstRowLastColumn="0" w:lastRowFirstColumn="0" w:lastRowLastColumn="0"/>
            <w:tcW w:w="705" w:type="pct"/>
            <w:vMerge/>
          </w:tcPr>
          <w:p w14:paraId="2C5D544F" w14:textId="77777777" w:rsidR="008204CA" w:rsidRPr="008204CA" w:rsidRDefault="008204CA" w:rsidP="008204CA">
            <w:pPr>
              <w:tabs>
                <w:tab w:val="left" w:pos="346"/>
              </w:tabs>
              <w:spacing w:before="0" w:after="0" w:line="240" w:lineRule="auto"/>
              <w:ind w:left="608"/>
              <w:rPr>
                <w:rFonts w:ascii="Century Gothic" w:hAnsi="Century Gothic"/>
                <w:iCs w:val="0"/>
                <w:sz w:val="18"/>
                <w:szCs w:val="18"/>
              </w:rPr>
            </w:pPr>
          </w:p>
        </w:tc>
        <w:tc>
          <w:tcPr>
            <w:tcW w:w="1305" w:type="pct"/>
            <w:vMerge/>
          </w:tcPr>
          <w:p w14:paraId="1378142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00AA9BA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1576" w:type="pct"/>
            <w:vMerge/>
          </w:tcPr>
          <w:p w14:paraId="2C22FE7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0DD295BA" w14:textId="77777777" w:rsidTr="008204C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705" w:type="pct"/>
            <w:vMerge/>
          </w:tcPr>
          <w:p w14:paraId="796F5574" w14:textId="77777777" w:rsidR="008204CA" w:rsidRPr="008204CA" w:rsidRDefault="008204CA" w:rsidP="008204CA">
            <w:pPr>
              <w:tabs>
                <w:tab w:val="left" w:pos="346"/>
              </w:tabs>
              <w:spacing w:before="0" w:after="0" w:line="240" w:lineRule="auto"/>
              <w:ind w:left="608"/>
              <w:rPr>
                <w:rFonts w:ascii="Century Gothic" w:hAnsi="Century Gothic"/>
                <w:iCs w:val="0"/>
                <w:sz w:val="18"/>
                <w:szCs w:val="18"/>
              </w:rPr>
            </w:pPr>
          </w:p>
        </w:tc>
        <w:tc>
          <w:tcPr>
            <w:tcW w:w="1305" w:type="pct"/>
            <w:vMerge/>
          </w:tcPr>
          <w:p w14:paraId="3F2E455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6D27F54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Para Hills West, SA</w:t>
            </w:r>
          </w:p>
        </w:tc>
        <w:tc>
          <w:tcPr>
            <w:tcW w:w="1576" w:type="pct"/>
            <w:vMerge/>
          </w:tcPr>
          <w:p w14:paraId="30FA4FC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6D8B5362" w14:textId="77777777" w:rsidTr="008204CA">
        <w:trPr>
          <w:trHeight w:val="161"/>
        </w:trPr>
        <w:tc>
          <w:tcPr>
            <w:cnfStyle w:val="001000000000" w:firstRow="0" w:lastRow="0" w:firstColumn="1" w:lastColumn="0" w:oddVBand="0" w:evenVBand="0" w:oddHBand="0" w:evenHBand="0" w:firstRowFirstColumn="0" w:firstRowLastColumn="0" w:lastRowFirstColumn="0" w:lastRowLastColumn="0"/>
            <w:tcW w:w="705" w:type="pct"/>
            <w:vMerge/>
          </w:tcPr>
          <w:p w14:paraId="62C6C8A6" w14:textId="77777777" w:rsidR="008204CA" w:rsidRPr="008204CA" w:rsidRDefault="008204CA" w:rsidP="008204CA">
            <w:pPr>
              <w:tabs>
                <w:tab w:val="left" w:pos="346"/>
              </w:tabs>
              <w:spacing w:before="0" w:after="0" w:line="240" w:lineRule="auto"/>
              <w:ind w:left="608"/>
              <w:rPr>
                <w:rFonts w:ascii="Century Gothic" w:hAnsi="Century Gothic"/>
                <w:iCs w:val="0"/>
                <w:sz w:val="18"/>
                <w:szCs w:val="18"/>
              </w:rPr>
            </w:pPr>
          </w:p>
        </w:tc>
        <w:tc>
          <w:tcPr>
            <w:tcW w:w="1305" w:type="pct"/>
            <w:vMerge/>
          </w:tcPr>
          <w:p w14:paraId="7F0C7E7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414" w:type="pct"/>
          </w:tcPr>
          <w:p w14:paraId="1D5C863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BAE Systems, Edinburgh SA</w:t>
            </w:r>
          </w:p>
        </w:tc>
        <w:tc>
          <w:tcPr>
            <w:tcW w:w="1576" w:type="pct"/>
          </w:tcPr>
          <w:p w14:paraId="0196479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w:t>
            </w:r>
          </w:p>
          <w:p w14:paraId="7D457AF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Altitude chamber; -50°C to +60°C; 70000ft; 680mm diameter x 780mm long</w:t>
            </w:r>
          </w:p>
        </w:tc>
      </w:tr>
      <w:tr w:rsidR="008204CA" w:rsidRPr="008204CA" w14:paraId="6A449E79" w14:textId="77777777" w:rsidTr="008204CA">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705" w:type="pct"/>
            <w:vMerge/>
          </w:tcPr>
          <w:p w14:paraId="150AD383" w14:textId="77777777" w:rsidR="008204CA" w:rsidRPr="008204CA" w:rsidRDefault="008204CA" w:rsidP="008204CA">
            <w:pPr>
              <w:tabs>
                <w:tab w:val="left" w:pos="346"/>
              </w:tabs>
              <w:spacing w:before="0" w:after="0" w:line="240" w:lineRule="auto"/>
              <w:ind w:left="608"/>
              <w:rPr>
                <w:rFonts w:ascii="Century Gothic" w:hAnsi="Century Gothic"/>
                <w:iCs w:val="0"/>
                <w:sz w:val="18"/>
                <w:szCs w:val="18"/>
              </w:rPr>
            </w:pPr>
          </w:p>
        </w:tc>
        <w:tc>
          <w:tcPr>
            <w:tcW w:w="1305" w:type="pct"/>
            <w:vMerge/>
          </w:tcPr>
          <w:p w14:paraId="5B60F44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414" w:type="pct"/>
          </w:tcPr>
          <w:p w14:paraId="3187F74C"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Port Melbourne VIC</w:t>
            </w:r>
          </w:p>
        </w:tc>
        <w:tc>
          <w:tcPr>
            <w:tcW w:w="1576" w:type="pct"/>
          </w:tcPr>
          <w:p w14:paraId="4826FE98" w14:textId="77777777" w:rsidR="008204CA" w:rsidRPr="008204CA" w:rsidRDefault="008204CA" w:rsidP="00405923">
            <w:pPr>
              <w:numPr>
                <w:ilvl w:val="0"/>
                <w:numId w:val="21"/>
              </w:numPr>
              <w:spacing w:before="60" w:after="6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facility</w:t>
            </w:r>
          </w:p>
          <w:p w14:paraId="1B01DAD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Altitude chamber of various sizes without thermal capability; 750000ft</w:t>
            </w:r>
          </w:p>
          <w:p w14:paraId="31357134"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not provided in response</w:t>
            </w:r>
          </w:p>
        </w:tc>
      </w:tr>
    </w:tbl>
    <w:p w14:paraId="658065D7"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724" w:type="pct"/>
        <w:tblLook w:val="04A0" w:firstRow="1" w:lastRow="0" w:firstColumn="1" w:lastColumn="0" w:noHBand="0" w:noVBand="1"/>
      </w:tblPr>
      <w:tblGrid>
        <w:gridCol w:w="1837"/>
        <w:gridCol w:w="3403"/>
        <w:gridCol w:w="3687"/>
        <w:gridCol w:w="4251"/>
      </w:tblGrid>
      <w:tr w:rsidR="008204CA" w:rsidRPr="008204CA" w14:paraId="27426BE3"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09CFD9CD"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05E34825"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7B536F88"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4AEAA82C"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5B40DAA5" w14:textId="77777777" w:rsidTr="008204CA">
        <w:trPr>
          <w:cnfStyle w:val="000000100000" w:firstRow="0" w:lastRow="0" w:firstColumn="0" w:lastColumn="0" w:oddVBand="0" w:evenVBand="0" w:oddHBand="1" w:evenHBand="0" w:firstRowFirstColumn="0" w:firstRowLastColumn="0" w:lastRowFirstColumn="0" w:lastRowLastColumn="0"/>
          <w:trHeight w:val="1642"/>
        </w:trPr>
        <w:tc>
          <w:tcPr>
            <w:cnfStyle w:val="001000000000" w:firstRow="0" w:lastRow="0" w:firstColumn="1" w:lastColumn="0" w:oddVBand="0" w:evenVBand="0" w:oddHBand="0" w:evenHBand="0" w:firstRowFirstColumn="0" w:firstRowLastColumn="0" w:lastRowFirstColumn="0" w:lastRowLastColumn="0"/>
            <w:tcW w:w="697" w:type="pct"/>
            <w:vMerge w:val="restart"/>
          </w:tcPr>
          <w:p w14:paraId="3A31BD61" w14:textId="77777777" w:rsidR="008204CA" w:rsidRPr="008204CA" w:rsidRDefault="008204CA" w:rsidP="008204CA">
            <w:pPr>
              <w:tabs>
                <w:tab w:val="left" w:pos="346"/>
              </w:tabs>
              <w:spacing w:before="0" w:after="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rPr>
              <w:t>Thermal Vacuum (TVAC)</w:t>
            </w:r>
          </w:p>
        </w:tc>
        <w:tc>
          <w:tcPr>
            <w:tcW w:w="1291" w:type="pct"/>
            <w:vMerge w:val="restart"/>
          </w:tcPr>
          <w:p w14:paraId="213B0AE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LSPs (except for bakeout)</w:t>
            </w:r>
          </w:p>
          <w:p w14:paraId="711D2F0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High-vacuum chambers with dry (clean) pumping systems preferred</w:t>
            </w:r>
          </w:p>
          <w:p w14:paraId="07A12E5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Independently controlled thermal shrouds and platen required</w:t>
            </w:r>
          </w:p>
          <w:p w14:paraId="4D7B14D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Operational temperature range depends on heating/cooling type</w:t>
            </w:r>
          </w:p>
          <w:p w14:paraId="05DAA0FF"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Vacuum feedthroughs required for external services (e.g. power, data, RF comms, GPS etc)</w:t>
            </w:r>
          </w:p>
          <w:p w14:paraId="2F5F0EE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Ability for test item to operate from ground (external) power highly desirable </w:t>
            </w:r>
          </w:p>
          <w:p w14:paraId="6CCBC3E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It is critical that TVAC facilities have dry (oil-free) pumping systems for optical testing. Cryo &amp; turbo pumping systems preferred.</w:t>
            </w:r>
          </w:p>
          <w:p w14:paraId="60285FA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Thermal fluid leaks may cause catastrophic contamination.  Clean thermal control such as gaseous or liquid nitrogen are non-contaminating.</w:t>
            </w:r>
          </w:p>
          <w:p w14:paraId="07EA2339" w14:textId="77777777" w:rsidR="008204CA" w:rsidRPr="008204CA" w:rsidRDefault="008204CA" w:rsidP="00405923">
            <w:pPr>
              <w:numPr>
                <w:ilvl w:val="0"/>
                <w:numId w:val="21"/>
              </w:numPr>
              <w:spacing w:before="0" w:after="0" w:line="200" w:lineRule="atLeast"/>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Existing facilities should be upgraded with contamination monitoring (eg TQCMs, RGAs)</w:t>
            </w:r>
          </w:p>
        </w:tc>
        <w:tc>
          <w:tcPr>
            <w:tcW w:w="1399" w:type="pct"/>
          </w:tcPr>
          <w:p w14:paraId="3C55F2D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1613" w:type="pct"/>
          </w:tcPr>
          <w:p w14:paraId="4852C1C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3m dia x 3m chamber</w:t>
            </w:r>
          </w:p>
          <w:p w14:paraId="29DFEF2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Independent shroud &amp; platen control</w:t>
            </w:r>
          </w:p>
          <w:p w14:paraId="0EE7073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Clean pumping &amp; thermal control system</w:t>
            </w:r>
          </w:p>
          <w:p w14:paraId="500D4EA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-150°C to +150°C; &lt;1E-7 torr</w:t>
            </w:r>
          </w:p>
          <w:p w14:paraId="298E5B6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Cryo-capture system; RGA; no TQCM</w:t>
            </w:r>
          </w:p>
          <w:p w14:paraId="5555E50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Laboratory environment </w:t>
            </w:r>
          </w:p>
        </w:tc>
      </w:tr>
      <w:tr w:rsidR="008204CA" w:rsidRPr="008204CA" w14:paraId="2E7D6E73" w14:textId="77777777" w:rsidTr="008204CA">
        <w:trPr>
          <w:trHeight w:val="1551"/>
        </w:trPr>
        <w:tc>
          <w:tcPr>
            <w:cnfStyle w:val="001000000000" w:firstRow="0" w:lastRow="0" w:firstColumn="1" w:lastColumn="0" w:oddVBand="0" w:evenVBand="0" w:oddHBand="0" w:evenHBand="0" w:firstRowFirstColumn="0" w:firstRowLastColumn="0" w:lastRowFirstColumn="0" w:lastRowLastColumn="0"/>
            <w:tcW w:w="697" w:type="pct"/>
            <w:vMerge/>
          </w:tcPr>
          <w:p w14:paraId="6210CB40"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91" w:type="pct"/>
            <w:vMerge/>
          </w:tcPr>
          <w:p w14:paraId="395231E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399" w:type="pct"/>
          </w:tcPr>
          <w:p w14:paraId="2150B0ED"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Curtin University, Perth</w:t>
            </w:r>
          </w:p>
        </w:tc>
        <w:tc>
          <w:tcPr>
            <w:tcW w:w="1613" w:type="pct"/>
          </w:tcPr>
          <w:p w14:paraId="2FA0374F" w14:textId="77777777" w:rsidR="008204CA" w:rsidRPr="008204CA" w:rsidRDefault="008204CA" w:rsidP="00405923">
            <w:pPr>
              <w:numPr>
                <w:ilvl w:val="0"/>
                <w:numId w:val="21"/>
              </w:numPr>
              <w:spacing w:before="0" w:after="0" w:line="259" w:lineRule="auto"/>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laboratory; space hardware developer</w:t>
            </w:r>
          </w:p>
          <w:p w14:paraId="3076A8E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45-180C; 7.5 E-7 torr</w:t>
            </w:r>
          </w:p>
          <w:p w14:paraId="533B035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chamber</w:t>
            </w:r>
          </w:p>
          <w:p w14:paraId="19FBA40E"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(chamber size; shroud/platen; pumping &amp; thermal control system) not provided in response</w:t>
            </w:r>
          </w:p>
          <w:p w14:paraId="65D16E32"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48A6F6D1" w14:textId="77777777" w:rsidTr="008204C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697" w:type="pct"/>
            <w:vMerge/>
          </w:tcPr>
          <w:p w14:paraId="1D02F60A"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91" w:type="pct"/>
            <w:vMerge/>
          </w:tcPr>
          <w:p w14:paraId="15A5A35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399" w:type="pct"/>
          </w:tcPr>
          <w:p w14:paraId="0E77316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DSTG, Edinburgh SA</w:t>
            </w:r>
          </w:p>
        </w:tc>
        <w:tc>
          <w:tcPr>
            <w:tcW w:w="1613" w:type="pct"/>
          </w:tcPr>
          <w:p w14:paraId="0DAFAB4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 payloads</w:t>
            </w:r>
          </w:p>
          <w:p w14:paraId="274B126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Australian made chamber in fabrication</w:t>
            </w:r>
          </w:p>
          <w:p w14:paraId="060E793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Ø900 x 1000mm internal dimensions</w:t>
            </w:r>
          </w:p>
          <w:p w14:paraId="744D5E3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Independent shroud &amp; platen control</w:t>
            </w:r>
          </w:p>
          <w:p w14:paraId="57235983"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Clean pumping &amp; thermal control system</w:t>
            </w:r>
          </w:p>
          <w:p w14:paraId="022DDD0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-150°C to +150°C; &lt;1E-6 torr</w:t>
            </w:r>
          </w:p>
          <w:p w14:paraId="3484C7E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RGA; TQCM </w:t>
            </w:r>
          </w:p>
          <w:p w14:paraId="64F5E6D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Cryo-capture system capability not provided in response</w:t>
            </w:r>
          </w:p>
        </w:tc>
      </w:tr>
    </w:tbl>
    <w:p w14:paraId="485788CA"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724" w:type="pct"/>
        <w:tblLook w:val="04A0" w:firstRow="1" w:lastRow="0" w:firstColumn="1" w:lastColumn="0" w:noHBand="0" w:noVBand="1"/>
      </w:tblPr>
      <w:tblGrid>
        <w:gridCol w:w="1837"/>
        <w:gridCol w:w="3403"/>
        <w:gridCol w:w="3687"/>
        <w:gridCol w:w="4251"/>
      </w:tblGrid>
      <w:tr w:rsidR="008204CA" w:rsidRPr="008204CA" w14:paraId="599909AC" w14:textId="77777777" w:rsidTr="008204CA">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0" w:type="pct"/>
            <w:vAlign w:val="center"/>
          </w:tcPr>
          <w:p w14:paraId="6127978E"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vAlign w:val="center"/>
          </w:tcPr>
          <w:p w14:paraId="46EE0B30"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vAlign w:val="center"/>
          </w:tcPr>
          <w:p w14:paraId="352FF9CB"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vAlign w:val="center"/>
          </w:tcPr>
          <w:p w14:paraId="0C8EB3EC"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00E9A738" w14:textId="77777777" w:rsidTr="008204CA">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697" w:type="pct"/>
            <w:vMerge w:val="restart"/>
          </w:tcPr>
          <w:p w14:paraId="5F14FA60" w14:textId="77777777" w:rsidR="008204CA" w:rsidRPr="008204CA" w:rsidRDefault="008204CA" w:rsidP="008204CA">
            <w:pPr>
              <w:tabs>
                <w:tab w:val="left" w:pos="346"/>
              </w:tabs>
              <w:spacing w:before="0" w:after="0" w:line="240" w:lineRule="auto"/>
              <w:rPr>
                <w:rFonts w:ascii="Century Gothic" w:hAnsi="Century Gothic"/>
                <w:iCs w:val="0"/>
                <w:sz w:val="18"/>
                <w:szCs w:val="18"/>
              </w:rPr>
            </w:pPr>
            <w:r w:rsidRPr="008204CA">
              <w:rPr>
                <w:rFonts w:ascii="Century Gothic" w:hAnsi="Century Gothic"/>
                <w:iCs w:val="0"/>
                <w:color w:val="000000"/>
                <w:szCs w:val="20"/>
              </w:rPr>
              <w:t>Thermal Vacuum (TVAC)</w:t>
            </w:r>
          </w:p>
        </w:tc>
        <w:tc>
          <w:tcPr>
            <w:tcW w:w="1291" w:type="pct"/>
            <w:vMerge w:val="restart"/>
          </w:tcPr>
          <w:p w14:paraId="42D62E7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LSPs (except for bakeout)</w:t>
            </w:r>
          </w:p>
          <w:p w14:paraId="2DC21D5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High-vacuum chambers with dry (clean) pumping systems preferred</w:t>
            </w:r>
          </w:p>
          <w:p w14:paraId="0AEB973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Independently controlled thermal shrouds and platen required</w:t>
            </w:r>
          </w:p>
          <w:p w14:paraId="0B14532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Operational temperature range depends on heating/cooling type</w:t>
            </w:r>
          </w:p>
          <w:p w14:paraId="25C6A78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Vacuum feedthroughs required for external services (e.g. power, data, RF comms, GPS etc)</w:t>
            </w:r>
          </w:p>
          <w:p w14:paraId="5116C8C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Ability for test item to operate from ground (external) power highly desirable </w:t>
            </w:r>
          </w:p>
          <w:p w14:paraId="7220699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It is critical that TVAC facilities have dry (oil-free) pumping systems for optical testing. Cryo &amp; turbo pumping systems preferred.</w:t>
            </w:r>
          </w:p>
          <w:p w14:paraId="608042D0" w14:textId="1659A46E"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Thermal fluid leaks may cause catastrophic contamination.  Clean thermal control such as gaseous or liquid nitrogen are non-contaminating.</w:t>
            </w:r>
          </w:p>
          <w:p w14:paraId="339007C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Existing facilities should be upgraded with contamination monitoring (eg TQCMs, RGAs)</w:t>
            </w:r>
          </w:p>
        </w:tc>
        <w:tc>
          <w:tcPr>
            <w:tcW w:w="1399" w:type="pct"/>
          </w:tcPr>
          <w:p w14:paraId="3787D59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Inovor Technologies, Adelaide SA</w:t>
            </w:r>
          </w:p>
        </w:tc>
        <w:tc>
          <w:tcPr>
            <w:tcW w:w="1613" w:type="pct"/>
          </w:tcPr>
          <w:p w14:paraId="711A737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SME developing spacecraft systems</w:t>
            </w:r>
          </w:p>
          <w:p w14:paraId="1ECDC75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Fully utilised for in-housework, not necessarily available to external users</w:t>
            </w:r>
          </w:p>
          <w:p w14:paraId="57647C1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chamber (Scitek Australia)</w:t>
            </w:r>
          </w:p>
          <w:p w14:paraId="44FA50E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Internal thermal shroud only, platen (cold mounting plate) not driven; clean pumping system</w:t>
            </w:r>
          </w:p>
          <w:p w14:paraId="51FDBA9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350 x 500 x 800mm; 50kg</w:t>
            </w:r>
          </w:p>
          <w:p w14:paraId="0DEC913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-30 to +125C; 7.5 E-7 torr</w:t>
            </w:r>
          </w:p>
          <w:p w14:paraId="478CD58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Office environment</w:t>
            </w:r>
          </w:p>
        </w:tc>
      </w:tr>
      <w:tr w:rsidR="008204CA" w:rsidRPr="008204CA" w14:paraId="59FF77D5" w14:textId="77777777" w:rsidTr="008204CA">
        <w:trPr>
          <w:trHeight w:val="1312"/>
        </w:trPr>
        <w:tc>
          <w:tcPr>
            <w:cnfStyle w:val="001000000000" w:firstRow="0" w:lastRow="0" w:firstColumn="1" w:lastColumn="0" w:oddVBand="0" w:evenVBand="0" w:oddHBand="0" w:evenHBand="0" w:firstRowFirstColumn="0" w:firstRowLastColumn="0" w:lastRowFirstColumn="0" w:lastRowLastColumn="0"/>
            <w:tcW w:w="697" w:type="pct"/>
            <w:vMerge/>
          </w:tcPr>
          <w:p w14:paraId="1EC0C1C6"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91" w:type="pct"/>
            <w:vMerge/>
          </w:tcPr>
          <w:p w14:paraId="63D685C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399" w:type="pct"/>
          </w:tcPr>
          <w:p w14:paraId="37D6CEC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Melbourne, Parkville VIC</w:t>
            </w:r>
          </w:p>
        </w:tc>
        <w:tc>
          <w:tcPr>
            <w:tcW w:w="1613" w:type="pct"/>
          </w:tcPr>
          <w:p w14:paraId="46C7F30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spacecraft systems</w:t>
            </w:r>
          </w:p>
          <w:p w14:paraId="7FC4012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chamber: -2°C to +40°C; &lt;1E-6 torr</w:t>
            </w:r>
          </w:p>
          <w:p w14:paraId="1D6C2CC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(chamber size; shroud/platen; pumping &amp; thermal control system) not provided in response</w:t>
            </w:r>
          </w:p>
        </w:tc>
      </w:tr>
    </w:tbl>
    <w:p w14:paraId="38A50B88"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724" w:type="pct"/>
        <w:tblLook w:val="04A0" w:firstRow="1" w:lastRow="0" w:firstColumn="1" w:lastColumn="0" w:noHBand="0" w:noVBand="1"/>
      </w:tblPr>
      <w:tblGrid>
        <w:gridCol w:w="1836"/>
        <w:gridCol w:w="3403"/>
        <w:gridCol w:w="3545"/>
        <w:gridCol w:w="4394"/>
      </w:tblGrid>
      <w:tr w:rsidR="008204CA" w:rsidRPr="008204CA" w14:paraId="0CAA9F98" w14:textId="77777777" w:rsidTr="008204CA">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0" w:type="pct"/>
            <w:vAlign w:val="center"/>
          </w:tcPr>
          <w:p w14:paraId="2EB8427D" w14:textId="77777777" w:rsidR="008204CA" w:rsidRPr="008204CA" w:rsidRDefault="008204CA" w:rsidP="008204CA">
            <w:pPr>
              <w:spacing w:before="60" w:after="60" w:line="240" w:lineRule="auto"/>
              <w:ind w:left="100"/>
              <w:jc w:val="center"/>
              <w:rPr>
                <w:rFonts w:ascii="Century Gothic" w:hAnsi="Century Gothic"/>
                <w:iCs w:val="0"/>
                <w:sz w:val="18"/>
                <w:szCs w:val="18"/>
                <w:lang w:eastAsia="en-AU"/>
              </w:rPr>
            </w:pPr>
            <w:r w:rsidRPr="008204CA">
              <w:rPr>
                <w:rFonts w:ascii="Century Gothic" w:hAnsi="Century Gothic"/>
                <w:iCs w:val="0"/>
                <w:sz w:val="18"/>
                <w:szCs w:val="18"/>
                <w:lang w:eastAsia="en-AU"/>
              </w:rPr>
              <w:lastRenderedPageBreak/>
              <w:t>Class</w:t>
            </w:r>
          </w:p>
        </w:tc>
        <w:tc>
          <w:tcPr>
            <w:tcW w:w="0" w:type="pct"/>
            <w:vAlign w:val="center"/>
          </w:tcPr>
          <w:p w14:paraId="6DDB8655" w14:textId="77777777" w:rsidR="008204CA" w:rsidRPr="008204CA" w:rsidRDefault="008204CA" w:rsidP="008204CA">
            <w:pPr>
              <w:spacing w:before="0" w:after="0" w:line="240" w:lineRule="auto"/>
              <w:ind w:left="319"/>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vAlign w:val="center"/>
          </w:tcPr>
          <w:p w14:paraId="19BD4B50"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vAlign w:val="center"/>
          </w:tcPr>
          <w:p w14:paraId="0DFF0D37"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7DB76136" w14:textId="77777777" w:rsidTr="008204CA">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697" w:type="pct"/>
            <w:vMerge w:val="restart"/>
          </w:tcPr>
          <w:p w14:paraId="08B94EEF" w14:textId="77777777" w:rsidR="008204CA" w:rsidRPr="008204CA" w:rsidRDefault="008204CA" w:rsidP="008204CA">
            <w:pPr>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 w:val="18"/>
                <w:szCs w:val="18"/>
                <w:lang w:eastAsia="en-AU"/>
              </w:rPr>
              <w:t>Thermal Vacuum (TVAC)</w:t>
            </w:r>
          </w:p>
        </w:tc>
        <w:tc>
          <w:tcPr>
            <w:tcW w:w="1291" w:type="pct"/>
            <w:vMerge w:val="restart"/>
          </w:tcPr>
          <w:p w14:paraId="4815C99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LSPs (except for bakeout)</w:t>
            </w:r>
          </w:p>
          <w:p w14:paraId="06E38A7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High-vacuum chambers with dry (clean) pumping systems preferred</w:t>
            </w:r>
          </w:p>
          <w:p w14:paraId="62448EB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Independently controlled thermal shrouds and platen required</w:t>
            </w:r>
          </w:p>
          <w:p w14:paraId="7B23C9E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Operational temperature range depends on heating/cooling type</w:t>
            </w:r>
          </w:p>
          <w:p w14:paraId="2704E74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Vacuum feedthroughs required for external services (e.g. power, data, RF comms, GPS etc)</w:t>
            </w:r>
          </w:p>
          <w:p w14:paraId="0229522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Ability for test item to operate from ground (external) power highly desirable </w:t>
            </w:r>
          </w:p>
          <w:p w14:paraId="06418753"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It is critical that TVAC facilities have dry (oil-free) pumping systems for optical testing. Cryo &amp; turbo pumping systems preferred.</w:t>
            </w:r>
          </w:p>
          <w:p w14:paraId="1AF136E0" w14:textId="62DC3231"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Thermal fluid leaks may cause catastrophic contamination.  Clean thermal control such as gaseous or liquid nitrogen are non-contaminating.</w:t>
            </w:r>
          </w:p>
          <w:p w14:paraId="32D2F0E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Existing facilities should be upgraded with contamination monitoring (eg TQCMs, RGAs)</w:t>
            </w:r>
          </w:p>
        </w:tc>
        <w:tc>
          <w:tcPr>
            <w:tcW w:w="1345" w:type="pct"/>
          </w:tcPr>
          <w:p w14:paraId="6171A294"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Nano Thermal Technologies</w:t>
            </w:r>
          </w:p>
        </w:tc>
        <w:tc>
          <w:tcPr>
            <w:tcW w:w="1667" w:type="pct"/>
          </w:tcPr>
          <w:p w14:paraId="5F76EE3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1.85 mbar</w:t>
            </w:r>
          </w:p>
          <w:p w14:paraId="709E2326"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Currently vacuum only, thermal control to be added</w:t>
            </w:r>
          </w:p>
        </w:tc>
      </w:tr>
      <w:tr w:rsidR="008204CA" w:rsidRPr="008204CA" w14:paraId="556CE31B" w14:textId="77777777" w:rsidTr="008204CA">
        <w:trPr>
          <w:trHeight w:val="1002"/>
        </w:trPr>
        <w:tc>
          <w:tcPr>
            <w:cnfStyle w:val="001000000000" w:firstRow="0" w:lastRow="0" w:firstColumn="1" w:lastColumn="0" w:oddVBand="0" w:evenVBand="0" w:oddHBand="0" w:evenHBand="0" w:firstRowFirstColumn="0" w:firstRowLastColumn="0" w:lastRowFirstColumn="0" w:lastRowLastColumn="0"/>
            <w:tcW w:w="697" w:type="pct"/>
            <w:vMerge/>
          </w:tcPr>
          <w:p w14:paraId="7F1950EB" w14:textId="77777777" w:rsidR="008204CA" w:rsidRPr="008204CA" w:rsidRDefault="008204CA" w:rsidP="00405923">
            <w:pPr>
              <w:numPr>
                <w:ilvl w:val="0"/>
                <w:numId w:val="21"/>
              </w:numPr>
              <w:spacing w:before="60" w:after="60" w:line="200" w:lineRule="atLeast"/>
              <w:ind w:left="319" w:hanging="219"/>
              <w:rPr>
                <w:rFonts w:ascii="Century Gothic" w:hAnsi="Century Gothic"/>
                <w:iCs w:val="0"/>
                <w:sz w:val="18"/>
                <w:szCs w:val="18"/>
              </w:rPr>
            </w:pPr>
          </w:p>
        </w:tc>
        <w:tc>
          <w:tcPr>
            <w:tcW w:w="1291" w:type="pct"/>
            <w:vMerge/>
          </w:tcPr>
          <w:p w14:paraId="094254C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345" w:type="pct"/>
          </w:tcPr>
          <w:p w14:paraId="50BA8D6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UNSW Canberra, Campbell ACT</w:t>
            </w:r>
          </w:p>
        </w:tc>
        <w:tc>
          <w:tcPr>
            <w:tcW w:w="1667" w:type="pct"/>
          </w:tcPr>
          <w:p w14:paraId="1FCEF2E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spacecraft systems developer</w:t>
            </w:r>
          </w:p>
          <w:p w14:paraId="614A070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Custom chamber developed in-house</w:t>
            </w:r>
          </w:p>
          <w:p w14:paraId="6FFD43D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Clean pumping system; recirculating fluid thermal control to thermal platen/integral shroud </w:t>
            </w:r>
          </w:p>
          <w:p w14:paraId="622102F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3U CubeSat capable</w:t>
            </w:r>
          </w:p>
          <w:p w14:paraId="277CD3C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-20 to +100C; &lt;5 E-5torr</w:t>
            </w:r>
          </w:p>
          <w:p w14:paraId="7AD4EBF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26B31E54" w14:textId="77777777" w:rsidTr="008204CA">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697" w:type="pct"/>
            <w:vMerge/>
          </w:tcPr>
          <w:p w14:paraId="4D515933" w14:textId="77777777" w:rsidR="008204CA" w:rsidRPr="008204CA" w:rsidRDefault="008204CA" w:rsidP="00405923">
            <w:pPr>
              <w:numPr>
                <w:ilvl w:val="0"/>
                <w:numId w:val="21"/>
              </w:numPr>
              <w:spacing w:before="60" w:after="60" w:line="200" w:lineRule="atLeast"/>
              <w:ind w:left="319" w:hanging="219"/>
              <w:rPr>
                <w:rFonts w:ascii="Century Gothic" w:hAnsi="Century Gothic"/>
                <w:iCs w:val="0"/>
                <w:sz w:val="18"/>
                <w:szCs w:val="18"/>
              </w:rPr>
            </w:pPr>
          </w:p>
        </w:tc>
        <w:tc>
          <w:tcPr>
            <w:tcW w:w="1291" w:type="pct"/>
            <w:vMerge/>
          </w:tcPr>
          <w:p w14:paraId="44D7E3E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345" w:type="pct"/>
          </w:tcPr>
          <w:p w14:paraId="294FD23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UNSW Sydney, Sydney NSW</w:t>
            </w:r>
          </w:p>
        </w:tc>
        <w:tc>
          <w:tcPr>
            <w:tcW w:w="1667" w:type="pct"/>
          </w:tcPr>
          <w:p w14:paraId="7641518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spacecraft systems</w:t>
            </w:r>
          </w:p>
          <w:p w14:paraId="42E1093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COTS chamber – US manufacture</w:t>
            </w:r>
          </w:p>
          <w:p w14:paraId="4E2C9D1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30°C to +80°C; &lt;1E-5 torr</w:t>
            </w:r>
          </w:p>
          <w:p w14:paraId="20924D3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(chamber size; shroud/platen; pumping &amp; thermal control system) not provided</w:t>
            </w:r>
          </w:p>
          <w:p w14:paraId="27A9587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Laboratory environment </w:t>
            </w:r>
          </w:p>
        </w:tc>
      </w:tr>
    </w:tbl>
    <w:p w14:paraId="409F3B3B"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724" w:type="pct"/>
        <w:tblLook w:val="04A0" w:firstRow="1" w:lastRow="0" w:firstColumn="1" w:lastColumn="0" w:noHBand="0" w:noVBand="1"/>
      </w:tblPr>
      <w:tblGrid>
        <w:gridCol w:w="1837"/>
        <w:gridCol w:w="3121"/>
        <w:gridCol w:w="3542"/>
        <w:gridCol w:w="4678"/>
      </w:tblGrid>
      <w:tr w:rsidR="008204CA" w:rsidRPr="008204CA" w14:paraId="208EDEDD" w14:textId="77777777" w:rsidTr="008204CA">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0" w:type="pct"/>
          </w:tcPr>
          <w:p w14:paraId="37B0218C" w14:textId="77777777" w:rsidR="008204CA" w:rsidRPr="008204CA" w:rsidRDefault="008204CA" w:rsidP="008204CA">
            <w:pPr>
              <w:spacing w:before="60" w:after="60" w:line="240" w:lineRule="auto"/>
              <w:ind w:left="100"/>
              <w:rPr>
                <w:rFonts w:ascii="Century Gothic" w:hAnsi="Century Gothic"/>
                <w:iCs w:val="0"/>
                <w:sz w:val="18"/>
                <w:szCs w:val="18"/>
              </w:rPr>
            </w:pPr>
            <w:r w:rsidRPr="008204CA">
              <w:rPr>
                <w:rFonts w:ascii="Century Gothic" w:hAnsi="Century Gothic"/>
                <w:iCs w:val="0"/>
                <w:sz w:val="18"/>
                <w:szCs w:val="18"/>
                <w:lang w:eastAsia="en-AU"/>
              </w:rPr>
              <w:lastRenderedPageBreak/>
              <w:t>Class</w:t>
            </w:r>
          </w:p>
        </w:tc>
        <w:tc>
          <w:tcPr>
            <w:tcW w:w="0" w:type="pct"/>
          </w:tcPr>
          <w:p w14:paraId="7B03CCE6" w14:textId="77777777" w:rsidR="008204CA" w:rsidRPr="008204CA" w:rsidRDefault="008204CA" w:rsidP="008204CA">
            <w:pPr>
              <w:spacing w:before="60" w:after="60" w:line="240" w:lineRule="auto"/>
              <w:ind w:left="100"/>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5BD899FA" w14:textId="77777777" w:rsidR="008204CA" w:rsidRPr="008204CA" w:rsidRDefault="008204CA" w:rsidP="008204CA">
            <w:pPr>
              <w:spacing w:before="60" w:after="60" w:line="240" w:lineRule="auto"/>
              <w:ind w:left="100"/>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1F97E091" w14:textId="77777777" w:rsidR="008204CA" w:rsidRPr="008204CA" w:rsidRDefault="008204CA" w:rsidP="008204CA">
            <w:pPr>
              <w:spacing w:before="60" w:after="60" w:line="240" w:lineRule="auto"/>
              <w:ind w:left="100"/>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3E6A254C" w14:textId="77777777" w:rsidTr="008204CA">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97" w:type="pct"/>
            <w:vMerge w:val="restart"/>
          </w:tcPr>
          <w:p w14:paraId="24088301" w14:textId="77777777" w:rsidR="008204CA" w:rsidRPr="008204CA" w:rsidRDefault="008204CA" w:rsidP="008204CA">
            <w:pPr>
              <w:spacing w:before="60" w:after="60" w:line="240" w:lineRule="auto"/>
              <w:rPr>
                <w:rFonts w:ascii="Century Gothic" w:hAnsi="Century Gothic"/>
                <w:iCs w:val="0"/>
                <w:color w:val="FF0000"/>
                <w:sz w:val="18"/>
                <w:szCs w:val="18"/>
                <w:lang w:eastAsia="en-AU"/>
              </w:rPr>
            </w:pPr>
            <w:r w:rsidRPr="008204CA">
              <w:rPr>
                <w:rFonts w:ascii="Century Gothic" w:hAnsi="Century Gothic"/>
                <w:iCs w:val="0"/>
                <w:color w:val="000000"/>
                <w:szCs w:val="20"/>
                <w:lang w:eastAsia="en-AU"/>
              </w:rPr>
              <w:t>Thermal Shock</w:t>
            </w:r>
            <w:r w:rsidRPr="008204CA">
              <w:rPr>
                <w:rFonts w:ascii="Century Gothic" w:hAnsi="Century Gothic"/>
                <w:iCs w:val="0"/>
                <w:color w:val="000000"/>
                <w:szCs w:val="20"/>
              </w:rPr>
              <w:t xml:space="preserve"> </w:t>
            </w:r>
          </w:p>
        </w:tc>
        <w:tc>
          <w:tcPr>
            <w:tcW w:w="1184" w:type="pct"/>
            <w:vMerge w:val="restart"/>
          </w:tcPr>
          <w:p w14:paraId="7596721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LSPs</w:t>
            </w:r>
          </w:p>
          <w:p w14:paraId="27A4979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Different methods: at ambient pressure in climatic chambers, or in vacuum.</w:t>
            </w:r>
          </w:p>
          <w:p w14:paraId="7057E8E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Useful to test lightweight external structures</w:t>
            </w:r>
          </w:p>
          <w:p w14:paraId="778E9B1D" w14:textId="77777777" w:rsidR="008204CA" w:rsidRPr="008204CA" w:rsidRDefault="008204CA" w:rsidP="008204CA">
            <w:pPr>
              <w:spacing w:before="60" w:after="6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p>
        </w:tc>
        <w:tc>
          <w:tcPr>
            <w:tcW w:w="1344" w:type="pct"/>
          </w:tcPr>
          <w:p w14:paraId="34E1A68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BAE Systems, Edinburgh SA</w:t>
            </w:r>
          </w:p>
        </w:tc>
        <w:tc>
          <w:tcPr>
            <w:tcW w:w="1775" w:type="pct"/>
          </w:tcPr>
          <w:p w14:paraId="4FBED17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w:t>
            </w:r>
          </w:p>
          <w:p w14:paraId="66770AE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-73 °C to +200 °C; &lt;10s</w:t>
            </w:r>
          </w:p>
          <w:p w14:paraId="7FE990E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Size and 0% RH details not provided in response</w:t>
            </w:r>
          </w:p>
        </w:tc>
      </w:tr>
      <w:tr w:rsidR="008204CA" w:rsidRPr="008204CA" w14:paraId="11D38CC0" w14:textId="77777777" w:rsidTr="008204CA">
        <w:tc>
          <w:tcPr>
            <w:cnfStyle w:val="001000000000" w:firstRow="0" w:lastRow="0" w:firstColumn="1" w:lastColumn="0" w:oddVBand="0" w:evenVBand="0" w:oddHBand="0" w:evenHBand="0" w:firstRowFirstColumn="0" w:firstRowLastColumn="0" w:lastRowFirstColumn="0" w:lastRowLastColumn="0"/>
            <w:tcW w:w="697" w:type="pct"/>
            <w:vMerge/>
          </w:tcPr>
          <w:p w14:paraId="0925B3D9" w14:textId="77777777" w:rsidR="008204CA" w:rsidRPr="008204CA" w:rsidRDefault="008204CA" w:rsidP="00405923">
            <w:pPr>
              <w:numPr>
                <w:ilvl w:val="0"/>
                <w:numId w:val="21"/>
              </w:numPr>
              <w:spacing w:before="60" w:after="60" w:line="200" w:lineRule="atLeast"/>
              <w:ind w:left="319" w:hanging="219"/>
              <w:rPr>
                <w:rFonts w:ascii="Century Gothic" w:hAnsi="Century Gothic"/>
                <w:iCs w:val="0"/>
                <w:sz w:val="18"/>
                <w:szCs w:val="18"/>
              </w:rPr>
            </w:pPr>
          </w:p>
        </w:tc>
        <w:tc>
          <w:tcPr>
            <w:tcW w:w="1184" w:type="pct"/>
            <w:vMerge/>
          </w:tcPr>
          <w:p w14:paraId="06713A2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344" w:type="pct"/>
          </w:tcPr>
          <w:p w14:paraId="40D0344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City QLD</w:t>
            </w:r>
          </w:p>
        </w:tc>
        <w:tc>
          <w:tcPr>
            <w:tcW w:w="1775" w:type="pct"/>
          </w:tcPr>
          <w:p w14:paraId="0E730A7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 – available to external customers</w:t>
            </w:r>
          </w:p>
          <w:p w14:paraId="6E64922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-80 °C to +220 °C</w:t>
            </w:r>
          </w:p>
          <w:p w14:paraId="2347BAB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Size and 0% RH details not provided in response</w:t>
            </w:r>
          </w:p>
        </w:tc>
      </w:tr>
    </w:tbl>
    <w:p w14:paraId="7BCB5C0A" w14:textId="77777777" w:rsidR="008204CA" w:rsidRPr="008204CA" w:rsidRDefault="008204CA" w:rsidP="008204CA">
      <w:pPr>
        <w:spacing w:before="0" w:after="160" w:line="259" w:lineRule="auto"/>
        <w:rPr>
          <w:rFonts w:ascii="Century Gothic" w:hAnsi="Century Gothic" w:cs="Arial"/>
          <w:iCs w:val="0"/>
          <w:sz w:val="22"/>
          <w:szCs w:val="22"/>
          <w:lang w:val="en-ZA"/>
        </w:rPr>
      </w:pPr>
    </w:p>
    <w:p w14:paraId="4396F7F9"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b/>
          <w:bCs/>
          <w:iCs w:val="0"/>
          <w:sz w:val="22"/>
          <w:szCs w:val="22"/>
          <w:lang w:val="en-ZA"/>
        </w:rPr>
        <w:t>Other thermal:</w:t>
      </w:r>
    </w:p>
    <w:p w14:paraId="11B3ED8B" w14:textId="77777777" w:rsidR="008204CA" w:rsidRPr="008204CA" w:rsidRDefault="008204CA" w:rsidP="00405923">
      <w:pPr>
        <w:numPr>
          <w:ilvl w:val="0"/>
          <w:numId w:val="25"/>
        </w:num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t>No TVAC with solar simulation in Australia</w:t>
      </w:r>
    </w:p>
    <w:p w14:paraId="3EAC980E" w14:textId="77777777" w:rsidR="008204CA" w:rsidRPr="008204CA" w:rsidRDefault="008204CA" w:rsidP="00405923">
      <w:pPr>
        <w:numPr>
          <w:ilvl w:val="0"/>
          <w:numId w:val="25"/>
        </w:num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t>Vacuum bake-out: can be performed in any thermally controlled, clean TVAC chamber</w:t>
      </w:r>
    </w:p>
    <w:p w14:paraId="7E523184" w14:textId="77777777" w:rsidR="008204CA" w:rsidRPr="008204CA" w:rsidRDefault="008204CA" w:rsidP="00405923">
      <w:pPr>
        <w:numPr>
          <w:ilvl w:val="0"/>
          <w:numId w:val="25"/>
        </w:num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t>Cryogenic TVAC: possible at the AITC &amp; DSTG Edinburgh</w:t>
      </w:r>
    </w:p>
    <w:p w14:paraId="32428C64" w14:textId="77777777" w:rsidR="008204CA" w:rsidRPr="008204CA" w:rsidRDefault="008204CA" w:rsidP="00405923">
      <w:pPr>
        <w:numPr>
          <w:ilvl w:val="0"/>
          <w:numId w:val="25"/>
        </w:num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t>Cryogenic TVAC Optical: possible at the AITC</w:t>
      </w:r>
    </w:p>
    <w:p w14:paraId="3E10A07C"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5000" w:type="pct"/>
        <w:tblLook w:val="04A0" w:firstRow="1" w:lastRow="0" w:firstColumn="1" w:lastColumn="0" w:noHBand="0" w:noVBand="1"/>
      </w:tblPr>
      <w:tblGrid>
        <w:gridCol w:w="2181"/>
        <w:gridCol w:w="2929"/>
        <w:gridCol w:w="3532"/>
        <w:gridCol w:w="5306"/>
      </w:tblGrid>
      <w:tr w:rsidR="008204CA" w:rsidRPr="008204CA" w14:paraId="5B9CD881"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1EE98BD1"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00A59171"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Tests</w:t>
            </w:r>
          </w:p>
        </w:tc>
        <w:tc>
          <w:tcPr>
            <w:tcW w:w="0" w:type="pct"/>
          </w:tcPr>
          <w:p w14:paraId="6AC95E96"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4A3E85B9"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26DC3466" w14:textId="77777777" w:rsidTr="008204CA">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82" w:type="pct"/>
            <w:vMerge w:val="restart"/>
          </w:tcPr>
          <w:p w14:paraId="2B2AC5F3" w14:textId="77777777" w:rsidR="008204CA" w:rsidRPr="008204CA" w:rsidRDefault="008204CA" w:rsidP="008204CA">
            <w:pPr>
              <w:tabs>
                <w:tab w:val="left" w:pos="346"/>
              </w:tabs>
              <w:spacing w:before="0" w:after="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EMC test</w:t>
            </w:r>
            <w:r w:rsidRPr="008204CA">
              <w:rPr>
                <w:rFonts w:ascii="Century Gothic" w:hAnsi="Century Gothic"/>
                <w:iCs w:val="0"/>
                <w:color w:val="000000"/>
                <w:szCs w:val="20"/>
              </w:rPr>
              <w:t>s</w:t>
            </w:r>
          </w:p>
        </w:tc>
        <w:tc>
          <w:tcPr>
            <w:tcW w:w="1050" w:type="pct"/>
            <w:vMerge w:val="restart"/>
          </w:tcPr>
          <w:p w14:paraId="22F8C323"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Conducted &amp; radiated interference</w:t>
            </w:r>
          </w:p>
          <w:p w14:paraId="3C62D09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Conducted &amp; radiated susceptibility</w:t>
            </w:r>
          </w:p>
          <w:p w14:paraId="35E9C1A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Self-compatibility</w:t>
            </w:r>
          </w:p>
          <w:p w14:paraId="63B7A485" w14:textId="77777777" w:rsidR="008204CA" w:rsidRPr="008204CA" w:rsidRDefault="008204CA" w:rsidP="00405923">
            <w:pPr>
              <w:numPr>
                <w:ilvl w:val="0"/>
                <w:numId w:val="21"/>
              </w:numPr>
              <w:spacing w:before="0" w:after="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launch providers for secondary payloads (spacecraft are OFF at launch with several safety inhibits)</w:t>
            </w:r>
          </w:p>
          <w:p w14:paraId="172F75A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Required for primary payloads if ON at launch</w:t>
            </w:r>
          </w:p>
          <w:p w14:paraId="12C0903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Commercially available anechoic chamber with RF test equipment for MIL-STD and communications testing</w:t>
            </w:r>
          </w:p>
          <w:p w14:paraId="006A131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Screened room (Faraday cage) or anechoic chamber</w:t>
            </w:r>
          </w:p>
          <w:p w14:paraId="006BCD5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Basic system self-compatibility testing can be undertaken in a lab environment, but a clean RF environment is better</w:t>
            </w:r>
          </w:p>
        </w:tc>
        <w:tc>
          <w:tcPr>
            <w:tcW w:w="1266" w:type="pct"/>
          </w:tcPr>
          <w:p w14:paraId="42B0ACD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APC Technology, Cheltenham, SA</w:t>
            </w:r>
          </w:p>
        </w:tc>
        <w:tc>
          <w:tcPr>
            <w:tcW w:w="1902" w:type="pct"/>
          </w:tcPr>
          <w:p w14:paraId="0EE28DB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Hardware developer with facilities for in-house testing not generally available to external users</w:t>
            </w:r>
          </w:p>
          <w:p w14:paraId="2463E1D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pyramidal absorber; 1-4GHz</w:t>
            </w:r>
          </w:p>
        </w:tc>
      </w:tr>
      <w:tr w:rsidR="008204CA" w:rsidRPr="008204CA" w14:paraId="39F47D6C" w14:textId="77777777" w:rsidTr="008204CA">
        <w:trPr>
          <w:trHeight w:val="732"/>
        </w:trPr>
        <w:tc>
          <w:tcPr>
            <w:cnfStyle w:val="001000000000" w:firstRow="0" w:lastRow="0" w:firstColumn="1" w:lastColumn="0" w:oddVBand="0" w:evenVBand="0" w:oddHBand="0" w:evenHBand="0" w:firstRowFirstColumn="0" w:firstRowLastColumn="0" w:lastRowFirstColumn="0" w:lastRowLastColumn="0"/>
            <w:tcW w:w="782" w:type="pct"/>
            <w:vMerge/>
          </w:tcPr>
          <w:p w14:paraId="68D2FC7A"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012CC2D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66" w:type="pct"/>
          </w:tcPr>
          <w:p w14:paraId="2D3B88E0"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1902" w:type="pct"/>
          </w:tcPr>
          <w:p w14:paraId="5FFEB9E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facility established for space testing</w:t>
            </w:r>
          </w:p>
          <w:p w14:paraId="4A2E2DDE"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4m x 3m semi-anechoic chamber 30MHz-18GHz Very limited (uncalibrated) test equipment</w:t>
            </w:r>
          </w:p>
          <w:p w14:paraId="68A26B1F"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513F1CC4" w14:textId="77777777" w:rsidTr="008204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82" w:type="pct"/>
            <w:vMerge/>
          </w:tcPr>
          <w:p w14:paraId="737C670E"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068A879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66" w:type="pct"/>
          </w:tcPr>
          <w:p w14:paraId="0B8056F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1902" w:type="pct"/>
            <w:vMerge w:val="restart"/>
          </w:tcPr>
          <w:p w14:paraId="5594200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hose</w:t>
            </w:r>
          </w:p>
          <w:p w14:paraId="2E9DD3D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 semi-anechoic chambers and screened rooms across all sites</w:t>
            </w:r>
          </w:p>
          <w:p w14:paraId="77D5698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w:t>
            </w:r>
          </w:p>
        </w:tc>
      </w:tr>
      <w:tr w:rsidR="008204CA" w:rsidRPr="008204CA" w14:paraId="3CD2A616" w14:textId="77777777" w:rsidTr="008204CA">
        <w:trPr>
          <w:trHeight w:val="225"/>
        </w:trPr>
        <w:tc>
          <w:tcPr>
            <w:cnfStyle w:val="001000000000" w:firstRow="0" w:lastRow="0" w:firstColumn="1" w:lastColumn="0" w:oddVBand="0" w:evenVBand="0" w:oddHBand="0" w:evenHBand="0" w:firstRowFirstColumn="0" w:firstRowLastColumn="0" w:lastRowFirstColumn="0" w:lastRowLastColumn="0"/>
            <w:tcW w:w="782" w:type="pct"/>
            <w:vMerge/>
          </w:tcPr>
          <w:p w14:paraId="7D3F5D3F"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02E9361F"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66" w:type="pct"/>
          </w:tcPr>
          <w:p w14:paraId="47CDFD0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1902" w:type="pct"/>
            <w:vMerge/>
          </w:tcPr>
          <w:p w14:paraId="4470F77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40D06B74" w14:textId="77777777" w:rsidTr="008204C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2" w:type="pct"/>
            <w:vMerge/>
          </w:tcPr>
          <w:p w14:paraId="783A7E9E"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7718716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66" w:type="pct"/>
          </w:tcPr>
          <w:p w14:paraId="7FC4508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Para Hills West, SA</w:t>
            </w:r>
          </w:p>
        </w:tc>
        <w:tc>
          <w:tcPr>
            <w:tcW w:w="1902" w:type="pct"/>
            <w:vMerge/>
          </w:tcPr>
          <w:p w14:paraId="2951C3C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5F28F97E" w14:textId="77777777" w:rsidTr="008204CA">
        <w:trPr>
          <w:trHeight w:val="225"/>
        </w:trPr>
        <w:tc>
          <w:tcPr>
            <w:cnfStyle w:val="001000000000" w:firstRow="0" w:lastRow="0" w:firstColumn="1" w:lastColumn="0" w:oddVBand="0" w:evenVBand="0" w:oddHBand="0" w:evenHBand="0" w:firstRowFirstColumn="0" w:firstRowLastColumn="0" w:lastRowFirstColumn="0" w:lastRowLastColumn="0"/>
            <w:tcW w:w="782" w:type="pct"/>
            <w:vMerge/>
          </w:tcPr>
          <w:p w14:paraId="16B729E5"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0BCEE720"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66" w:type="pct"/>
          </w:tcPr>
          <w:p w14:paraId="1B855B31"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City QLD</w:t>
            </w:r>
          </w:p>
        </w:tc>
        <w:tc>
          <w:tcPr>
            <w:tcW w:w="1902" w:type="pct"/>
          </w:tcPr>
          <w:p w14:paraId="660832DA"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 – available to external customers</w:t>
            </w:r>
          </w:p>
          <w:p w14:paraId="6393BD0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 semi-anechoic chamber</w:t>
            </w:r>
          </w:p>
          <w:p w14:paraId="35C845C2"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7F25D12C" w14:textId="77777777" w:rsidTr="008204C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782" w:type="pct"/>
            <w:vMerge/>
          </w:tcPr>
          <w:p w14:paraId="41F844B2"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6C70260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66" w:type="pct"/>
          </w:tcPr>
          <w:p w14:paraId="25707BD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CEA Technology, Fyshwick ACT</w:t>
            </w:r>
          </w:p>
        </w:tc>
        <w:tc>
          <w:tcPr>
            <w:tcW w:w="1902" w:type="pct"/>
          </w:tcPr>
          <w:p w14:paraId="674BCD1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Industry specialist providing RF systems to US defence.</w:t>
            </w:r>
          </w:p>
          <w:p w14:paraId="620780A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Known to have in-house test facilities.</w:t>
            </w:r>
          </w:p>
          <w:p w14:paraId="54DEB72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Did not respond to request for information</w:t>
            </w:r>
          </w:p>
        </w:tc>
      </w:tr>
      <w:tr w:rsidR="008204CA" w:rsidRPr="008204CA" w14:paraId="3249773A" w14:textId="77777777" w:rsidTr="008204CA">
        <w:trPr>
          <w:trHeight w:val="132"/>
        </w:trPr>
        <w:tc>
          <w:tcPr>
            <w:cnfStyle w:val="001000000000" w:firstRow="0" w:lastRow="0" w:firstColumn="1" w:lastColumn="0" w:oddVBand="0" w:evenVBand="0" w:oddHBand="0" w:evenHBand="0" w:firstRowFirstColumn="0" w:firstRowLastColumn="0" w:lastRowFirstColumn="0" w:lastRowLastColumn="0"/>
            <w:tcW w:w="782" w:type="pct"/>
            <w:vMerge/>
          </w:tcPr>
          <w:p w14:paraId="68D67C0B"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0761A3F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66" w:type="pct"/>
          </w:tcPr>
          <w:p w14:paraId="47DBF8C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Compliance Engineering, Keysborough VIC</w:t>
            </w:r>
          </w:p>
        </w:tc>
        <w:tc>
          <w:tcPr>
            <w:tcW w:w="1902" w:type="pct"/>
          </w:tcPr>
          <w:p w14:paraId="5CE386B0"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w:t>
            </w:r>
          </w:p>
          <w:p w14:paraId="1FB3081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0DA11A1C" w14:textId="77777777" w:rsidTr="008204CA">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782" w:type="pct"/>
            <w:vMerge/>
          </w:tcPr>
          <w:p w14:paraId="476FB9FF"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243F41E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66" w:type="pct"/>
          </w:tcPr>
          <w:p w14:paraId="29CF313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CSIRO, Marsfield NSW</w:t>
            </w:r>
          </w:p>
        </w:tc>
        <w:tc>
          <w:tcPr>
            <w:tcW w:w="1902" w:type="pct"/>
          </w:tcPr>
          <w:p w14:paraId="0C9F50E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specialising in RF communications</w:t>
            </w:r>
          </w:p>
          <w:p w14:paraId="56EFDD4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Anechoic chambers 700Mhx to 200GHz</w:t>
            </w:r>
          </w:p>
          <w:p w14:paraId="4B07BB9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10m x 6m x 4.5m Far-field anechoic chamber; 1-200GHz; 50kg 8m x 6m x 5m Near-field anechoic chamber; 0.75 – 60GHz; 200kg</w:t>
            </w:r>
          </w:p>
          <w:p w14:paraId="02B4537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Assume full suite of test equipment</w:t>
            </w:r>
          </w:p>
          <w:p w14:paraId="5AF1E9BF"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Laboratory environment</w:t>
            </w:r>
          </w:p>
        </w:tc>
      </w:tr>
      <w:tr w:rsidR="008204CA" w:rsidRPr="008204CA" w14:paraId="1AECFE63" w14:textId="77777777" w:rsidTr="008204CA">
        <w:trPr>
          <w:trHeight w:val="848"/>
        </w:trPr>
        <w:tc>
          <w:tcPr>
            <w:cnfStyle w:val="001000000000" w:firstRow="0" w:lastRow="0" w:firstColumn="1" w:lastColumn="0" w:oddVBand="0" w:evenVBand="0" w:oddHBand="0" w:evenHBand="0" w:firstRowFirstColumn="0" w:firstRowLastColumn="0" w:lastRowFirstColumn="0" w:lastRowLastColumn="0"/>
            <w:tcW w:w="782" w:type="pct"/>
            <w:vMerge/>
          </w:tcPr>
          <w:p w14:paraId="787366DB"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050" w:type="pct"/>
            <w:vMerge/>
          </w:tcPr>
          <w:p w14:paraId="7E3DD2B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66" w:type="pct"/>
          </w:tcPr>
          <w:p w14:paraId="24C9E41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DSTG, Edinburgh SA</w:t>
            </w:r>
          </w:p>
        </w:tc>
        <w:tc>
          <w:tcPr>
            <w:tcW w:w="1902" w:type="pct"/>
          </w:tcPr>
          <w:p w14:paraId="70401AF2"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 payloads</w:t>
            </w:r>
          </w:p>
          <w:p w14:paraId="6656B8E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 anechoic chamber</w:t>
            </w:r>
          </w:p>
          <w:p w14:paraId="27FFC9C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10E7D1B1" w14:textId="77777777" w:rsidR="008204CA" w:rsidRPr="008204CA" w:rsidRDefault="008204CA" w:rsidP="008204CA">
      <w:pPr>
        <w:spacing w:before="0" w:after="160" w:line="259" w:lineRule="auto"/>
        <w:rPr>
          <w:rFonts w:ascii="Century Gothic" w:hAnsi="Century Gothic" w:cs="Arial"/>
          <w:iCs w:val="0"/>
          <w:sz w:val="22"/>
          <w:szCs w:val="22"/>
          <w:lang w:val="en-ZA"/>
        </w:rPr>
      </w:pPr>
    </w:p>
    <w:p w14:paraId="28642FD8"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78" w:type="pct"/>
        <w:tblLook w:val="04A0" w:firstRow="1" w:lastRow="0" w:firstColumn="1" w:lastColumn="0" w:noHBand="0" w:noVBand="1"/>
      </w:tblPr>
      <w:tblGrid>
        <w:gridCol w:w="2263"/>
        <w:gridCol w:w="2836"/>
        <w:gridCol w:w="3544"/>
        <w:gridCol w:w="5244"/>
      </w:tblGrid>
      <w:tr w:rsidR="008204CA" w:rsidRPr="008204CA" w14:paraId="69287EC8"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268C4251"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6DD8F6E3"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37845E06"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6C17D3E2"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7FA8EAC9" w14:textId="77777777" w:rsidTr="008204C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15" w:type="pct"/>
            <w:vMerge w:val="restart"/>
          </w:tcPr>
          <w:p w14:paraId="5194BE42" w14:textId="77777777" w:rsidR="008204CA" w:rsidRPr="008204CA" w:rsidRDefault="008204CA" w:rsidP="008204CA">
            <w:pPr>
              <w:tabs>
                <w:tab w:val="left" w:pos="346"/>
              </w:tabs>
              <w:spacing w:before="60" w:after="60" w:line="240" w:lineRule="auto"/>
              <w:rPr>
                <w:rFonts w:ascii="Century Gothic" w:hAnsi="Century Gothic"/>
                <w:iCs w:val="0"/>
                <w:sz w:val="18"/>
                <w:szCs w:val="18"/>
              </w:rPr>
            </w:pPr>
            <w:r w:rsidRPr="008204CA">
              <w:rPr>
                <w:rFonts w:ascii="Century Gothic" w:hAnsi="Century Gothic"/>
                <w:iCs w:val="0"/>
                <w:color w:val="000000"/>
                <w:szCs w:val="20"/>
              </w:rPr>
              <w:t>EMC tests</w:t>
            </w:r>
          </w:p>
        </w:tc>
        <w:tc>
          <w:tcPr>
            <w:tcW w:w="1021" w:type="pct"/>
            <w:vMerge w:val="restart"/>
          </w:tcPr>
          <w:p w14:paraId="5253D0A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Conducted &amp; radiated interference</w:t>
            </w:r>
          </w:p>
          <w:p w14:paraId="7477847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Conducted &amp; radiated susceptibility</w:t>
            </w:r>
          </w:p>
          <w:p w14:paraId="2822544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Self-compatibility</w:t>
            </w:r>
          </w:p>
          <w:p w14:paraId="4807E95B" w14:textId="77777777" w:rsidR="008204CA" w:rsidRPr="008204CA" w:rsidRDefault="008204CA" w:rsidP="00405923">
            <w:pPr>
              <w:numPr>
                <w:ilvl w:val="0"/>
                <w:numId w:val="21"/>
              </w:numPr>
              <w:spacing w:before="0" w:after="0" w:line="259" w:lineRule="auto"/>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required by launch providers for secondary payloads (spacecraft are OFF at launch with several safety inhibits)</w:t>
            </w:r>
          </w:p>
          <w:p w14:paraId="72901F6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Required for primary payloads if ON at launch</w:t>
            </w:r>
          </w:p>
          <w:p w14:paraId="1E126A7F"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Commercially available anechoic chamber with RF test equipment for MIL-STD and communications testing</w:t>
            </w:r>
          </w:p>
          <w:p w14:paraId="438C522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Screened room (Faraday cage) or anechoic chamber</w:t>
            </w:r>
          </w:p>
          <w:p w14:paraId="79381E4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Basic system self-compatibility testing can be undertaken in a lab environment, but a clean RF environment is better</w:t>
            </w:r>
          </w:p>
        </w:tc>
        <w:tc>
          <w:tcPr>
            <w:tcW w:w="1276" w:type="pct"/>
          </w:tcPr>
          <w:p w14:paraId="78EE2C2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Technologies, Seven Hills NSW</w:t>
            </w:r>
          </w:p>
        </w:tc>
        <w:tc>
          <w:tcPr>
            <w:tcW w:w="1888" w:type="pct"/>
            <w:vMerge w:val="restart"/>
          </w:tcPr>
          <w:p w14:paraId="6421EF4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 specialising in EMC testing</w:t>
            </w:r>
          </w:p>
          <w:p w14:paraId="04E629E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10m &amp; 3m semi-anechoic chambers and shielded rooms at each site</w:t>
            </w:r>
          </w:p>
          <w:p w14:paraId="0CE3317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9kHz-40GHz range</w:t>
            </w:r>
          </w:p>
          <w:p w14:paraId="02EE00FF"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Full suite of test equipment available, NATA traceable</w:t>
            </w:r>
          </w:p>
        </w:tc>
      </w:tr>
      <w:tr w:rsidR="008204CA" w:rsidRPr="008204CA" w14:paraId="157C8643" w14:textId="77777777" w:rsidTr="008204CA">
        <w:trPr>
          <w:trHeight w:val="286"/>
        </w:trPr>
        <w:tc>
          <w:tcPr>
            <w:cnfStyle w:val="001000000000" w:firstRow="0" w:lastRow="0" w:firstColumn="1" w:lastColumn="0" w:oddVBand="0" w:evenVBand="0" w:oddHBand="0" w:evenHBand="0" w:firstRowFirstColumn="0" w:firstRowLastColumn="0" w:lastRowFirstColumn="0" w:lastRowLastColumn="0"/>
            <w:tcW w:w="815" w:type="pct"/>
            <w:vMerge/>
          </w:tcPr>
          <w:p w14:paraId="0E440B0C"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1" w:type="pct"/>
            <w:vMerge/>
          </w:tcPr>
          <w:p w14:paraId="636896A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76" w:type="pct"/>
          </w:tcPr>
          <w:p w14:paraId="3E68C04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Technologies, Croydon South VIC</w:t>
            </w:r>
          </w:p>
        </w:tc>
        <w:tc>
          <w:tcPr>
            <w:tcW w:w="1888" w:type="pct"/>
            <w:vMerge/>
          </w:tcPr>
          <w:p w14:paraId="53A5AA21" w14:textId="77777777" w:rsidR="008204CA" w:rsidRPr="008204CA" w:rsidRDefault="008204CA" w:rsidP="00405923">
            <w:pPr>
              <w:numPr>
                <w:ilvl w:val="0"/>
                <w:numId w:val="21"/>
              </w:numPr>
              <w:spacing w:before="60" w:after="60" w:line="200" w:lineRule="atLeast"/>
              <w:ind w:left="319"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63928CB8" w14:textId="77777777" w:rsidTr="008204C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815" w:type="pct"/>
            <w:vMerge/>
          </w:tcPr>
          <w:p w14:paraId="65377CBF"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1" w:type="pct"/>
            <w:vMerge/>
          </w:tcPr>
          <w:p w14:paraId="1CB9A55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76" w:type="pct"/>
          </w:tcPr>
          <w:p w14:paraId="1909FC4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Technologies, Keilor Park, VIC</w:t>
            </w:r>
          </w:p>
        </w:tc>
        <w:tc>
          <w:tcPr>
            <w:tcW w:w="1888" w:type="pct"/>
            <w:vMerge/>
          </w:tcPr>
          <w:p w14:paraId="2F1F6C8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307B47D8" w14:textId="77777777" w:rsidTr="008204CA">
        <w:trPr>
          <w:trHeight w:val="595"/>
        </w:trPr>
        <w:tc>
          <w:tcPr>
            <w:cnfStyle w:val="001000000000" w:firstRow="0" w:lastRow="0" w:firstColumn="1" w:lastColumn="0" w:oddVBand="0" w:evenVBand="0" w:oddHBand="0" w:evenHBand="0" w:firstRowFirstColumn="0" w:firstRowLastColumn="0" w:lastRowFirstColumn="0" w:lastRowLastColumn="0"/>
            <w:tcW w:w="815" w:type="pct"/>
            <w:vMerge/>
          </w:tcPr>
          <w:p w14:paraId="082D525A"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1" w:type="pct"/>
            <w:vMerge/>
          </w:tcPr>
          <w:p w14:paraId="4DBD029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76" w:type="pct"/>
          </w:tcPr>
          <w:p w14:paraId="67182D2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Flight Data Systems, Keilor Park VIC</w:t>
            </w:r>
          </w:p>
        </w:tc>
        <w:tc>
          <w:tcPr>
            <w:tcW w:w="1888" w:type="pct"/>
          </w:tcPr>
          <w:p w14:paraId="2589C92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Military/Civil aircraft equipment supplier with in-house test capability</w:t>
            </w:r>
          </w:p>
          <w:p w14:paraId="31F7952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facility for MIL-STD testing under development</w:t>
            </w:r>
          </w:p>
          <w:p w14:paraId="022279F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p w14:paraId="7FAD254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Lab environment</w:t>
            </w:r>
          </w:p>
        </w:tc>
      </w:tr>
      <w:tr w:rsidR="008204CA" w:rsidRPr="008204CA" w14:paraId="41538F49" w14:textId="77777777" w:rsidTr="008204C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815" w:type="pct"/>
            <w:vMerge/>
          </w:tcPr>
          <w:p w14:paraId="04800569"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1" w:type="pct"/>
            <w:vMerge/>
          </w:tcPr>
          <w:p w14:paraId="3E5C3BC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76" w:type="pct"/>
          </w:tcPr>
          <w:p w14:paraId="736D0DD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Adelaide, Adelaide SA</w:t>
            </w:r>
          </w:p>
        </w:tc>
        <w:tc>
          <w:tcPr>
            <w:tcW w:w="1888" w:type="pct"/>
          </w:tcPr>
          <w:p w14:paraId="39B8C9D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specialising in dynamics and vibro-acoustics</w:t>
            </w:r>
          </w:p>
          <w:p w14:paraId="0123598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Semi-anechoic chamber</w:t>
            </w:r>
          </w:p>
          <w:p w14:paraId="442E5A8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7BD07435" w14:textId="77777777" w:rsidTr="008204CA">
        <w:trPr>
          <w:trHeight w:val="1289"/>
        </w:trPr>
        <w:tc>
          <w:tcPr>
            <w:cnfStyle w:val="001000000000" w:firstRow="0" w:lastRow="0" w:firstColumn="1" w:lastColumn="0" w:oddVBand="0" w:evenVBand="0" w:oddHBand="0" w:evenHBand="0" w:firstRowFirstColumn="0" w:firstRowLastColumn="0" w:lastRowFirstColumn="0" w:lastRowLastColumn="0"/>
            <w:tcW w:w="815" w:type="pct"/>
            <w:vMerge/>
          </w:tcPr>
          <w:p w14:paraId="3DACC933"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1" w:type="pct"/>
            <w:vMerge/>
          </w:tcPr>
          <w:p w14:paraId="28AF6FA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76" w:type="pct"/>
          </w:tcPr>
          <w:p w14:paraId="6D5B80D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Technology Sydney, Ultimo NSW</w:t>
            </w:r>
          </w:p>
        </w:tc>
        <w:tc>
          <w:tcPr>
            <w:tcW w:w="1888" w:type="pct"/>
          </w:tcPr>
          <w:p w14:paraId="6A6A4E6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w:t>
            </w:r>
          </w:p>
          <w:p w14:paraId="0B4FD74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Mini-compact anechoic chamber 750MHz to 50 GHz</w:t>
            </w:r>
          </w:p>
          <w:p w14:paraId="1101DE24"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 anechoic chamber</w:t>
            </w:r>
          </w:p>
          <w:p w14:paraId="0FB3B26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0706FE15"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78" w:type="pct"/>
        <w:tblLook w:val="04A0" w:firstRow="1" w:lastRow="0" w:firstColumn="1" w:lastColumn="0" w:noHBand="0" w:noVBand="1"/>
      </w:tblPr>
      <w:tblGrid>
        <w:gridCol w:w="2265"/>
        <w:gridCol w:w="2834"/>
        <w:gridCol w:w="3544"/>
        <w:gridCol w:w="5244"/>
      </w:tblGrid>
      <w:tr w:rsidR="008204CA" w:rsidRPr="008204CA" w14:paraId="2734EAC1" w14:textId="77777777" w:rsidTr="008204CA">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0" w:type="pct"/>
            <w:vAlign w:val="center"/>
          </w:tcPr>
          <w:p w14:paraId="324E239A" w14:textId="77777777" w:rsidR="008204CA" w:rsidRPr="008204CA" w:rsidRDefault="008204CA" w:rsidP="008204CA">
            <w:pPr>
              <w:tabs>
                <w:tab w:val="left" w:pos="346"/>
              </w:tabs>
              <w:spacing w:before="60" w:after="60" w:line="240" w:lineRule="auto"/>
              <w:ind w:left="100"/>
              <w:jc w:val="center"/>
              <w:rPr>
                <w:rFonts w:ascii="Century Gothic" w:hAnsi="Century Gothic"/>
                <w:iCs w:val="0"/>
                <w:sz w:val="18"/>
                <w:szCs w:val="18"/>
                <w:lang w:eastAsia="en-AU"/>
              </w:rPr>
            </w:pPr>
            <w:r w:rsidRPr="008204CA">
              <w:rPr>
                <w:rFonts w:ascii="Century Gothic" w:hAnsi="Century Gothic"/>
                <w:iCs w:val="0"/>
                <w:sz w:val="18"/>
                <w:szCs w:val="18"/>
              </w:rPr>
              <w:lastRenderedPageBreak/>
              <w:t>Class</w:t>
            </w:r>
          </w:p>
        </w:tc>
        <w:tc>
          <w:tcPr>
            <w:tcW w:w="0" w:type="pct"/>
            <w:vAlign w:val="center"/>
          </w:tcPr>
          <w:p w14:paraId="7AB898B8"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Test</w:t>
            </w:r>
          </w:p>
        </w:tc>
        <w:tc>
          <w:tcPr>
            <w:tcW w:w="0" w:type="pct"/>
            <w:vAlign w:val="center"/>
          </w:tcPr>
          <w:p w14:paraId="16C7B984"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Identified Facilities</w:t>
            </w:r>
          </w:p>
        </w:tc>
        <w:tc>
          <w:tcPr>
            <w:tcW w:w="0" w:type="pct"/>
            <w:vAlign w:val="center"/>
          </w:tcPr>
          <w:p w14:paraId="0724BB5F"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Facility Capability</w:t>
            </w:r>
          </w:p>
        </w:tc>
      </w:tr>
      <w:tr w:rsidR="008204CA" w:rsidRPr="008204CA" w14:paraId="28FE807B" w14:textId="77777777" w:rsidTr="008204C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815" w:type="pct"/>
            <w:vMerge w:val="restart"/>
          </w:tcPr>
          <w:p w14:paraId="341EAD47" w14:textId="77777777" w:rsidR="008204CA" w:rsidRPr="008204CA" w:rsidRDefault="008204CA" w:rsidP="008204CA">
            <w:pPr>
              <w:tabs>
                <w:tab w:val="left" w:pos="346"/>
              </w:tabs>
              <w:spacing w:before="60" w:after="60" w:line="240" w:lineRule="auto"/>
              <w:rPr>
                <w:rFonts w:ascii="Century Gothic" w:hAnsi="Century Gothic"/>
                <w:iCs w:val="0"/>
                <w:sz w:val="18"/>
                <w:szCs w:val="18"/>
              </w:rPr>
            </w:pPr>
            <w:r w:rsidRPr="008204CA">
              <w:rPr>
                <w:rFonts w:ascii="Century Gothic" w:hAnsi="Century Gothic"/>
                <w:iCs w:val="0"/>
                <w:color w:val="000000"/>
                <w:szCs w:val="20"/>
              </w:rPr>
              <w:t>RF testing</w:t>
            </w:r>
          </w:p>
        </w:tc>
        <w:tc>
          <w:tcPr>
            <w:tcW w:w="1020" w:type="pct"/>
            <w:vMerge w:val="restart"/>
          </w:tcPr>
          <w:p w14:paraId="17EA5B5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Antenna performance characterization &amp; test</w:t>
            </w:r>
          </w:p>
          <w:p w14:paraId="14BF6E6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RF subsystems characterisation</w:t>
            </w:r>
          </w:p>
          <w:p w14:paraId="0EFA3B2F"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Near and far field RF communication performance</w:t>
            </w:r>
          </w:p>
          <w:p w14:paraId="30BD398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Ground segment subset (laboratory tests)</w:t>
            </w:r>
          </w:p>
          <w:p w14:paraId="66553733"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Ground station - spacecraft (in-the-field) communications checks</w:t>
            </w:r>
          </w:p>
          <w:p w14:paraId="6E33981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Very useful for developers of spacecraft communication systems</w:t>
            </w:r>
          </w:p>
          <w:p w14:paraId="4C5E67C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Communications faults are a major cause of CubeSat mission failure</w:t>
            </w:r>
          </w:p>
          <w:p w14:paraId="5CC0D4D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Critical for end-to-end testing of spacecraft-ground station communications link</w:t>
            </w:r>
          </w:p>
          <w:p w14:paraId="6CB27D91"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Equipment generally specific to user and developed in-house.  </w:t>
            </w:r>
          </w:p>
          <w:p w14:paraId="168823BB"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Generic test capability probably not worthwhile</w:t>
            </w:r>
          </w:p>
        </w:tc>
        <w:tc>
          <w:tcPr>
            <w:tcW w:w="1276" w:type="pct"/>
          </w:tcPr>
          <w:p w14:paraId="7FCF80B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As per EMC testing</w:t>
            </w:r>
          </w:p>
        </w:tc>
        <w:tc>
          <w:tcPr>
            <w:tcW w:w="1888" w:type="pct"/>
          </w:tcPr>
          <w:p w14:paraId="568AE19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As per EMC testing </w:t>
            </w:r>
          </w:p>
        </w:tc>
      </w:tr>
      <w:tr w:rsidR="008204CA" w:rsidRPr="008204CA" w14:paraId="60F5BE62" w14:textId="77777777" w:rsidTr="008204CA">
        <w:trPr>
          <w:trHeight w:val="595"/>
        </w:trPr>
        <w:tc>
          <w:tcPr>
            <w:cnfStyle w:val="001000000000" w:firstRow="0" w:lastRow="0" w:firstColumn="1" w:lastColumn="0" w:oddVBand="0" w:evenVBand="0" w:oddHBand="0" w:evenHBand="0" w:firstRowFirstColumn="0" w:firstRowLastColumn="0" w:lastRowFirstColumn="0" w:lastRowLastColumn="0"/>
            <w:tcW w:w="815" w:type="pct"/>
            <w:vMerge/>
          </w:tcPr>
          <w:p w14:paraId="4693C1DB"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0" w:type="pct"/>
            <w:vMerge/>
          </w:tcPr>
          <w:p w14:paraId="2D80B9DD" w14:textId="77777777" w:rsidR="008204CA" w:rsidRPr="008204CA" w:rsidRDefault="008204CA" w:rsidP="00405923">
            <w:pPr>
              <w:numPr>
                <w:ilvl w:val="0"/>
                <w:numId w:val="21"/>
              </w:numPr>
              <w:spacing w:before="60" w:after="60" w:line="200" w:lineRule="atLeast"/>
              <w:ind w:left="319" w:hanging="219"/>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76" w:type="pct"/>
          </w:tcPr>
          <w:p w14:paraId="3E671BD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w:t>
            </w:r>
          </w:p>
        </w:tc>
        <w:tc>
          <w:tcPr>
            <w:tcW w:w="1888" w:type="pct"/>
          </w:tcPr>
          <w:p w14:paraId="14A2F42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Open-area RF test site Adelaide Hills</w:t>
            </w:r>
          </w:p>
          <w:p w14:paraId="4A7E0E4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10m outdoor test site Yarramalong NSW</w:t>
            </w:r>
          </w:p>
        </w:tc>
      </w:tr>
      <w:tr w:rsidR="008204CA" w:rsidRPr="008204CA" w14:paraId="4F4DCA53" w14:textId="77777777" w:rsidTr="008204CA">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815" w:type="pct"/>
            <w:vMerge/>
          </w:tcPr>
          <w:p w14:paraId="4E95AF96"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020" w:type="pct"/>
            <w:vMerge/>
          </w:tcPr>
          <w:p w14:paraId="5F7DDC3D" w14:textId="77777777" w:rsidR="008204CA" w:rsidRPr="008204CA" w:rsidRDefault="008204CA" w:rsidP="00405923">
            <w:pPr>
              <w:numPr>
                <w:ilvl w:val="0"/>
                <w:numId w:val="21"/>
              </w:numPr>
              <w:spacing w:before="60" w:after="6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76" w:type="pct"/>
          </w:tcPr>
          <w:p w14:paraId="7A770CB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EMC Technologies</w:t>
            </w:r>
          </w:p>
        </w:tc>
        <w:tc>
          <w:tcPr>
            <w:tcW w:w="1888" w:type="pct"/>
          </w:tcPr>
          <w:p w14:paraId="442EB7C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10-30m outdoor RF test site, Colovale NSW</w:t>
            </w:r>
          </w:p>
        </w:tc>
      </w:tr>
    </w:tbl>
    <w:p w14:paraId="7657BB59"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5000" w:type="pct"/>
        <w:tblLook w:val="04A0" w:firstRow="1" w:lastRow="0" w:firstColumn="1" w:lastColumn="0" w:noHBand="0" w:noVBand="1"/>
      </w:tblPr>
      <w:tblGrid>
        <w:gridCol w:w="2122"/>
        <w:gridCol w:w="3543"/>
        <w:gridCol w:w="2977"/>
        <w:gridCol w:w="5306"/>
      </w:tblGrid>
      <w:tr w:rsidR="008204CA" w:rsidRPr="008204CA" w14:paraId="30A89B41" w14:textId="77777777" w:rsidTr="008204CA">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0" w:type="pct"/>
            <w:vAlign w:val="center"/>
          </w:tcPr>
          <w:p w14:paraId="1EBB4670" w14:textId="77777777" w:rsidR="008204CA" w:rsidRPr="008204CA" w:rsidRDefault="008204CA" w:rsidP="008204CA">
            <w:pPr>
              <w:tabs>
                <w:tab w:val="left" w:pos="346"/>
              </w:tabs>
              <w:spacing w:before="60" w:after="60" w:line="240" w:lineRule="auto"/>
              <w:ind w:left="100"/>
              <w:jc w:val="center"/>
              <w:rPr>
                <w:rFonts w:ascii="Century Gothic" w:hAnsi="Century Gothic"/>
                <w:iCs w:val="0"/>
                <w:sz w:val="18"/>
                <w:szCs w:val="18"/>
                <w:lang w:eastAsia="en-AU"/>
              </w:rPr>
            </w:pPr>
            <w:r w:rsidRPr="008204CA">
              <w:rPr>
                <w:rFonts w:ascii="Century Gothic" w:hAnsi="Century Gothic"/>
                <w:iCs w:val="0"/>
                <w:sz w:val="18"/>
                <w:szCs w:val="18"/>
              </w:rPr>
              <w:lastRenderedPageBreak/>
              <w:t>Class</w:t>
            </w:r>
          </w:p>
        </w:tc>
        <w:tc>
          <w:tcPr>
            <w:tcW w:w="0" w:type="pct"/>
            <w:vAlign w:val="center"/>
          </w:tcPr>
          <w:p w14:paraId="1189E8F8"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Test</w:t>
            </w:r>
          </w:p>
        </w:tc>
        <w:tc>
          <w:tcPr>
            <w:tcW w:w="0" w:type="pct"/>
            <w:vAlign w:val="center"/>
          </w:tcPr>
          <w:p w14:paraId="72BB20FF"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Identified Facilities</w:t>
            </w:r>
          </w:p>
        </w:tc>
        <w:tc>
          <w:tcPr>
            <w:tcW w:w="0" w:type="pct"/>
            <w:vAlign w:val="center"/>
          </w:tcPr>
          <w:p w14:paraId="0FEDCB9A" w14:textId="77777777" w:rsidR="008204CA" w:rsidRPr="008204CA" w:rsidRDefault="008204CA" w:rsidP="008204CA">
            <w:pPr>
              <w:spacing w:before="60" w:after="6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Facility Capability</w:t>
            </w:r>
          </w:p>
        </w:tc>
      </w:tr>
      <w:tr w:rsidR="008204CA" w:rsidRPr="008204CA" w14:paraId="0B1D92F2" w14:textId="77777777" w:rsidTr="008204C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761" w:type="pct"/>
          </w:tcPr>
          <w:p w14:paraId="4F58CAF4" w14:textId="77777777" w:rsidR="008204CA" w:rsidRPr="008204CA" w:rsidRDefault="008204CA" w:rsidP="008204CA">
            <w:pPr>
              <w:tabs>
                <w:tab w:val="left" w:pos="346"/>
              </w:tabs>
              <w:spacing w:before="60" w:after="60" w:line="240" w:lineRule="auto"/>
              <w:ind w:left="100"/>
              <w:rPr>
                <w:rFonts w:ascii="Century Gothic" w:hAnsi="Century Gothic"/>
                <w:iCs w:val="0"/>
                <w:sz w:val="18"/>
                <w:szCs w:val="18"/>
              </w:rPr>
            </w:pPr>
            <w:r w:rsidRPr="008204CA">
              <w:rPr>
                <w:rFonts w:ascii="Century Gothic" w:hAnsi="Century Gothic"/>
                <w:iCs w:val="0"/>
                <w:color w:val="000000"/>
                <w:szCs w:val="20"/>
              </w:rPr>
              <w:t>Space Environment Effects:  Radiation</w:t>
            </w:r>
          </w:p>
        </w:tc>
        <w:tc>
          <w:tcPr>
            <w:tcW w:w="1270" w:type="pct"/>
          </w:tcPr>
          <w:p w14:paraId="1C6ED14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Total Ionising Dose (TID) testing</w:t>
            </w:r>
          </w:p>
          <w:p w14:paraId="625F541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Single Event Effect (SEE) testing </w:t>
            </w:r>
          </w:p>
          <w:p w14:paraId="7E29617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Other Ionising and non-ionising radiation tests</w:t>
            </w:r>
          </w:p>
          <w:p w14:paraId="148C5EF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Tests to determine radiation hardness tolerance of components and assemblies</w:t>
            </w:r>
          </w:p>
          <w:p w14:paraId="682493B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Low-dose exposure tests for biological materials ESA (and MIL) standard methods exist for TID and SEE testing hardware.  TID hardware tests use a </w:t>
            </w:r>
            <w:r w:rsidRPr="008204CA">
              <w:rPr>
                <w:rFonts w:ascii="Century Gothic" w:hAnsi="Century Gothic"/>
                <w:iCs w:val="0"/>
                <w:sz w:val="18"/>
                <w:szCs w:val="18"/>
                <w:vertAlign w:val="superscript"/>
              </w:rPr>
              <w:t>60</w:t>
            </w:r>
            <w:r w:rsidRPr="008204CA">
              <w:rPr>
                <w:rFonts w:ascii="Century Gothic" w:hAnsi="Century Gothic"/>
                <w:iCs w:val="0"/>
                <w:sz w:val="18"/>
                <w:szCs w:val="18"/>
              </w:rPr>
              <w:t>Co (Gamma-ray) source.  SEE tests can be undertaken using a particle accelerator generating high-energy protons and ions.</w:t>
            </w:r>
          </w:p>
          <w:p w14:paraId="5E4450E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Biological testing requires long-duration, low-dose rate exposures</w:t>
            </w:r>
          </w:p>
          <w:p w14:paraId="7DDFFA2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Radiation-hardened parts databases (NASA) are available on-line, but mostly for legacy devices.  As more advanced and sensitive hardware is developed, large smallsat constellations, longer-duration and non-LEO missions arise, radiation hardness assurance practices and testing for reliability will increase in importance</w:t>
            </w:r>
          </w:p>
        </w:tc>
        <w:tc>
          <w:tcPr>
            <w:tcW w:w="1067" w:type="pct"/>
          </w:tcPr>
          <w:p w14:paraId="148C239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Facilities currently exist at the ANU and ANSTO, but these will mostly need to be modified for space technology developers</w:t>
            </w:r>
          </w:p>
          <w:p w14:paraId="5F3D98D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GATRI facility at ANSTO already suitable for applying fixed radiation doses to hardware.</w:t>
            </w:r>
          </w:p>
          <w:p w14:paraId="591D532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Other Space Environment Effects tests, e.g. neutral plasma, charging, UV radiation) will require other types of test facilities</w:t>
            </w:r>
          </w:p>
          <w:p w14:paraId="550C2AA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South Australian Health and Medical Research Institute (SAHMRI) proton accelerator (SAHMRI 2) under construction</w:t>
            </w:r>
          </w:p>
        </w:tc>
        <w:tc>
          <w:tcPr>
            <w:tcW w:w="1902" w:type="pct"/>
          </w:tcPr>
          <w:p w14:paraId="4ECE266F" w14:textId="77777777" w:rsidR="008204CA" w:rsidRPr="008204CA" w:rsidRDefault="008204CA" w:rsidP="008204CA">
            <w:pPr>
              <w:spacing w:before="60" w:after="6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RPSE HIAF:</w:t>
            </w:r>
          </w:p>
          <w:p w14:paraId="55A54644"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Particle accelerator generating ions and protons (28 MeV max)</w:t>
            </w:r>
          </w:p>
          <w:p w14:paraId="408585A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Not currently set up to undertake SEE hardware testing</w:t>
            </w:r>
          </w:p>
          <w:p w14:paraId="5D65478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New beamline needed for space effects testing </w:t>
            </w:r>
          </w:p>
          <w:p w14:paraId="117633E1" w14:textId="77777777" w:rsidR="008204CA" w:rsidRPr="008204CA" w:rsidRDefault="008204CA" w:rsidP="00405923">
            <w:pPr>
              <w:numPr>
                <w:ilvl w:val="0"/>
                <w:numId w:val="21"/>
              </w:numPr>
              <w:spacing w:before="60" w:after="60" w:line="200" w:lineRule="atLeast"/>
              <w:ind w:left="323" w:hanging="221"/>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10cm</w:t>
            </w:r>
            <w:r w:rsidRPr="008204CA">
              <w:rPr>
                <w:rFonts w:ascii="Century Gothic" w:hAnsi="Century Gothic"/>
                <w:iCs w:val="0"/>
                <w:sz w:val="18"/>
                <w:szCs w:val="18"/>
                <w:vertAlign w:val="superscript"/>
              </w:rPr>
              <w:t xml:space="preserve">2 </w:t>
            </w:r>
            <w:r w:rsidRPr="008204CA">
              <w:rPr>
                <w:rFonts w:ascii="Century Gothic" w:hAnsi="Century Gothic"/>
                <w:iCs w:val="0"/>
                <w:sz w:val="18"/>
                <w:szCs w:val="18"/>
              </w:rPr>
              <w:t>test item in-vacuum envelope planned</w:t>
            </w:r>
          </w:p>
          <w:p w14:paraId="7EB101CC" w14:textId="77777777" w:rsidR="008204CA" w:rsidRPr="008204CA" w:rsidRDefault="008204CA" w:rsidP="00405923">
            <w:pPr>
              <w:numPr>
                <w:ilvl w:val="0"/>
                <w:numId w:val="21"/>
              </w:numPr>
              <w:spacing w:before="60" w:after="60" w:line="200" w:lineRule="atLeast"/>
              <w:ind w:left="323" w:hanging="221"/>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Window will enable in-air testing of hardware and biological samples at lower dose rates</w:t>
            </w:r>
          </w:p>
          <w:p w14:paraId="679EDEC0" w14:textId="77777777" w:rsidR="008204CA" w:rsidRPr="008204CA" w:rsidRDefault="008204CA" w:rsidP="008204CA">
            <w:pPr>
              <w:spacing w:before="60" w:after="60" w:line="240" w:lineRule="auto"/>
              <w:ind w:left="102"/>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ANSTO:</w:t>
            </w:r>
          </w:p>
          <w:p w14:paraId="54D45E77" w14:textId="77777777" w:rsidR="008204CA" w:rsidRPr="008204CA" w:rsidRDefault="008204CA" w:rsidP="00405923">
            <w:pPr>
              <w:numPr>
                <w:ilvl w:val="0"/>
                <w:numId w:val="21"/>
              </w:numPr>
              <w:spacing w:before="60" w:after="60" w:line="200" w:lineRule="atLeast"/>
              <w:ind w:left="323" w:hanging="221"/>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GATRI – Gamma Technology Research Irradiator (a Cobalt-60 facility)</w:t>
            </w:r>
          </w:p>
          <w:p w14:paraId="7238D897" w14:textId="77777777" w:rsidR="008204CA" w:rsidRPr="008204CA" w:rsidRDefault="008204CA" w:rsidP="00405923">
            <w:pPr>
              <w:numPr>
                <w:ilvl w:val="0"/>
                <w:numId w:val="21"/>
              </w:numPr>
              <w:spacing w:before="60" w:after="60" w:line="200" w:lineRule="atLeast"/>
              <w:ind w:left="323" w:hanging="221"/>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 intensity radiation facilities, particle accelerator, synchrotron (high energy beamline, X-rays)</w:t>
            </w:r>
          </w:p>
          <w:p w14:paraId="09D9FF23" w14:textId="77777777" w:rsidR="008204CA" w:rsidRPr="008204CA" w:rsidRDefault="008204CA" w:rsidP="00405923">
            <w:pPr>
              <w:numPr>
                <w:ilvl w:val="0"/>
                <w:numId w:val="21"/>
              </w:numPr>
              <w:spacing w:before="60" w:after="60" w:line="200" w:lineRule="atLeast"/>
              <w:ind w:left="323" w:hanging="221"/>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Working with University of Wollongong to develop a sovereign capability for radiation hardness testing of electronic components and systems</w:t>
            </w:r>
          </w:p>
        </w:tc>
      </w:tr>
    </w:tbl>
    <w:p w14:paraId="089B0E5B"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78" w:type="pct"/>
        <w:tblLook w:val="04A0" w:firstRow="1" w:lastRow="0" w:firstColumn="1" w:lastColumn="0" w:noHBand="0" w:noVBand="1"/>
      </w:tblPr>
      <w:tblGrid>
        <w:gridCol w:w="1980"/>
        <w:gridCol w:w="3544"/>
        <w:gridCol w:w="2836"/>
        <w:gridCol w:w="5527"/>
      </w:tblGrid>
      <w:tr w:rsidR="008204CA" w:rsidRPr="008204CA" w14:paraId="6CF4E565"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3F8274A0"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0AC1077A"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2A4895A2"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3DA1382D"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60E07180" w14:textId="77777777" w:rsidTr="008204CA">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713" w:type="pct"/>
            <w:vMerge w:val="restart"/>
          </w:tcPr>
          <w:p w14:paraId="0A1145BC" w14:textId="77777777" w:rsidR="008204CA" w:rsidRPr="008204CA" w:rsidRDefault="008204CA" w:rsidP="008204CA">
            <w:pPr>
              <w:tabs>
                <w:tab w:val="left" w:pos="346"/>
              </w:tabs>
              <w:spacing w:before="0" w:after="0" w:line="240" w:lineRule="auto"/>
              <w:rPr>
                <w:rFonts w:ascii="Century Gothic" w:hAnsi="Century Gothic"/>
                <w:iCs w:val="0"/>
                <w:sz w:val="18"/>
                <w:szCs w:val="18"/>
              </w:rPr>
            </w:pPr>
            <w:r w:rsidRPr="008204CA">
              <w:rPr>
                <w:rFonts w:ascii="Century Gothic" w:hAnsi="Century Gothic"/>
                <w:iCs w:val="0"/>
                <w:color w:val="000000"/>
                <w:szCs w:val="20"/>
              </w:rPr>
              <w:t>Propulsion testing</w:t>
            </w:r>
          </w:p>
        </w:tc>
        <w:tc>
          <w:tcPr>
            <w:tcW w:w="1276" w:type="pct"/>
            <w:vMerge w:val="restart"/>
          </w:tcPr>
          <w:p w14:paraId="53AD027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Rocket propulsion test</w:t>
            </w:r>
          </w:p>
          <w:p w14:paraId="2F440F1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Dedicated test facility with a high level of safety and environmental requirements</w:t>
            </w:r>
          </w:p>
          <w:p w14:paraId="6103648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Static test fire</w:t>
            </w:r>
          </w:p>
        </w:tc>
        <w:tc>
          <w:tcPr>
            <w:tcW w:w="1021" w:type="pct"/>
          </w:tcPr>
          <w:p w14:paraId="5A348F52" w14:textId="77777777" w:rsidR="008204CA" w:rsidRPr="008204CA" w:rsidRDefault="008204CA" w:rsidP="00405923">
            <w:pPr>
              <w:numPr>
                <w:ilvl w:val="0"/>
                <w:numId w:val="21"/>
              </w:numPr>
              <w:spacing w:before="0" w:after="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BlackSky Aerospace, Jimboomba, Qld</w:t>
            </w:r>
          </w:p>
        </w:tc>
        <w:tc>
          <w:tcPr>
            <w:tcW w:w="1990" w:type="pct"/>
          </w:tcPr>
          <w:p w14:paraId="2D6B156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vehicle developer</w:t>
            </w:r>
          </w:p>
          <w:p w14:paraId="0021F23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Beyond the Blue Aerospace Test Site</w:t>
            </w:r>
          </w:p>
          <w:p w14:paraId="31569009" w14:textId="77777777" w:rsidR="008204CA" w:rsidRPr="008204CA" w:rsidRDefault="008204CA" w:rsidP="00405923">
            <w:pPr>
              <w:numPr>
                <w:ilvl w:val="0"/>
                <w:numId w:val="21"/>
              </w:numPr>
              <w:spacing w:before="0" w:after="0" w:line="200" w:lineRule="atLeast"/>
              <w:ind w:left="319" w:hanging="219"/>
              <w:contextualSpacing/>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Small-scale rocket launch site</w:t>
            </w:r>
          </w:p>
        </w:tc>
      </w:tr>
      <w:tr w:rsidR="008204CA" w:rsidRPr="008204CA" w14:paraId="32CCD3F8" w14:textId="77777777" w:rsidTr="008204CA">
        <w:trPr>
          <w:trHeight w:val="266"/>
        </w:trPr>
        <w:tc>
          <w:tcPr>
            <w:cnfStyle w:val="001000000000" w:firstRow="0" w:lastRow="0" w:firstColumn="1" w:lastColumn="0" w:oddVBand="0" w:evenVBand="0" w:oddHBand="0" w:evenHBand="0" w:firstRowFirstColumn="0" w:firstRowLastColumn="0" w:lastRowFirstColumn="0" w:lastRowLastColumn="0"/>
            <w:tcW w:w="713" w:type="pct"/>
            <w:vMerge/>
          </w:tcPr>
          <w:p w14:paraId="1D6F27A0"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tcPr>
          <w:p w14:paraId="4C4FDCB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1" w:type="pct"/>
          </w:tcPr>
          <w:p w14:paraId="2ED37681"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Gilmore Space Technologies &amp; University of Southern Queensland, Helidon Qld</w:t>
            </w:r>
          </w:p>
        </w:tc>
        <w:tc>
          <w:tcPr>
            <w:tcW w:w="1990" w:type="pct"/>
          </w:tcPr>
          <w:p w14:paraId="01760FC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Launcher vehicle developer and university research group</w:t>
            </w:r>
          </w:p>
          <w:p w14:paraId="294801C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Jointly developing a rocket test site</w:t>
            </w:r>
          </w:p>
          <w:p w14:paraId="4A785FB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GST has in-house test facilities</w:t>
            </w:r>
          </w:p>
          <w:p w14:paraId="06FCFEEF"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GST facility details not provided in response</w:t>
            </w:r>
          </w:p>
        </w:tc>
      </w:tr>
      <w:tr w:rsidR="008204CA" w:rsidRPr="008204CA" w14:paraId="76863822" w14:textId="77777777" w:rsidTr="008204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3" w:type="pct"/>
            <w:vMerge/>
          </w:tcPr>
          <w:p w14:paraId="76EC8CF5"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val="restart"/>
          </w:tcPr>
          <w:p w14:paraId="6BE89839" w14:textId="77777777" w:rsidR="008204CA" w:rsidRPr="008204CA" w:rsidRDefault="008204CA" w:rsidP="008204CA">
            <w:pPr>
              <w:spacing w:before="0" w:after="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21" w:type="pct"/>
          </w:tcPr>
          <w:p w14:paraId="5524C16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Hypersonix, Qld</w:t>
            </w:r>
          </w:p>
        </w:tc>
        <w:tc>
          <w:tcPr>
            <w:tcW w:w="1990" w:type="pct"/>
          </w:tcPr>
          <w:p w14:paraId="7E1CB8F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Limited in-house facilities</w:t>
            </w:r>
          </w:p>
          <w:p w14:paraId="2EF134E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known</w:t>
            </w:r>
          </w:p>
        </w:tc>
      </w:tr>
      <w:tr w:rsidR="008204CA" w:rsidRPr="008204CA" w14:paraId="532DD3BA" w14:textId="77777777" w:rsidTr="008204CA">
        <w:trPr>
          <w:trHeight w:val="266"/>
        </w:trPr>
        <w:tc>
          <w:tcPr>
            <w:cnfStyle w:val="001000000000" w:firstRow="0" w:lastRow="0" w:firstColumn="1" w:lastColumn="0" w:oddVBand="0" w:evenVBand="0" w:oddHBand="0" w:evenHBand="0" w:firstRowFirstColumn="0" w:firstRowLastColumn="0" w:lastRowFirstColumn="0" w:lastRowLastColumn="0"/>
            <w:tcW w:w="713" w:type="pct"/>
            <w:vMerge/>
          </w:tcPr>
          <w:p w14:paraId="16246A7D"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tcPr>
          <w:p w14:paraId="0E15F3E3" w14:textId="77777777" w:rsidR="008204CA" w:rsidRPr="008204CA" w:rsidRDefault="008204CA" w:rsidP="008204CA">
            <w:pPr>
              <w:spacing w:before="0" w:after="0" w:line="240" w:lineRule="auto"/>
              <w:ind w:left="100"/>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1" w:type="pct"/>
          </w:tcPr>
          <w:p w14:paraId="7B3A00F6"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Southern Launch, SA</w:t>
            </w:r>
          </w:p>
        </w:tc>
        <w:tc>
          <w:tcPr>
            <w:tcW w:w="1990" w:type="pct"/>
          </w:tcPr>
          <w:p w14:paraId="7B43D1BA"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 facilities in development at Koonibba that is expected to include a test fire cell</w:t>
            </w:r>
          </w:p>
          <w:p w14:paraId="73D1D03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known</w:t>
            </w:r>
          </w:p>
        </w:tc>
      </w:tr>
      <w:tr w:rsidR="008204CA" w:rsidRPr="008204CA" w14:paraId="1B6F54BA" w14:textId="77777777" w:rsidTr="008204C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3" w:type="pct"/>
            <w:vMerge/>
          </w:tcPr>
          <w:p w14:paraId="20206941"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tcPr>
          <w:p w14:paraId="16729E8F" w14:textId="77777777" w:rsidR="008204CA" w:rsidRPr="008204CA" w:rsidRDefault="008204CA" w:rsidP="008204CA">
            <w:pPr>
              <w:spacing w:before="0" w:after="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21" w:type="pct"/>
          </w:tcPr>
          <w:p w14:paraId="4639936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 University of Queensland (and DSTG), Qld</w:t>
            </w:r>
          </w:p>
        </w:tc>
        <w:tc>
          <w:tcPr>
            <w:tcW w:w="1990" w:type="pct"/>
          </w:tcPr>
          <w:p w14:paraId="29D91D9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Hypersonic shock tunnels</w:t>
            </w:r>
          </w:p>
          <w:p w14:paraId="095088F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Can test scramjet propulsion performance</w:t>
            </w:r>
          </w:p>
          <w:p w14:paraId="71A3292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These are primarily research facilities</w:t>
            </w:r>
          </w:p>
        </w:tc>
      </w:tr>
      <w:tr w:rsidR="008204CA" w:rsidRPr="008204CA" w14:paraId="093E40C3" w14:textId="77777777" w:rsidTr="008204CA">
        <w:trPr>
          <w:trHeight w:val="75"/>
        </w:trPr>
        <w:tc>
          <w:tcPr>
            <w:cnfStyle w:val="001000000000" w:firstRow="0" w:lastRow="0" w:firstColumn="1" w:lastColumn="0" w:oddVBand="0" w:evenVBand="0" w:oddHBand="0" w:evenHBand="0" w:firstRowFirstColumn="0" w:firstRowLastColumn="0" w:lastRowFirstColumn="0" w:lastRowLastColumn="0"/>
            <w:tcW w:w="713" w:type="pct"/>
            <w:vMerge/>
          </w:tcPr>
          <w:p w14:paraId="19123206"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val="restart"/>
          </w:tcPr>
          <w:p w14:paraId="6A15CA7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Electric propulsion (EP) thruster testing</w:t>
            </w:r>
          </w:p>
          <w:p w14:paraId="610569EF"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Special purpose vacuum facility to enable thruster functional and performance testing</w:t>
            </w:r>
          </w:p>
          <w:p w14:paraId="27BDD7D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Requires high capacity pumping to maintain vacuum</w:t>
            </w:r>
          </w:p>
          <w:p w14:paraId="390DD05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Calibrated thrust balance</w:t>
            </w:r>
          </w:p>
        </w:tc>
        <w:tc>
          <w:tcPr>
            <w:tcW w:w="1021" w:type="pct"/>
          </w:tcPr>
          <w:p w14:paraId="61FE316E"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1990" w:type="pct"/>
          </w:tcPr>
          <w:p w14:paraId="6FBB400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S2F TVAC chamber can be reconfigured for EP thruster testing in campaign mode</w:t>
            </w:r>
          </w:p>
          <w:p w14:paraId="7D93F1B4"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3m dia x 3m long envelope with a very high capacity cryopump system</w:t>
            </w:r>
          </w:p>
          <w:p w14:paraId="2FAC8A31"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25kg capacity thrust balance; 1 - 500mN </w:t>
            </w:r>
          </w:p>
        </w:tc>
      </w:tr>
      <w:tr w:rsidR="008204CA" w:rsidRPr="008204CA" w14:paraId="0A6E6D3E" w14:textId="77777777" w:rsidTr="008204CA">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3" w:type="pct"/>
            <w:vMerge/>
          </w:tcPr>
          <w:p w14:paraId="34472CD7"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tcPr>
          <w:p w14:paraId="2990103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21" w:type="pct"/>
          </w:tcPr>
          <w:p w14:paraId="16CA0AB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RSPE, Canberra ACT</w:t>
            </w:r>
          </w:p>
        </w:tc>
        <w:tc>
          <w:tcPr>
            <w:tcW w:w="1990" w:type="pct"/>
          </w:tcPr>
          <w:p w14:paraId="6009929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EP thruster technology</w:t>
            </w:r>
          </w:p>
          <w:p w14:paraId="6A49F76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and large vacuum chamber with thrust balances</w:t>
            </w:r>
          </w:p>
          <w:p w14:paraId="32A54C5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31B1B4D9" w14:textId="77777777" w:rsidTr="008204CA">
        <w:trPr>
          <w:trHeight w:val="662"/>
        </w:trPr>
        <w:tc>
          <w:tcPr>
            <w:cnfStyle w:val="001000000000" w:firstRow="0" w:lastRow="0" w:firstColumn="1" w:lastColumn="0" w:oddVBand="0" w:evenVBand="0" w:oddHBand="0" w:evenHBand="0" w:firstRowFirstColumn="0" w:firstRowLastColumn="0" w:lastRowFirstColumn="0" w:lastRowLastColumn="0"/>
            <w:tcW w:w="713" w:type="pct"/>
            <w:vMerge/>
          </w:tcPr>
          <w:p w14:paraId="49618983"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6" w:type="pct"/>
            <w:vMerge/>
          </w:tcPr>
          <w:p w14:paraId="3DE543F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1" w:type="pct"/>
          </w:tcPr>
          <w:p w14:paraId="1F6CA78F"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Neumann Space, Adelaide, SA</w:t>
            </w:r>
          </w:p>
        </w:tc>
        <w:tc>
          <w:tcPr>
            <w:tcW w:w="1990" w:type="pct"/>
          </w:tcPr>
          <w:p w14:paraId="2664CA1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EP thruster developer with in-house test facilities</w:t>
            </w:r>
          </w:p>
          <w:p w14:paraId="03AA274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0973AB72"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78" w:type="pct"/>
        <w:tblLook w:val="04A0" w:firstRow="1" w:lastRow="0" w:firstColumn="1" w:lastColumn="0" w:noHBand="0" w:noVBand="1"/>
      </w:tblPr>
      <w:tblGrid>
        <w:gridCol w:w="2122"/>
        <w:gridCol w:w="3544"/>
        <w:gridCol w:w="2833"/>
        <w:gridCol w:w="5388"/>
      </w:tblGrid>
      <w:tr w:rsidR="008204CA" w:rsidRPr="008204CA" w14:paraId="71907951"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3584FA40"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498127D1"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7AE14A19"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2FE4A4BB"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19167E49" w14:textId="77777777" w:rsidTr="008204C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64" w:type="pct"/>
            <w:vMerge w:val="restart"/>
          </w:tcPr>
          <w:p w14:paraId="4E8AFB08" w14:textId="77777777" w:rsidR="008204CA" w:rsidRPr="008204CA" w:rsidRDefault="008204CA" w:rsidP="008204CA">
            <w:pPr>
              <w:tabs>
                <w:tab w:val="left" w:pos="346"/>
              </w:tabs>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Optical Metrology &amp; Testing</w:t>
            </w:r>
          </w:p>
        </w:tc>
        <w:tc>
          <w:tcPr>
            <w:tcW w:w="1276" w:type="pct"/>
            <w:vMerge w:val="restart"/>
          </w:tcPr>
          <w:p w14:paraId="44CD3D3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alignment</w:t>
            </w:r>
          </w:p>
          <w:p w14:paraId="10B35D7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performance testing</w:t>
            </w:r>
          </w:p>
          <w:p w14:paraId="4C15BEA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system / sensor calibration</w:t>
            </w:r>
          </w:p>
          <w:p w14:paraId="793FE26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radiometric calibration</w:t>
            </w:r>
          </w:p>
          <w:p w14:paraId="22DCC20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Coordinate measuring Machines and Arms</w:t>
            </w:r>
          </w:p>
          <w:p w14:paraId="0A0BC30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metrology instrumentation</w:t>
            </w:r>
          </w:p>
          <w:p w14:paraId="0045F0D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General optical test equipment</w:t>
            </w:r>
          </w:p>
          <w:p w14:paraId="1635F16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Invaluable for the development of optical payloads for Earth Observation and astronomical missions</w:t>
            </w:r>
          </w:p>
          <w:p w14:paraId="2E7BC3B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High-value equipment requiring expertise in design of tests and operation of equipment</w:t>
            </w:r>
          </w:p>
        </w:tc>
        <w:tc>
          <w:tcPr>
            <w:tcW w:w="1020" w:type="pct"/>
          </w:tcPr>
          <w:p w14:paraId="5D0FC82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w:t>
            </w:r>
          </w:p>
        </w:tc>
        <w:tc>
          <w:tcPr>
            <w:tcW w:w="1940" w:type="pct"/>
          </w:tcPr>
          <w:p w14:paraId="417F7F6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optical facilities to support terrestrial and spaceborne optical instrumentation development</w:t>
            </w:r>
          </w:p>
          <w:p w14:paraId="534855F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Full suite of optical test equipment</w:t>
            </w:r>
          </w:p>
        </w:tc>
      </w:tr>
      <w:tr w:rsidR="008204CA" w:rsidRPr="008204CA" w14:paraId="70331FD9" w14:textId="77777777" w:rsidTr="008204CA">
        <w:trPr>
          <w:trHeight w:val="133"/>
        </w:trPr>
        <w:tc>
          <w:tcPr>
            <w:cnfStyle w:val="001000000000" w:firstRow="0" w:lastRow="0" w:firstColumn="1" w:lastColumn="0" w:oddVBand="0" w:evenVBand="0" w:oddHBand="0" w:evenHBand="0" w:firstRowFirstColumn="0" w:firstRowLastColumn="0" w:lastRowFirstColumn="0" w:lastRowLastColumn="0"/>
            <w:tcW w:w="764" w:type="pct"/>
            <w:vMerge/>
          </w:tcPr>
          <w:p w14:paraId="0EF767AD"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76" w:type="pct"/>
            <w:vMerge/>
          </w:tcPr>
          <w:p w14:paraId="4451115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0" w:type="pct"/>
          </w:tcPr>
          <w:p w14:paraId="7512367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Anglo Australian Observatory, North Ryde</w:t>
            </w:r>
          </w:p>
        </w:tc>
        <w:tc>
          <w:tcPr>
            <w:tcW w:w="1940" w:type="pct"/>
          </w:tcPr>
          <w:p w14:paraId="56C0CF4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optical facilities to support terrestrial and spaceborne optical instrumentation development</w:t>
            </w:r>
          </w:p>
          <w:p w14:paraId="3DDD5C8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Full suite of optical test equipment</w:t>
            </w:r>
          </w:p>
        </w:tc>
      </w:tr>
      <w:tr w:rsidR="008204CA" w:rsidRPr="008204CA" w14:paraId="72F15DDD" w14:textId="77777777" w:rsidTr="008204CA">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764" w:type="pct"/>
            <w:vMerge/>
          </w:tcPr>
          <w:p w14:paraId="7459B73F"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76" w:type="pct"/>
            <w:vMerge/>
          </w:tcPr>
          <w:p w14:paraId="30D7EFF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20" w:type="pct"/>
          </w:tcPr>
          <w:p w14:paraId="671E796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BAE Systems, Edinburgh SA</w:t>
            </w:r>
          </w:p>
        </w:tc>
        <w:tc>
          <w:tcPr>
            <w:tcW w:w="1940" w:type="pct"/>
          </w:tcPr>
          <w:p w14:paraId="1723481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In-house engineering test facility</w:t>
            </w:r>
          </w:p>
          <w:p w14:paraId="3F92847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Optical test equipment and cleanrooms</w:t>
            </w:r>
          </w:p>
        </w:tc>
      </w:tr>
      <w:tr w:rsidR="008204CA" w:rsidRPr="008204CA" w14:paraId="19E28D4F" w14:textId="77777777" w:rsidTr="008204CA">
        <w:trPr>
          <w:trHeight w:val="133"/>
        </w:trPr>
        <w:tc>
          <w:tcPr>
            <w:cnfStyle w:val="001000000000" w:firstRow="0" w:lastRow="0" w:firstColumn="1" w:lastColumn="0" w:oddVBand="0" w:evenVBand="0" w:oddHBand="0" w:evenHBand="0" w:firstRowFirstColumn="0" w:firstRowLastColumn="0" w:lastRowFirstColumn="0" w:lastRowLastColumn="0"/>
            <w:tcW w:w="764" w:type="pct"/>
            <w:vMerge/>
          </w:tcPr>
          <w:p w14:paraId="30AAD8CE"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76" w:type="pct"/>
            <w:vMerge/>
          </w:tcPr>
          <w:p w14:paraId="254C118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0" w:type="pct"/>
          </w:tcPr>
          <w:p w14:paraId="7248645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CSIRO, Pullenvale Qld</w:t>
            </w:r>
          </w:p>
        </w:tc>
        <w:tc>
          <w:tcPr>
            <w:tcW w:w="1940" w:type="pct"/>
          </w:tcPr>
          <w:p w14:paraId="5E3D6B3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EO sensor calibration and validation</w:t>
            </w:r>
          </w:p>
          <w:p w14:paraId="754602B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Suite of radiometric calibration equipment</w:t>
            </w:r>
          </w:p>
        </w:tc>
      </w:tr>
      <w:tr w:rsidR="008204CA" w:rsidRPr="008204CA" w14:paraId="246E832A" w14:textId="77777777" w:rsidTr="008204CA">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764" w:type="pct"/>
            <w:vMerge/>
          </w:tcPr>
          <w:p w14:paraId="2353C1FA"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76" w:type="pct"/>
            <w:vMerge/>
          </w:tcPr>
          <w:p w14:paraId="5F45691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20" w:type="pct"/>
          </w:tcPr>
          <w:p w14:paraId="04DD65F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CSIRO, Perth WA </w:t>
            </w:r>
          </w:p>
        </w:tc>
        <w:tc>
          <w:tcPr>
            <w:tcW w:w="1940" w:type="pct"/>
          </w:tcPr>
          <w:p w14:paraId="3C9D303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EO sensor calibration and validation</w:t>
            </w:r>
          </w:p>
          <w:p w14:paraId="75504B8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Suite of radiometric calibration equipment</w:t>
            </w:r>
          </w:p>
        </w:tc>
      </w:tr>
      <w:tr w:rsidR="008204CA" w:rsidRPr="008204CA" w14:paraId="18DFF9E9" w14:textId="77777777" w:rsidTr="008204CA">
        <w:tc>
          <w:tcPr>
            <w:cnfStyle w:val="001000000000" w:firstRow="0" w:lastRow="0" w:firstColumn="1" w:lastColumn="0" w:oddVBand="0" w:evenVBand="0" w:oddHBand="0" w:evenHBand="0" w:firstRowFirstColumn="0" w:firstRowLastColumn="0" w:lastRowFirstColumn="0" w:lastRowLastColumn="0"/>
            <w:tcW w:w="764" w:type="pct"/>
            <w:vMerge/>
          </w:tcPr>
          <w:p w14:paraId="3EAAA552"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76" w:type="pct"/>
            <w:vMerge/>
          </w:tcPr>
          <w:p w14:paraId="3395041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20" w:type="pct"/>
          </w:tcPr>
          <w:p w14:paraId="76C9F2B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Tasmania</w:t>
            </w:r>
          </w:p>
        </w:tc>
        <w:tc>
          <w:tcPr>
            <w:tcW w:w="1940" w:type="pct"/>
          </w:tcPr>
          <w:p w14:paraId="3C72327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TerraLuma radiometric calibration facility</w:t>
            </w:r>
          </w:p>
          <w:p w14:paraId="04062DF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EO sensor calibration and validation</w:t>
            </w:r>
          </w:p>
          <w:p w14:paraId="7C1D009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Suite of radiometric calibration equipment</w:t>
            </w:r>
          </w:p>
          <w:p w14:paraId="7FAC87B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6383258D"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5000" w:type="pct"/>
        <w:tblLook w:val="04A0" w:firstRow="1" w:lastRow="0" w:firstColumn="1" w:lastColumn="0" w:noHBand="0" w:noVBand="1"/>
      </w:tblPr>
      <w:tblGrid>
        <w:gridCol w:w="1980"/>
        <w:gridCol w:w="3543"/>
        <w:gridCol w:w="2977"/>
        <w:gridCol w:w="5448"/>
      </w:tblGrid>
      <w:tr w:rsidR="008204CA" w:rsidRPr="008204CA" w14:paraId="3015B7B1"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39447E1F"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13A73452"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108EE517"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54F758C7"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59D9A175" w14:textId="77777777" w:rsidTr="008204CA">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710" w:type="pct"/>
            <w:vMerge w:val="restart"/>
          </w:tcPr>
          <w:p w14:paraId="4C34BC45" w14:textId="77777777" w:rsidR="008204CA" w:rsidRPr="008204CA" w:rsidRDefault="008204CA" w:rsidP="008204CA">
            <w:pPr>
              <w:tabs>
                <w:tab w:val="left" w:pos="346"/>
              </w:tabs>
              <w:spacing w:before="0" w:after="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Space Analogues</w:t>
            </w:r>
          </w:p>
        </w:tc>
        <w:tc>
          <w:tcPr>
            <w:tcW w:w="1270" w:type="pct"/>
            <w:vMerge w:val="restart"/>
          </w:tcPr>
          <w:p w14:paraId="1E277B0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Representative non-earth planetary environment</w:t>
            </w:r>
          </w:p>
          <w:p w14:paraId="6BA7C52F"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Antarctic analogue</w:t>
            </w:r>
          </w:p>
          <w:p w14:paraId="1E448FC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Lunar &amp; Mars analogues</w:t>
            </w:r>
          </w:p>
          <w:p w14:paraId="474C171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Desert and remote site analogues</w:t>
            </w:r>
          </w:p>
          <w:p w14:paraId="4D1D97E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Underwater analogues</w:t>
            </w:r>
          </w:p>
          <w:p w14:paraId="03586F2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These facilities enable biological, human behavioural, geological and biomedical sciences research as well as hardware/systems operational testing in a near-representative environment.</w:t>
            </w:r>
          </w:p>
        </w:tc>
        <w:tc>
          <w:tcPr>
            <w:tcW w:w="1067" w:type="pct"/>
          </w:tcPr>
          <w:p w14:paraId="72ABF70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Australian Antarctic Division, Kingston TAS</w:t>
            </w:r>
          </w:p>
        </w:tc>
        <w:tc>
          <w:tcPr>
            <w:tcW w:w="1953" w:type="pct"/>
          </w:tcPr>
          <w:p w14:paraId="4A31215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Antarctic space analogue for remote medicine, remote operations, remote traverse research and extreme environment human studies</w:t>
            </w:r>
          </w:p>
        </w:tc>
      </w:tr>
      <w:tr w:rsidR="008204CA" w:rsidRPr="008204CA" w14:paraId="693A7353" w14:textId="77777777" w:rsidTr="008204CA">
        <w:trPr>
          <w:trHeight w:val="263"/>
        </w:trPr>
        <w:tc>
          <w:tcPr>
            <w:cnfStyle w:val="001000000000" w:firstRow="0" w:lastRow="0" w:firstColumn="1" w:lastColumn="0" w:oddVBand="0" w:evenVBand="0" w:oddHBand="0" w:evenHBand="0" w:firstRowFirstColumn="0" w:firstRowLastColumn="0" w:lastRowFirstColumn="0" w:lastRowLastColumn="0"/>
            <w:tcW w:w="710" w:type="pct"/>
            <w:vMerge/>
          </w:tcPr>
          <w:p w14:paraId="0D13F9F2"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0" w:type="pct"/>
            <w:vMerge/>
          </w:tcPr>
          <w:p w14:paraId="526876B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67" w:type="pct"/>
          </w:tcPr>
          <w:p w14:paraId="0C9FB82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8204CA">
              <w:rPr>
                <w:rFonts w:ascii="Century Gothic" w:hAnsi="Century Gothic"/>
                <w:iCs w:val="0"/>
                <w:sz w:val="18"/>
                <w:szCs w:val="18"/>
              </w:rPr>
              <w:t>Royal Hobart Hospital, Hobart, TAS</w:t>
            </w:r>
          </w:p>
        </w:tc>
        <w:tc>
          <w:tcPr>
            <w:tcW w:w="1953" w:type="pct"/>
          </w:tcPr>
          <w:p w14:paraId="6668904D"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Hypo/Hyperbaric space-analogue chamber</w:t>
            </w:r>
          </w:p>
          <w:p w14:paraId="5474B58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Human rated: 6atm (-60m) to 0.15atm (45000ft)</w:t>
            </w:r>
          </w:p>
          <w:p w14:paraId="1C65214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Non-human rated: 0.01atm (100000ft)</w:t>
            </w:r>
          </w:p>
          <w:p w14:paraId="6EB9CEA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8204CA">
              <w:rPr>
                <w:rFonts w:ascii="Century Gothic" w:hAnsi="Century Gothic"/>
                <w:iCs w:val="0"/>
                <w:sz w:val="18"/>
                <w:szCs w:val="18"/>
              </w:rPr>
              <w:t>7.4 x 3.1 x 2.3m</w:t>
            </w:r>
          </w:p>
        </w:tc>
      </w:tr>
      <w:tr w:rsidR="008204CA" w:rsidRPr="008204CA" w14:paraId="70E34F40" w14:textId="77777777" w:rsidTr="008204C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10" w:type="pct"/>
            <w:vMerge/>
          </w:tcPr>
          <w:p w14:paraId="02672514"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0" w:type="pct"/>
            <w:vMerge/>
          </w:tcPr>
          <w:p w14:paraId="4A060F4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67" w:type="pct"/>
          </w:tcPr>
          <w:p w14:paraId="6585450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lang w:val="en-US"/>
              </w:rPr>
              <w:t xml:space="preserve">Australian Mars Society, </w:t>
            </w:r>
            <w:r w:rsidRPr="008204CA">
              <w:rPr>
                <w:rFonts w:ascii="Century Gothic" w:hAnsi="Century Gothic"/>
                <w:iCs w:val="0"/>
                <w:sz w:val="18"/>
                <w:szCs w:val="18"/>
              </w:rPr>
              <w:t>Arkaroola SA 5701</w:t>
            </w:r>
          </w:p>
        </w:tc>
        <w:tc>
          <w:tcPr>
            <w:tcW w:w="1953" w:type="pct"/>
          </w:tcPr>
          <w:p w14:paraId="44B50DE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Arkaroola Mars analogue station (planned)</w:t>
            </w:r>
          </w:p>
        </w:tc>
      </w:tr>
      <w:tr w:rsidR="008204CA" w:rsidRPr="008204CA" w14:paraId="4648364E" w14:textId="77777777" w:rsidTr="008204CA">
        <w:trPr>
          <w:trHeight w:val="1247"/>
        </w:trPr>
        <w:tc>
          <w:tcPr>
            <w:cnfStyle w:val="001000000000" w:firstRow="0" w:lastRow="0" w:firstColumn="1" w:lastColumn="0" w:oddVBand="0" w:evenVBand="0" w:oddHBand="0" w:evenHBand="0" w:firstRowFirstColumn="0" w:firstRowLastColumn="0" w:lastRowFirstColumn="0" w:lastRowLastColumn="0"/>
            <w:tcW w:w="710" w:type="pct"/>
            <w:vMerge/>
          </w:tcPr>
          <w:p w14:paraId="5B643F83"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0" w:type="pct"/>
            <w:vMerge/>
          </w:tcPr>
          <w:p w14:paraId="2FE568C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067" w:type="pct"/>
          </w:tcPr>
          <w:p w14:paraId="0EF121CA"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CSIRO, Linfield NSW</w:t>
            </w:r>
          </w:p>
        </w:tc>
        <w:tc>
          <w:tcPr>
            <w:tcW w:w="1953" w:type="pct"/>
          </w:tcPr>
          <w:p w14:paraId="53A9FC2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Mars geology analogue </w:t>
            </w:r>
          </w:p>
          <w:p w14:paraId="3B3B3FB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~25m x 15m x 1m outdoor testbed </w:t>
            </w:r>
          </w:p>
          <w:p w14:paraId="6B08C16C"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Blend or scoria, river sand, red gravel and road base</w:t>
            </w:r>
          </w:p>
          <w:p w14:paraId="49F139EE"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Multi-use area including STEM outreach</w:t>
            </w:r>
          </w:p>
        </w:tc>
      </w:tr>
      <w:tr w:rsidR="008204CA" w:rsidRPr="008204CA" w14:paraId="16DF08B1" w14:textId="77777777" w:rsidTr="008204CA">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710" w:type="pct"/>
            <w:vMerge/>
          </w:tcPr>
          <w:p w14:paraId="5B5815D1"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70" w:type="pct"/>
            <w:vMerge/>
          </w:tcPr>
          <w:p w14:paraId="5D49D7B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067" w:type="pct"/>
          </w:tcPr>
          <w:p w14:paraId="74E4F9F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CSIRO, Pullenvale QLD</w:t>
            </w:r>
          </w:p>
        </w:tc>
        <w:tc>
          <w:tcPr>
            <w:tcW w:w="1953" w:type="pct"/>
          </w:tcPr>
          <w:p w14:paraId="0F576AC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Lunar test beds</w:t>
            </w:r>
          </w:p>
          <w:p w14:paraId="27A9191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~3m x 4m x 1m indoor testbed using crushed basalt to simulate regolith textural properties</w:t>
            </w:r>
          </w:p>
          <w:p w14:paraId="1D350A7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Smaller testbed using Lunar Mare Simulant (LMS-1) &amp;/or Australian Lunar Regolith Simulant (ALRS-1) (internal enclosed test area)</w:t>
            </w:r>
          </w:p>
        </w:tc>
      </w:tr>
    </w:tbl>
    <w:p w14:paraId="055D2E25"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78" w:type="pct"/>
        <w:tblLook w:val="04A0" w:firstRow="1" w:lastRow="0" w:firstColumn="1" w:lastColumn="0" w:noHBand="0" w:noVBand="1"/>
      </w:tblPr>
      <w:tblGrid>
        <w:gridCol w:w="1981"/>
        <w:gridCol w:w="3402"/>
        <w:gridCol w:w="3116"/>
        <w:gridCol w:w="5388"/>
      </w:tblGrid>
      <w:tr w:rsidR="008204CA" w:rsidRPr="008204CA" w14:paraId="5F905DBE"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62BFEBA0"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77BF3D14"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7E970DF1"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03FEC320"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2D92FE61" w14:textId="77777777" w:rsidTr="008204C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713" w:type="pct"/>
            <w:vMerge w:val="restart"/>
          </w:tcPr>
          <w:p w14:paraId="406927ED" w14:textId="77777777" w:rsidR="008204CA" w:rsidRPr="008204CA" w:rsidRDefault="008204CA" w:rsidP="008204CA">
            <w:pPr>
              <w:tabs>
                <w:tab w:val="left" w:pos="346"/>
              </w:tabs>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Attitude control system testing</w:t>
            </w:r>
          </w:p>
        </w:tc>
        <w:tc>
          <w:tcPr>
            <w:tcW w:w="1225" w:type="pct"/>
            <w:vMerge w:val="restart"/>
          </w:tcPr>
          <w:p w14:paraId="1D2D8A2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Reaction Wheel testing</w:t>
            </w:r>
          </w:p>
          <w:p w14:paraId="77192EC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Attitude Determination and Control System (ADCS) validation</w:t>
            </w:r>
          </w:p>
          <w:p w14:paraId="1C24DF9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Magnetic sensor &amp; actuator calibration</w:t>
            </w:r>
          </w:p>
          <w:p w14:paraId="4DA16B9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ADCS performance verification (pointing accuracy &amp; stability) </w:t>
            </w:r>
          </w:p>
          <w:p w14:paraId="44AA006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Helmholtz coils with programmable fields</w:t>
            </w:r>
          </w:p>
          <w:p w14:paraId="48DE939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Multi axis air bearings, platform or hexapods</w:t>
            </w:r>
          </w:p>
          <w:p w14:paraId="1DD0BA5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Solar and albedo simulators</w:t>
            </w:r>
          </w:p>
          <w:p w14:paraId="6B8A1F3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Dedicated COTS systems</w:t>
            </w:r>
          </w:p>
          <w:p w14:paraId="2CDD030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Primarily for developers of ADCS systems, but also useful for functional testing and training</w:t>
            </w:r>
          </w:p>
        </w:tc>
        <w:tc>
          <w:tcPr>
            <w:tcW w:w="1122" w:type="pct"/>
          </w:tcPr>
          <w:p w14:paraId="35CA39A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Curtin University, Bentley WA</w:t>
            </w:r>
          </w:p>
        </w:tc>
        <w:tc>
          <w:tcPr>
            <w:tcW w:w="1940" w:type="pct"/>
          </w:tcPr>
          <w:p w14:paraId="2A11824C"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group developing spacecraft systems</w:t>
            </w:r>
          </w:p>
          <w:p w14:paraId="7CC068E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Helmholtz coil under construction</w:t>
            </w:r>
          </w:p>
          <w:p w14:paraId="7C85A18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0DFB6A7F" w14:textId="77777777" w:rsidTr="008204CA">
        <w:trPr>
          <w:trHeight w:val="1207"/>
        </w:trPr>
        <w:tc>
          <w:tcPr>
            <w:cnfStyle w:val="001000000000" w:firstRow="0" w:lastRow="0" w:firstColumn="1" w:lastColumn="0" w:oddVBand="0" w:evenVBand="0" w:oddHBand="0" w:evenHBand="0" w:firstRowFirstColumn="0" w:firstRowLastColumn="0" w:lastRowFirstColumn="0" w:lastRowLastColumn="0"/>
            <w:tcW w:w="713" w:type="pct"/>
            <w:vMerge/>
          </w:tcPr>
          <w:p w14:paraId="7B35A195"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225" w:type="pct"/>
            <w:vMerge/>
          </w:tcPr>
          <w:p w14:paraId="5384C2D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122" w:type="pct"/>
          </w:tcPr>
          <w:p w14:paraId="2734B4AA"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University of Adelaide, Adelaide SA</w:t>
            </w:r>
          </w:p>
        </w:tc>
        <w:tc>
          <w:tcPr>
            <w:tcW w:w="1940" w:type="pct"/>
          </w:tcPr>
          <w:p w14:paraId="2C03947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Research group specialising in dynamics and vibro-acoustics </w:t>
            </w:r>
          </w:p>
          <w:p w14:paraId="206316E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 tonne capacity hexapod</w:t>
            </w:r>
          </w:p>
          <w:p w14:paraId="1472AA4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bl>
    <w:p w14:paraId="0131318E"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27" w:type="pct"/>
        <w:tblLook w:val="04A0" w:firstRow="1" w:lastRow="0" w:firstColumn="1" w:lastColumn="0" w:noHBand="0" w:noVBand="1"/>
      </w:tblPr>
      <w:tblGrid>
        <w:gridCol w:w="1490"/>
        <w:gridCol w:w="3323"/>
        <w:gridCol w:w="3403"/>
        <w:gridCol w:w="5528"/>
      </w:tblGrid>
      <w:tr w:rsidR="008204CA" w:rsidRPr="008204CA" w14:paraId="3EAC80B0"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5746B687"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4ED53DBF"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65AEB27C"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7A0220AD"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64BB47D9" w14:textId="77777777" w:rsidTr="008204C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542" w:type="pct"/>
            <w:vMerge w:val="restart"/>
          </w:tcPr>
          <w:p w14:paraId="7AD1B2E1" w14:textId="77777777" w:rsidR="008204CA" w:rsidRPr="008204CA" w:rsidRDefault="008204CA" w:rsidP="008204CA">
            <w:pPr>
              <w:tabs>
                <w:tab w:val="left" w:pos="346"/>
              </w:tabs>
              <w:spacing w:before="0" w:after="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Medium to High-Altitude Airborne Testbed</w:t>
            </w:r>
          </w:p>
        </w:tc>
        <w:tc>
          <w:tcPr>
            <w:tcW w:w="1209" w:type="pct"/>
            <w:vMerge w:val="restart"/>
          </w:tcPr>
          <w:p w14:paraId="59C864D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Payload instrument operational performance testing</w:t>
            </w:r>
          </w:p>
          <w:p w14:paraId="77D24753"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Aircraft</w:t>
            </w:r>
          </w:p>
          <w:p w14:paraId="59074193"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 High-Altitude Balloon (HAB) platforms</w:t>
            </w:r>
          </w:p>
          <w:p w14:paraId="066B792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Large High-Altitude Balloon (HAB) platforms</w:t>
            </w:r>
          </w:p>
          <w:p w14:paraId="64136AF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Medium &amp; High-Altitude UAV platforms</w:t>
            </w:r>
          </w:p>
          <w:p w14:paraId="57FC50F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Sounding rockets</w:t>
            </w:r>
          </w:p>
          <w:p w14:paraId="05BBD50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Short-duration flights (minutes to hours) for most platforms; up to 6-months for Heavy HABs</w:t>
            </w:r>
          </w:p>
          <w:p w14:paraId="11E81C3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Enables payloads and subsystems to be tested in a “near-space” environment, prior to deployment in space</w:t>
            </w:r>
          </w:p>
          <w:p w14:paraId="108F96C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Enables proof-of concept demonstration for prototype EO instruments destined for LEO operation</w:t>
            </w:r>
          </w:p>
          <w:p w14:paraId="6F97B1C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Enable stratospheric research and X-ray/UV astronomy to be undertaken above a large portion of the densest atmosphere</w:t>
            </w:r>
          </w:p>
        </w:tc>
        <w:tc>
          <w:tcPr>
            <w:tcW w:w="1238" w:type="pct"/>
          </w:tcPr>
          <w:p w14:paraId="298CBBB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Airborne Research Australia, </w:t>
            </w:r>
            <w:r w:rsidRPr="008204CA">
              <w:rPr>
                <w:rFonts w:ascii="Calibri" w:hAnsi="Calibri"/>
                <w:iCs w:val="0"/>
                <w:sz w:val="18"/>
                <w:szCs w:val="18"/>
              </w:rPr>
              <w:t>Parafield SA</w:t>
            </w:r>
          </w:p>
        </w:tc>
        <w:tc>
          <w:tcPr>
            <w:tcW w:w="2011" w:type="pct"/>
          </w:tcPr>
          <w:p w14:paraId="170A6F2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Research aircraft services</w:t>
            </w:r>
          </w:p>
          <w:p w14:paraId="065778A0"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4x15kg -60kg, 7000m ceiling, cruise 20-60m/s, 1200W power</w:t>
            </w:r>
          </w:p>
        </w:tc>
      </w:tr>
      <w:tr w:rsidR="008204CA" w:rsidRPr="008204CA" w14:paraId="7B66C931" w14:textId="77777777" w:rsidTr="008204CA">
        <w:trPr>
          <w:trHeight w:val="430"/>
        </w:trPr>
        <w:tc>
          <w:tcPr>
            <w:cnfStyle w:val="001000000000" w:firstRow="0" w:lastRow="0" w:firstColumn="1" w:lastColumn="0" w:oddVBand="0" w:evenVBand="0" w:oddHBand="0" w:evenHBand="0" w:firstRowFirstColumn="0" w:firstRowLastColumn="0" w:lastRowFirstColumn="0" w:lastRowLastColumn="0"/>
            <w:tcW w:w="542" w:type="pct"/>
            <w:vMerge/>
          </w:tcPr>
          <w:p w14:paraId="7FC032BC"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0B674D8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8" w:type="pct"/>
          </w:tcPr>
          <w:p w14:paraId="15154DC5"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Airbus Space &amp; Defence, Brindabella Park, ACT</w:t>
            </w:r>
          </w:p>
        </w:tc>
        <w:tc>
          <w:tcPr>
            <w:tcW w:w="2011" w:type="pct"/>
          </w:tcPr>
          <w:p w14:paraId="6D55345D"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Zephyr UAV</w:t>
            </w:r>
          </w:p>
          <w:p w14:paraId="78C6BDA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2.5kg, 21000m ceiling, 15.5m/s cruise</w:t>
            </w:r>
          </w:p>
        </w:tc>
      </w:tr>
      <w:tr w:rsidR="008204CA" w:rsidRPr="008204CA" w14:paraId="0B073382" w14:textId="77777777" w:rsidTr="008204C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42" w:type="pct"/>
            <w:vMerge/>
          </w:tcPr>
          <w:p w14:paraId="3141640C"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34A7F4F4"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8" w:type="pct"/>
          </w:tcPr>
          <w:p w14:paraId="2A6D1141"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AITC, Canberra ACT</w:t>
            </w:r>
          </w:p>
        </w:tc>
        <w:tc>
          <w:tcPr>
            <w:tcW w:w="2011" w:type="pct"/>
          </w:tcPr>
          <w:p w14:paraId="353BB192"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HAB platform - lightweight (1.5kg) payload capability</w:t>
            </w:r>
          </w:p>
          <w:p w14:paraId="4E180867"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Primarily STEM outreach</w:t>
            </w:r>
          </w:p>
        </w:tc>
      </w:tr>
      <w:tr w:rsidR="008204CA" w:rsidRPr="008204CA" w14:paraId="3344FC53" w14:textId="77777777" w:rsidTr="008204CA">
        <w:trPr>
          <w:trHeight w:val="64"/>
        </w:trPr>
        <w:tc>
          <w:tcPr>
            <w:cnfStyle w:val="001000000000" w:firstRow="0" w:lastRow="0" w:firstColumn="1" w:lastColumn="0" w:oddVBand="0" w:evenVBand="0" w:oddHBand="0" w:evenHBand="0" w:firstRowFirstColumn="0" w:firstRowLastColumn="0" w:lastRowFirstColumn="0" w:lastRowLastColumn="0"/>
            <w:tcW w:w="542" w:type="pct"/>
            <w:vMerge/>
          </w:tcPr>
          <w:p w14:paraId="2E4FBEC5"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44565C6A"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8" w:type="pct"/>
          </w:tcPr>
          <w:p w14:paraId="402427F9"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Beings Systems, Melbourne, VIC</w:t>
            </w:r>
          </w:p>
        </w:tc>
        <w:tc>
          <w:tcPr>
            <w:tcW w:w="2011" w:type="pct"/>
          </w:tcPr>
          <w:p w14:paraId="461E50A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Developing a parabolic flight capability with a Bombardier Challenger CL604 Aircraft</w:t>
            </w:r>
          </w:p>
          <w:p w14:paraId="1408DE4D"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543C6CAE" w14:textId="77777777" w:rsidTr="008204CA">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542" w:type="pct"/>
            <w:vMerge/>
          </w:tcPr>
          <w:p w14:paraId="7890D983"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67F55CD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8" w:type="pct"/>
          </w:tcPr>
          <w:p w14:paraId="4AF8883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BlackSky Aerospace, Jimboomba, Queensland</w:t>
            </w:r>
          </w:p>
        </w:tc>
        <w:tc>
          <w:tcPr>
            <w:tcW w:w="2011" w:type="pct"/>
          </w:tcPr>
          <w:p w14:paraId="3B8F72F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services provider</w:t>
            </w:r>
          </w:p>
          <w:p w14:paraId="093A294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Suborbital sounding rockets</w:t>
            </w:r>
          </w:p>
          <w:p w14:paraId="174F31F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on website</w:t>
            </w:r>
          </w:p>
        </w:tc>
      </w:tr>
      <w:tr w:rsidR="008204CA" w:rsidRPr="008204CA" w14:paraId="053C50ED" w14:textId="77777777" w:rsidTr="008204CA">
        <w:trPr>
          <w:trHeight w:val="64"/>
        </w:trPr>
        <w:tc>
          <w:tcPr>
            <w:cnfStyle w:val="001000000000" w:firstRow="0" w:lastRow="0" w:firstColumn="1" w:lastColumn="0" w:oddVBand="0" w:evenVBand="0" w:oddHBand="0" w:evenHBand="0" w:firstRowFirstColumn="0" w:firstRowLastColumn="0" w:lastRowFirstColumn="0" w:lastRowLastColumn="0"/>
            <w:tcW w:w="542" w:type="pct"/>
            <w:vMerge/>
          </w:tcPr>
          <w:p w14:paraId="2D221F89"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112099D2"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8" w:type="pct"/>
          </w:tcPr>
          <w:p w14:paraId="2AB9D8F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Hypersonix</w:t>
            </w:r>
          </w:p>
        </w:tc>
        <w:tc>
          <w:tcPr>
            <w:tcW w:w="2011" w:type="pct"/>
          </w:tcPr>
          <w:p w14:paraId="36C5671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Spartan – developmental hypersonic launch vehicle for smallsats</w:t>
            </w:r>
          </w:p>
          <w:p w14:paraId="4E113573"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44E3DBDC" w14:textId="77777777" w:rsidTr="008204C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42" w:type="pct"/>
            <w:vMerge/>
          </w:tcPr>
          <w:p w14:paraId="75F946E5" w14:textId="77777777" w:rsidR="008204CA" w:rsidRPr="008204CA" w:rsidRDefault="008204CA" w:rsidP="00405923">
            <w:pPr>
              <w:numPr>
                <w:ilvl w:val="0"/>
                <w:numId w:val="21"/>
              </w:numPr>
              <w:tabs>
                <w:tab w:val="left" w:pos="346"/>
              </w:tabs>
              <w:spacing w:before="0" w:after="0" w:line="200" w:lineRule="atLeast"/>
              <w:ind w:left="460"/>
              <w:rPr>
                <w:rFonts w:ascii="Century Gothic" w:hAnsi="Century Gothic"/>
                <w:iCs w:val="0"/>
                <w:sz w:val="18"/>
                <w:szCs w:val="18"/>
              </w:rPr>
            </w:pPr>
          </w:p>
        </w:tc>
        <w:tc>
          <w:tcPr>
            <w:tcW w:w="1209" w:type="pct"/>
            <w:vMerge/>
          </w:tcPr>
          <w:p w14:paraId="7721C53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8" w:type="pct"/>
          </w:tcPr>
          <w:p w14:paraId="65988D5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INSITU Pacific, Alderley QLD</w:t>
            </w:r>
          </w:p>
        </w:tc>
        <w:tc>
          <w:tcPr>
            <w:tcW w:w="2011" w:type="pct"/>
          </w:tcPr>
          <w:p w14:paraId="28738798"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RPAS and unmanned systems to Australia and the region</w:t>
            </w:r>
          </w:p>
          <w:p w14:paraId="73259A26"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ScanEagle UAV: 3.4kg payload, 60W, 4500m ceiling, 26-31 m/s cruise, video and data downlink</w:t>
            </w:r>
          </w:p>
          <w:p w14:paraId="04978C09"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Integrator UAV: 18kg, 5900m ceiling, cruise 28.3m/s, 350W power</w:t>
            </w:r>
          </w:p>
        </w:tc>
      </w:tr>
      <w:tr w:rsidR="008204CA" w:rsidRPr="008204CA" w14:paraId="720C926C" w14:textId="77777777" w:rsidTr="008204CA">
        <w:trPr>
          <w:trHeight w:val="70"/>
        </w:trPr>
        <w:tc>
          <w:tcPr>
            <w:cnfStyle w:val="001000000000" w:firstRow="0" w:lastRow="0" w:firstColumn="1" w:lastColumn="0" w:oddVBand="0" w:evenVBand="0" w:oddHBand="0" w:evenHBand="0" w:firstRowFirstColumn="0" w:firstRowLastColumn="0" w:lastRowFirstColumn="0" w:lastRowLastColumn="0"/>
            <w:tcW w:w="542" w:type="pct"/>
            <w:vMerge/>
          </w:tcPr>
          <w:p w14:paraId="74764F4D"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09" w:type="pct"/>
            <w:vMerge/>
          </w:tcPr>
          <w:p w14:paraId="79CD28A4" w14:textId="77777777" w:rsidR="008204CA" w:rsidRPr="008204CA" w:rsidRDefault="008204CA" w:rsidP="008204CA">
            <w:pPr>
              <w:spacing w:before="0" w:after="0" w:line="240" w:lineRule="auto"/>
              <w:ind w:left="100"/>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8" w:type="pct"/>
          </w:tcPr>
          <w:p w14:paraId="4E9D1C87"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JAR Aerospace, Caringbah NSW</w:t>
            </w:r>
          </w:p>
        </w:tc>
        <w:tc>
          <w:tcPr>
            <w:tcW w:w="2011" w:type="pct"/>
          </w:tcPr>
          <w:p w14:paraId="7C5C581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UAV platform - supplier of high-performance multi-rotor drone systems</w:t>
            </w:r>
          </w:p>
          <w:p w14:paraId="7DAD07AE"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Moving away from drones to STEM training services</w:t>
            </w:r>
          </w:p>
        </w:tc>
      </w:tr>
      <w:tr w:rsidR="008204CA" w:rsidRPr="008204CA" w14:paraId="36E5A229" w14:textId="77777777" w:rsidTr="008204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2" w:type="pct"/>
            <w:vMerge/>
          </w:tcPr>
          <w:p w14:paraId="675A2EF2"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09" w:type="pct"/>
            <w:vMerge/>
          </w:tcPr>
          <w:p w14:paraId="09C7E18B" w14:textId="77777777" w:rsidR="008204CA" w:rsidRPr="008204CA" w:rsidRDefault="008204CA" w:rsidP="008204CA">
            <w:pPr>
              <w:spacing w:before="0" w:after="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8" w:type="pct"/>
          </w:tcPr>
          <w:p w14:paraId="54244CFD"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RMIT Hive</w:t>
            </w:r>
          </w:p>
        </w:tc>
        <w:tc>
          <w:tcPr>
            <w:tcW w:w="2011" w:type="pct"/>
          </w:tcPr>
          <w:p w14:paraId="0FAA684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Student-led STEM rocketry outreach</w:t>
            </w:r>
          </w:p>
          <w:p w14:paraId="176FCBAE"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Capability not known</w:t>
            </w:r>
          </w:p>
        </w:tc>
      </w:tr>
      <w:tr w:rsidR="008204CA" w:rsidRPr="008204CA" w14:paraId="43714964" w14:textId="77777777" w:rsidTr="008204CA">
        <w:trPr>
          <w:trHeight w:val="70"/>
        </w:trPr>
        <w:tc>
          <w:tcPr>
            <w:cnfStyle w:val="001000000000" w:firstRow="0" w:lastRow="0" w:firstColumn="1" w:lastColumn="0" w:oddVBand="0" w:evenVBand="0" w:oddHBand="0" w:evenHBand="0" w:firstRowFirstColumn="0" w:firstRowLastColumn="0" w:lastRowFirstColumn="0" w:lastRowLastColumn="0"/>
            <w:tcW w:w="542" w:type="pct"/>
            <w:vMerge/>
          </w:tcPr>
          <w:p w14:paraId="228AD178"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09" w:type="pct"/>
            <w:vMerge/>
          </w:tcPr>
          <w:p w14:paraId="4292A283" w14:textId="77777777" w:rsidR="008204CA" w:rsidRPr="008204CA" w:rsidRDefault="008204CA" w:rsidP="008204CA">
            <w:pPr>
              <w:spacing w:before="0" w:after="0" w:line="240" w:lineRule="auto"/>
              <w:ind w:left="100"/>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8" w:type="pct"/>
          </w:tcPr>
          <w:p w14:paraId="0E716518"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SuperSky, Canberra, ACT</w:t>
            </w:r>
          </w:p>
        </w:tc>
        <w:tc>
          <w:tcPr>
            <w:tcW w:w="2011" w:type="pct"/>
          </w:tcPr>
          <w:p w14:paraId="2F3FF39B" w14:textId="77777777" w:rsidR="008204CA" w:rsidRPr="008204CA" w:rsidRDefault="008204CA" w:rsidP="00405923">
            <w:pPr>
              <w:numPr>
                <w:ilvl w:val="0"/>
                <w:numId w:val="21"/>
              </w:numPr>
              <w:spacing w:before="0" w:after="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lang w:eastAsia="en-AU"/>
              </w:rPr>
            </w:pPr>
            <w:r w:rsidRPr="008204CA">
              <w:rPr>
                <w:rFonts w:ascii="Century Gothic" w:hAnsi="Century Gothic"/>
                <w:iCs w:val="0"/>
                <w:sz w:val="18"/>
                <w:szCs w:val="18"/>
              </w:rPr>
              <w:t>Balloon flights with up to 3kg payload capacity and 30km service altitude</w:t>
            </w:r>
          </w:p>
        </w:tc>
      </w:tr>
      <w:tr w:rsidR="008204CA" w:rsidRPr="008204CA" w14:paraId="08DA4AC0" w14:textId="77777777" w:rsidTr="008204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2" w:type="pct"/>
            <w:vMerge/>
          </w:tcPr>
          <w:p w14:paraId="6C195120" w14:textId="77777777" w:rsidR="008204CA" w:rsidRPr="008204CA" w:rsidRDefault="008204CA" w:rsidP="008204CA">
            <w:pPr>
              <w:tabs>
                <w:tab w:val="left" w:pos="346"/>
              </w:tabs>
              <w:spacing w:before="0" w:after="0" w:line="240" w:lineRule="auto"/>
              <w:ind w:left="100"/>
              <w:rPr>
                <w:rFonts w:ascii="Century Gothic" w:hAnsi="Century Gothic"/>
                <w:iCs w:val="0"/>
                <w:sz w:val="18"/>
                <w:szCs w:val="18"/>
              </w:rPr>
            </w:pPr>
          </w:p>
        </w:tc>
        <w:tc>
          <w:tcPr>
            <w:tcW w:w="1209" w:type="pct"/>
            <w:vMerge/>
          </w:tcPr>
          <w:p w14:paraId="224A23A0" w14:textId="77777777" w:rsidR="008204CA" w:rsidRPr="008204CA" w:rsidRDefault="008204CA" w:rsidP="008204CA">
            <w:pPr>
              <w:spacing w:before="0" w:after="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8" w:type="pct"/>
          </w:tcPr>
          <w:p w14:paraId="1145734A"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UNSW, Sydney</w:t>
            </w:r>
          </w:p>
        </w:tc>
        <w:tc>
          <w:tcPr>
            <w:tcW w:w="2011" w:type="pct"/>
          </w:tcPr>
          <w:p w14:paraId="3064A045"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HAB platform - lightweight</w:t>
            </w:r>
          </w:p>
          <w:p w14:paraId="1F654E5C"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Have developed a design for an azimuth-stabilised platform in support of SAR miniaturisation.  Not yet flown</w:t>
            </w:r>
          </w:p>
          <w:p w14:paraId="0C7BEA5B" w14:textId="77777777" w:rsidR="008204CA" w:rsidRPr="008204CA" w:rsidRDefault="008204CA" w:rsidP="00405923">
            <w:pPr>
              <w:numPr>
                <w:ilvl w:val="0"/>
                <w:numId w:val="21"/>
              </w:numPr>
              <w:spacing w:before="0" w:after="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Have collaborated with NASA for several-tonne stratospheric balloon research missions in the past – current status unknown</w:t>
            </w:r>
          </w:p>
        </w:tc>
      </w:tr>
    </w:tbl>
    <w:p w14:paraId="3972693D"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4927" w:type="pct"/>
        <w:tblLook w:val="04A0" w:firstRow="1" w:lastRow="0" w:firstColumn="1" w:lastColumn="0" w:noHBand="0" w:noVBand="1"/>
      </w:tblPr>
      <w:tblGrid>
        <w:gridCol w:w="1555"/>
        <w:gridCol w:w="3266"/>
        <w:gridCol w:w="3395"/>
        <w:gridCol w:w="5528"/>
      </w:tblGrid>
      <w:tr w:rsidR="008204CA" w:rsidRPr="008204CA" w14:paraId="2557E135"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753C198E" w14:textId="77777777" w:rsidR="008204CA" w:rsidRPr="008204CA" w:rsidRDefault="008204CA" w:rsidP="008204CA">
            <w:pPr>
              <w:tabs>
                <w:tab w:val="left" w:pos="346"/>
              </w:tabs>
              <w:spacing w:before="0" w:after="0" w:line="240" w:lineRule="auto"/>
              <w:ind w:left="100"/>
              <w:jc w:val="center"/>
              <w:rPr>
                <w:rFonts w:ascii="Century Gothic" w:hAnsi="Century Gothic"/>
                <w:iCs w:val="0"/>
                <w:color w:val="000000"/>
                <w:sz w:val="18"/>
                <w:szCs w:val="18"/>
              </w:rPr>
            </w:pPr>
            <w:r w:rsidRPr="008204CA">
              <w:rPr>
                <w:rFonts w:ascii="Century Gothic" w:hAnsi="Century Gothic"/>
                <w:iCs w:val="0"/>
                <w:sz w:val="18"/>
                <w:szCs w:val="18"/>
              </w:rPr>
              <w:lastRenderedPageBreak/>
              <w:t>Class</w:t>
            </w:r>
          </w:p>
        </w:tc>
        <w:tc>
          <w:tcPr>
            <w:tcW w:w="0" w:type="pct"/>
          </w:tcPr>
          <w:p w14:paraId="1DAD58F8"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1E3AE9A7"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5522710D"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71B02C2B" w14:textId="77777777" w:rsidTr="008204C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66" w:type="pct"/>
            <w:vMerge w:val="restart"/>
          </w:tcPr>
          <w:p w14:paraId="37676DCB" w14:textId="77777777" w:rsidR="008204CA" w:rsidRPr="008204CA" w:rsidRDefault="008204CA" w:rsidP="008204CA">
            <w:pPr>
              <w:tabs>
                <w:tab w:val="left" w:pos="346"/>
              </w:tabs>
              <w:spacing w:before="60" w:after="60" w:line="240" w:lineRule="auto"/>
              <w:rPr>
                <w:rFonts w:ascii="Century Gothic" w:hAnsi="Century Gothic"/>
                <w:iCs w:val="0"/>
                <w:color w:val="000000"/>
                <w:sz w:val="18"/>
                <w:szCs w:val="18"/>
                <w:lang w:eastAsia="en-AU"/>
              </w:rPr>
            </w:pPr>
            <w:r w:rsidRPr="008204CA">
              <w:rPr>
                <w:rFonts w:ascii="Century Gothic" w:hAnsi="Century Gothic"/>
                <w:iCs w:val="0"/>
                <w:color w:val="000000"/>
                <w:szCs w:val="20"/>
                <w:lang w:eastAsia="en-AU"/>
              </w:rPr>
              <w:t>Microgravity simulation</w:t>
            </w:r>
          </w:p>
        </w:tc>
        <w:tc>
          <w:tcPr>
            <w:tcW w:w="1188" w:type="pct"/>
            <w:vMerge w:val="restart"/>
          </w:tcPr>
          <w:p w14:paraId="15EBDFC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Biological sample testing</w:t>
            </w:r>
          </w:p>
          <w:p w14:paraId="14F4F01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Deployment mechanism testing</w:t>
            </w:r>
          </w:p>
          <w:p w14:paraId="13ABACE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Fluid system performance</w:t>
            </w:r>
          </w:p>
          <w:p w14:paraId="3C14C7C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Available test duration strongly dependent on type of test platform (seconds to minutes in duration)</w:t>
            </w:r>
          </w:p>
          <w:p w14:paraId="0440D71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Drop tower</w:t>
            </w:r>
          </w:p>
          <w:p w14:paraId="46875C6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Hexapod</w:t>
            </w:r>
          </w:p>
          <w:p w14:paraId="51EFA75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Aircraft parabolic flight</w:t>
            </w:r>
          </w:p>
          <w:p w14:paraId="71F4887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Sounding rockets</w:t>
            </w:r>
          </w:p>
          <w:p w14:paraId="4D24AD8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Random Positioning Machines</w:t>
            </w:r>
          </w:p>
        </w:tc>
        <w:tc>
          <w:tcPr>
            <w:tcW w:w="1235" w:type="pct"/>
          </w:tcPr>
          <w:p w14:paraId="1321DB9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CSIRO, Clayton</w:t>
            </w:r>
          </w:p>
        </w:tc>
        <w:tc>
          <w:tcPr>
            <w:tcW w:w="2011" w:type="pct"/>
          </w:tcPr>
          <w:p w14:paraId="14F2685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Random Positioning Machine on lease until June 2022</w:t>
            </w:r>
          </w:p>
          <w:p w14:paraId="3299400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1.5kg capacity, 15x15x15 cm test article volume</w:t>
            </w:r>
          </w:p>
          <w:p w14:paraId="3C38FF8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Suited to biological samples</w:t>
            </w:r>
          </w:p>
        </w:tc>
      </w:tr>
      <w:tr w:rsidR="008204CA" w:rsidRPr="008204CA" w14:paraId="436BEF6C" w14:textId="77777777" w:rsidTr="008204CA">
        <w:trPr>
          <w:trHeight w:val="580"/>
        </w:trPr>
        <w:tc>
          <w:tcPr>
            <w:cnfStyle w:val="001000000000" w:firstRow="0" w:lastRow="0" w:firstColumn="1" w:lastColumn="0" w:oddVBand="0" w:evenVBand="0" w:oddHBand="0" w:evenHBand="0" w:firstRowFirstColumn="0" w:firstRowLastColumn="0" w:lastRowFirstColumn="0" w:lastRowLastColumn="0"/>
            <w:tcW w:w="566" w:type="pct"/>
            <w:vMerge/>
          </w:tcPr>
          <w:p w14:paraId="0E9B6210"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188" w:type="pct"/>
            <w:vMerge/>
          </w:tcPr>
          <w:p w14:paraId="7A0DBDC6"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5" w:type="pct"/>
          </w:tcPr>
          <w:p w14:paraId="7C365D72"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RMIT Hive</w:t>
            </w:r>
          </w:p>
        </w:tc>
        <w:tc>
          <w:tcPr>
            <w:tcW w:w="2011" w:type="pct"/>
          </w:tcPr>
          <w:p w14:paraId="4CABDCD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Student-led STEM rocketry outreach</w:t>
            </w:r>
          </w:p>
          <w:p w14:paraId="7843283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 xml:space="preserve"> Capability TBD</w:t>
            </w:r>
          </w:p>
        </w:tc>
      </w:tr>
      <w:tr w:rsidR="008204CA" w:rsidRPr="008204CA" w14:paraId="440BBD61" w14:textId="77777777" w:rsidTr="008204C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66" w:type="pct"/>
            <w:vMerge/>
          </w:tcPr>
          <w:p w14:paraId="1ECCE9DD"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188" w:type="pct"/>
            <w:vMerge/>
          </w:tcPr>
          <w:p w14:paraId="36347EC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5" w:type="pct"/>
          </w:tcPr>
          <w:p w14:paraId="16F07AAD"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ASRI</w:t>
            </w:r>
          </w:p>
        </w:tc>
        <w:tc>
          <w:tcPr>
            <w:tcW w:w="2011" w:type="pct"/>
          </w:tcPr>
          <w:p w14:paraId="229F054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Sounding rocket enthusiast group</w:t>
            </w:r>
          </w:p>
          <w:p w14:paraId="499A6B1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Current status unknown</w:t>
            </w:r>
          </w:p>
        </w:tc>
      </w:tr>
      <w:tr w:rsidR="008204CA" w:rsidRPr="008204CA" w14:paraId="60BF90E8" w14:textId="77777777" w:rsidTr="008204CA">
        <w:trPr>
          <w:trHeight w:val="180"/>
        </w:trPr>
        <w:tc>
          <w:tcPr>
            <w:cnfStyle w:val="001000000000" w:firstRow="0" w:lastRow="0" w:firstColumn="1" w:lastColumn="0" w:oddVBand="0" w:evenVBand="0" w:oddHBand="0" w:evenHBand="0" w:firstRowFirstColumn="0" w:firstRowLastColumn="0" w:lastRowFirstColumn="0" w:lastRowLastColumn="0"/>
            <w:tcW w:w="566" w:type="pct"/>
            <w:vMerge/>
          </w:tcPr>
          <w:p w14:paraId="116D1286"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188" w:type="pct"/>
            <w:vMerge/>
          </w:tcPr>
          <w:p w14:paraId="206C61D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5" w:type="pct"/>
          </w:tcPr>
          <w:p w14:paraId="78F15F2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Beings Systems, Melbourne, VIC</w:t>
            </w:r>
          </w:p>
        </w:tc>
        <w:tc>
          <w:tcPr>
            <w:tcW w:w="2011" w:type="pct"/>
          </w:tcPr>
          <w:p w14:paraId="5EDD096D"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Developing parabolic flight capability</w:t>
            </w:r>
          </w:p>
        </w:tc>
      </w:tr>
      <w:tr w:rsidR="008204CA" w:rsidRPr="008204CA" w14:paraId="71D7F95F" w14:textId="77777777" w:rsidTr="008204C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66" w:type="pct"/>
            <w:vMerge/>
          </w:tcPr>
          <w:p w14:paraId="30270D38"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188" w:type="pct"/>
            <w:vMerge/>
          </w:tcPr>
          <w:p w14:paraId="6532D74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1235" w:type="pct"/>
          </w:tcPr>
          <w:p w14:paraId="6A790ED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BlackSky Aerospace, Jimboomba, Queensland</w:t>
            </w:r>
          </w:p>
        </w:tc>
        <w:tc>
          <w:tcPr>
            <w:tcW w:w="2011" w:type="pct"/>
          </w:tcPr>
          <w:p w14:paraId="413B1E5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 services provider SME</w:t>
            </w:r>
          </w:p>
          <w:p w14:paraId="1408512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Beyond the Blue Aerospace Test Site</w:t>
            </w:r>
          </w:p>
          <w:p w14:paraId="1E1DA1E1"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Small-scale rocket launch site</w:t>
            </w:r>
          </w:p>
        </w:tc>
      </w:tr>
      <w:tr w:rsidR="008204CA" w:rsidRPr="008204CA" w14:paraId="4F59205B" w14:textId="77777777" w:rsidTr="008204CA">
        <w:trPr>
          <w:trHeight w:val="890"/>
        </w:trPr>
        <w:tc>
          <w:tcPr>
            <w:cnfStyle w:val="001000000000" w:firstRow="0" w:lastRow="0" w:firstColumn="1" w:lastColumn="0" w:oddVBand="0" w:evenVBand="0" w:oddHBand="0" w:evenHBand="0" w:firstRowFirstColumn="0" w:firstRowLastColumn="0" w:lastRowFirstColumn="0" w:lastRowLastColumn="0"/>
            <w:tcW w:w="566" w:type="pct"/>
            <w:vMerge/>
          </w:tcPr>
          <w:p w14:paraId="05869A0A"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188" w:type="pct"/>
            <w:vMerge/>
          </w:tcPr>
          <w:p w14:paraId="17D03419"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1235" w:type="pct"/>
          </w:tcPr>
          <w:p w14:paraId="296B5AFB"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Gilmore Space, Helidon QLD</w:t>
            </w:r>
          </w:p>
        </w:tc>
        <w:tc>
          <w:tcPr>
            <w:tcW w:w="2011" w:type="pct"/>
          </w:tcPr>
          <w:p w14:paraId="168E15FE"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Launcher development SME with in-house rocket engine test facility</w:t>
            </w:r>
          </w:p>
          <w:p w14:paraId="63EE7DB3"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60F9A08C" w14:textId="77777777" w:rsidTr="008204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 w:type="pct"/>
            <w:vMerge/>
          </w:tcPr>
          <w:p w14:paraId="293B2537" w14:textId="77777777" w:rsidR="008204CA" w:rsidRPr="008204CA" w:rsidRDefault="008204CA" w:rsidP="008204CA">
            <w:pPr>
              <w:tabs>
                <w:tab w:val="left" w:pos="346"/>
              </w:tabs>
              <w:spacing w:before="60" w:after="60" w:line="240" w:lineRule="auto"/>
              <w:ind w:left="100"/>
              <w:rPr>
                <w:rFonts w:ascii="Century Gothic" w:hAnsi="Century Gothic"/>
                <w:iCs w:val="0"/>
                <w:color w:val="FFFFFF"/>
                <w:sz w:val="18"/>
                <w:szCs w:val="18"/>
                <w:lang w:eastAsia="en-AU"/>
              </w:rPr>
            </w:pPr>
          </w:p>
        </w:tc>
        <w:tc>
          <w:tcPr>
            <w:tcW w:w="1188" w:type="pct"/>
            <w:vMerge/>
          </w:tcPr>
          <w:p w14:paraId="5D0F86DF" w14:textId="77777777" w:rsidR="008204CA" w:rsidRPr="008204CA" w:rsidRDefault="008204CA" w:rsidP="008204CA">
            <w:pPr>
              <w:spacing w:before="60" w:after="60" w:line="240" w:lineRule="auto"/>
              <w:ind w:left="100"/>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lang w:eastAsia="en-AU"/>
              </w:rPr>
            </w:pPr>
          </w:p>
        </w:tc>
        <w:tc>
          <w:tcPr>
            <w:tcW w:w="1235" w:type="pct"/>
          </w:tcPr>
          <w:p w14:paraId="37B5F55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University of Technology Sydney, Ultimo, NSW</w:t>
            </w:r>
          </w:p>
        </w:tc>
        <w:tc>
          <w:tcPr>
            <w:tcW w:w="2011" w:type="pct"/>
          </w:tcPr>
          <w:p w14:paraId="5A91429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Random Positioning Machine</w:t>
            </w:r>
          </w:p>
          <w:p w14:paraId="11B4D26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No response received</w:t>
            </w:r>
          </w:p>
        </w:tc>
      </w:tr>
    </w:tbl>
    <w:p w14:paraId="63910BD9" w14:textId="77777777" w:rsidR="008204CA" w:rsidRPr="008204CA" w:rsidRDefault="008204CA" w:rsidP="008204CA">
      <w:pPr>
        <w:spacing w:before="0" w:after="160" w:line="259" w:lineRule="auto"/>
        <w:rPr>
          <w:rFonts w:ascii="Century Gothic" w:hAnsi="Century Gothic" w:cs="Arial"/>
          <w:iCs w:val="0"/>
          <w:sz w:val="22"/>
          <w:szCs w:val="22"/>
          <w:lang w:val="en-ZA"/>
        </w:rPr>
      </w:pPr>
      <w:r w:rsidRPr="008204CA">
        <w:rPr>
          <w:rFonts w:ascii="Century Gothic" w:hAnsi="Century Gothic" w:cs="Arial"/>
          <w:iCs w:val="0"/>
          <w:sz w:val="22"/>
          <w:szCs w:val="22"/>
          <w:lang w:val="en-ZA"/>
        </w:rPr>
        <w:br w:type="page"/>
      </w:r>
    </w:p>
    <w:tbl>
      <w:tblPr>
        <w:tblStyle w:val="GridTable42"/>
        <w:tblW w:w="5000" w:type="pct"/>
        <w:tblLook w:val="04A0" w:firstRow="1" w:lastRow="0" w:firstColumn="1" w:lastColumn="0" w:noHBand="0" w:noVBand="1"/>
      </w:tblPr>
      <w:tblGrid>
        <w:gridCol w:w="1546"/>
        <w:gridCol w:w="3947"/>
        <w:gridCol w:w="2678"/>
        <w:gridCol w:w="5777"/>
      </w:tblGrid>
      <w:tr w:rsidR="008204CA" w:rsidRPr="008204CA" w14:paraId="265AB4D0" w14:textId="77777777" w:rsidTr="00820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4E8080BD" w14:textId="77777777" w:rsidR="008204CA" w:rsidRPr="008204CA" w:rsidRDefault="008204CA" w:rsidP="008204CA">
            <w:pPr>
              <w:tabs>
                <w:tab w:val="left" w:pos="346"/>
              </w:tabs>
              <w:spacing w:before="0" w:after="0" w:line="240" w:lineRule="auto"/>
              <w:ind w:left="100"/>
              <w:jc w:val="center"/>
              <w:rPr>
                <w:rFonts w:ascii="Century Gothic" w:hAnsi="Century Gothic"/>
                <w:iCs w:val="0"/>
                <w:sz w:val="18"/>
                <w:szCs w:val="18"/>
              </w:rPr>
            </w:pPr>
            <w:r w:rsidRPr="008204CA">
              <w:rPr>
                <w:rFonts w:ascii="Century Gothic" w:hAnsi="Century Gothic"/>
                <w:iCs w:val="0"/>
                <w:sz w:val="18"/>
                <w:szCs w:val="18"/>
              </w:rPr>
              <w:lastRenderedPageBreak/>
              <w:t>Class</w:t>
            </w:r>
          </w:p>
        </w:tc>
        <w:tc>
          <w:tcPr>
            <w:tcW w:w="0" w:type="pct"/>
          </w:tcPr>
          <w:p w14:paraId="32D7A4A2"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Test</w:t>
            </w:r>
          </w:p>
        </w:tc>
        <w:tc>
          <w:tcPr>
            <w:tcW w:w="0" w:type="pct"/>
          </w:tcPr>
          <w:p w14:paraId="15D3A9C1" w14:textId="77777777" w:rsidR="008204CA" w:rsidRPr="008204CA" w:rsidRDefault="008204CA" w:rsidP="008204C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Identified Facilities</w:t>
            </w:r>
          </w:p>
        </w:tc>
        <w:tc>
          <w:tcPr>
            <w:tcW w:w="0" w:type="pct"/>
          </w:tcPr>
          <w:p w14:paraId="74240EDA" w14:textId="77777777" w:rsidR="008204CA" w:rsidRPr="008204CA" w:rsidRDefault="008204CA" w:rsidP="008204CA">
            <w:pPr>
              <w:spacing w:before="0" w:after="0" w:line="240" w:lineRule="auto"/>
              <w:ind w:left="100"/>
              <w:jc w:val="cente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Capability</w:t>
            </w:r>
          </w:p>
        </w:tc>
      </w:tr>
      <w:tr w:rsidR="008204CA" w:rsidRPr="008204CA" w14:paraId="0580E7F9" w14:textId="77777777" w:rsidTr="008204CA">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54" w:type="pct"/>
            <w:vMerge w:val="restart"/>
          </w:tcPr>
          <w:p w14:paraId="00D74D88" w14:textId="77777777" w:rsidR="008204CA" w:rsidRPr="008204CA" w:rsidRDefault="008204CA" w:rsidP="008204CA">
            <w:pPr>
              <w:tabs>
                <w:tab w:val="left" w:pos="346"/>
              </w:tabs>
              <w:spacing w:before="60" w:after="60" w:line="240" w:lineRule="auto"/>
              <w:rPr>
                <w:rFonts w:ascii="Century Gothic" w:hAnsi="Century Gothic"/>
                <w:iCs w:val="0"/>
                <w:color w:val="FFFFFF"/>
                <w:sz w:val="18"/>
                <w:szCs w:val="18"/>
                <w:lang w:eastAsia="en-AU"/>
              </w:rPr>
            </w:pPr>
            <w:r w:rsidRPr="008204CA">
              <w:rPr>
                <w:rFonts w:ascii="Century Gothic" w:hAnsi="Century Gothic"/>
                <w:iCs w:val="0"/>
                <w:color w:val="000000"/>
                <w:szCs w:val="20"/>
                <w:lang w:eastAsia="en-AU"/>
              </w:rPr>
              <w:t>Solar Simulation</w:t>
            </w:r>
          </w:p>
        </w:tc>
        <w:tc>
          <w:tcPr>
            <w:tcW w:w="1415" w:type="pct"/>
            <w:vMerge w:val="restart"/>
          </w:tcPr>
          <w:p w14:paraId="5EC6163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Solar cell/panel testing</w:t>
            </w:r>
          </w:p>
          <w:p w14:paraId="704E7A6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Sun sensor calibration</w:t>
            </w:r>
          </w:p>
          <w:p w14:paraId="0DBB42A6"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Xenon Arc Solar Radiation</w:t>
            </w:r>
          </w:p>
          <w:p w14:paraId="63F8A3C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When coupled with a vacuum chamber, useful for operational performance testing of spacecraft, thermal model and thermal design validation, and operations planning</w:t>
            </w:r>
          </w:p>
          <w:p w14:paraId="54B11D4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facilities are intended for life and weather testing of commercial solar panels – potential contamination and moisture concerns for space hardware</w:t>
            </w:r>
          </w:p>
          <w:p w14:paraId="29BE22C3"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 flux facilities can potentially be adapted for aerothermodynamic testing (eg re-entry heating)</w:t>
            </w:r>
          </w:p>
        </w:tc>
        <w:tc>
          <w:tcPr>
            <w:tcW w:w="960" w:type="pct"/>
          </w:tcPr>
          <w:p w14:paraId="7E485C1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Castle Hill, NSW</w:t>
            </w:r>
          </w:p>
        </w:tc>
        <w:tc>
          <w:tcPr>
            <w:tcW w:w="2071" w:type="pct"/>
            <w:vMerge w:val="restart"/>
          </w:tcPr>
          <w:p w14:paraId="3902DD77"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Commercial test house</w:t>
            </w:r>
          </w:p>
          <w:p w14:paraId="3DF6EDBB"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Xenon-arc solar radiation / weathering chambers across sites</w:t>
            </w:r>
          </w:p>
          <w:p w14:paraId="450AEE0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300mm</w:t>
            </w:r>
            <w:r w:rsidRPr="008204CA">
              <w:rPr>
                <w:rFonts w:ascii="Century Gothic" w:hAnsi="Century Gothic"/>
                <w:iCs w:val="0"/>
                <w:sz w:val="18"/>
                <w:szCs w:val="18"/>
                <w:vertAlign w:val="superscript"/>
              </w:rPr>
              <w:t xml:space="preserve">2 </w:t>
            </w:r>
            <w:r w:rsidRPr="008204CA">
              <w:rPr>
                <w:rFonts w:ascii="Century Gothic" w:hAnsi="Century Gothic"/>
                <w:iCs w:val="0"/>
                <w:sz w:val="18"/>
                <w:szCs w:val="18"/>
              </w:rPr>
              <w:t xml:space="preserve">sample size  </w:t>
            </w:r>
          </w:p>
          <w:p w14:paraId="4F5B8818"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Suitability for space hardware testing TBD</w:t>
            </w:r>
          </w:p>
        </w:tc>
      </w:tr>
      <w:tr w:rsidR="008204CA" w:rsidRPr="008204CA" w14:paraId="11DA17A6" w14:textId="77777777" w:rsidTr="008204CA">
        <w:trPr>
          <w:trHeight w:val="112"/>
        </w:trPr>
        <w:tc>
          <w:tcPr>
            <w:cnfStyle w:val="001000000000" w:firstRow="0" w:lastRow="0" w:firstColumn="1" w:lastColumn="0" w:oddVBand="0" w:evenVBand="0" w:oddHBand="0" w:evenHBand="0" w:firstRowFirstColumn="0" w:firstRowLastColumn="0" w:lastRowFirstColumn="0" w:lastRowLastColumn="0"/>
            <w:tcW w:w="554" w:type="pct"/>
            <w:vMerge/>
          </w:tcPr>
          <w:p w14:paraId="3D4FFA79"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4048C495"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960" w:type="pct"/>
          </w:tcPr>
          <w:p w14:paraId="42AA4CB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Reservoir VIC</w:t>
            </w:r>
          </w:p>
        </w:tc>
        <w:tc>
          <w:tcPr>
            <w:tcW w:w="2071" w:type="pct"/>
            <w:vMerge/>
          </w:tcPr>
          <w:p w14:paraId="1A4CDD7F"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r>
      <w:tr w:rsidR="008204CA" w:rsidRPr="008204CA" w14:paraId="430852A1" w14:textId="77777777" w:rsidTr="008204C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54" w:type="pct"/>
            <w:vMerge/>
          </w:tcPr>
          <w:p w14:paraId="76C9EBDB"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3B6A255F"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960" w:type="pct"/>
          </w:tcPr>
          <w:p w14:paraId="72288E3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Austest Laboratories, Para Hills West, SA</w:t>
            </w:r>
          </w:p>
        </w:tc>
        <w:tc>
          <w:tcPr>
            <w:tcW w:w="2071" w:type="pct"/>
            <w:vMerge/>
          </w:tcPr>
          <w:p w14:paraId="18E5CD7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r>
      <w:tr w:rsidR="008204CA" w:rsidRPr="008204CA" w14:paraId="1791E9BD" w14:textId="77777777" w:rsidTr="008204CA">
        <w:trPr>
          <w:trHeight w:val="84"/>
        </w:trPr>
        <w:tc>
          <w:tcPr>
            <w:cnfStyle w:val="001000000000" w:firstRow="0" w:lastRow="0" w:firstColumn="1" w:lastColumn="0" w:oddVBand="0" w:evenVBand="0" w:oddHBand="0" w:evenHBand="0" w:firstRowFirstColumn="0" w:firstRowLastColumn="0" w:lastRowFirstColumn="0" w:lastRowLastColumn="0"/>
            <w:tcW w:w="554" w:type="pct"/>
            <w:vMerge/>
          </w:tcPr>
          <w:p w14:paraId="3156C2C1"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687A3EE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960" w:type="pct"/>
          </w:tcPr>
          <w:p w14:paraId="34CC072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ANU RSPE, Canberra ACT</w:t>
            </w:r>
          </w:p>
        </w:tc>
        <w:tc>
          <w:tcPr>
            <w:tcW w:w="2071" w:type="pct"/>
          </w:tcPr>
          <w:p w14:paraId="123A1CF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High Flux Solar Simulator</w:t>
            </w:r>
          </w:p>
          <w:p w14:paraId="5A76B887"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tc>
      </w:tr>
      <w:tr w:rsidR="008204CA" w:rsidRPr="008204CA" w14:paraId="236FFB2D" w14:textId="77777777" w:rsidTr="008204C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554" w:type="pct"/>
            <w:vMerge/>
          </w:tcPr>
          <w:p w14:paraId="53C0B134"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225B04E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960" w:type="pct"/>
          </w:tcPr>
          <w:p w14:paraId="18D84380"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Boeing Australia, Brisbane, Qld</w:t>
            </w:r>
          </w:p>
        </w:tc>
        <w:tc>
          <w:tcPr>
            <w:tcW w:w="2071" w:type="pct"/>
          </w:tcPr>
          <w:p w14:paraId="3BA24BB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with Xenon or infra-red heating lamps.</w:t>
            </w:r>
          </w:p>
          <w:p w14:paraId="5C3F4029"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Can reach 1200W/m</w:t>
            </w:r>
            <w:r w:rsidRPr="008204CA">
              <w:rPr>
                <w:rFonts w:ascii="Century Gothic" w:hAnsi="Century Gothic"/>
                <w:iCs w:val="0"/>
                <w:sz w:val="18"/>
                <w:szCs w:val="18"/>
                <w:vertAlign w:val="superscript"/>
              </w:rPr>
              <w:t>2</w:t>
            </w:r>
          </w:p>
          <w:p w14:paraId="018D43D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Chamber size &amp; lamp location not provided</w:t>
            </w:r>
          </w:p>
        </w:tc>
      </w:tr>
      <w:tr w:rsidR="008204CA" w:rsidRPr="008204CA" w14:paraId="747BF8CD" w14:textId="77777777" w:rsidTr="008204CA">
        <w:trPr>
          <w:trHeight w:val="84"/>
        </w:trPr>
        <w:tc>
          <w:tcPr>
            <w:cnfStyle w:val="001000000000" w:firstRow="0" w:lastRow="0" w:firstColumn="1" w:lastColumn="0" w:oddVBand="0" w:evenVBand="0" w:oddHBand="0" w:evenHBand="0" w:firstRowFirstColumn="0" w:firstRowLastColumn="0" w:lastRowFirstColumn="0" w:lastRowLastColumn="0"/>
            <w:tcW w:w="554" w:type="pct"/>
            <w:vMerge/>
          </w:tcPr>
          <w:p w14:paraId="1A03BB0D"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1C2BAE90"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p>
        </w:tc>
        <w:tc>
          <w:tcPr>
            <w:tcW w:w="960" w:type="pct"/>
          </w:tcPr>
          <w:p w14:paraId="52D49B6C"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UNSW Canberra, Canberra ACT</w:t>
            </w:r>
          </w:p>
        </w:tc>
        <w:tc>
          <w:tcPr>
            <w:tcW w:w="2071" w:type="pct"/>
          </w:tcPr>
          <w:p w14:paraId="415B5CE8"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12” COTS solar simulator</w:t>
            </w:r>
          </w:p>
          <w:p w14:paraId="69080A31" w14:textId="77777777" w:rsidR="008204CA" w:rsidRPr="008204CA" w:rsidRDefault="008204CA" w:rsidP="00405923">
            <w:pPr>
              <w:numPr>
                <w:ilvl w:val="0"/>
                <w:numId w:val="21"/>
              </w:numPr>
              <w:spacing w:before="60" w:after="60" w:line="200" w:lineRule="atLeast"/>
              <w:ind w:left="319" w:hanging="219"/>
              <w:cnfStyle w:val="000000000000" w:firstRow="0" w:lastRow="0" w:firstColumn="0" w:lastColumn="0" w:oddVBand="0" w:evenVBand="0" w:oddHBand="0"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Spectral calibration not reliable; field not flat</w:t>
            </w:r>
          </w:p>
        </w:tc>
      </w:tr>
      <w:tr w:rsidR="008204CA" w:rsidRPr="008204CA" w14:paraId="3A2C5603" w14:textId="77777777" w:rsidTr="008204CA">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554" w:type="pct"/>
            <w:vMerge/>
          </w:tcPr>
          <w:p w14:paraId="5304CC1A" w14:textId="77777777" w:rsidR="008204CA" w:rsidRPr="008204CA" w:rsidRDefault="008204CA" w:rsidP="00405923">
            <w:pPr>
              <w:numPr>
                <w:ilvl w:val="0"/>
                <w:numId w:val="21"/>
              </w:numPr>
              <w:tabs>
                <w:tab w:val="left" w:pos="346"/>
              </w:tabs>
              <w:spacing w:before="60" w:after="60" w:line="200" w:lineRule="atLeast"/>
              <w:ind w:left="460"/>
              <w:rPr>
                <w:rFonts w:ascii="Century Gothic" w:hAnsi="Century Gothic"/>
                <w:iCs w:val="0"/>
                <w:sz w:val="18"/>
                <w:szCs w:val="18"/>
              </w:rPr>
            </w:pPr>
          </w:p>
        </w:tc>
        <w:tc>
          <w:tcPr>
            <w:tcW w:w="1415" w:type="pct"/>
            <w:vMerge/>
          </w:tcPr>
          <w:p w14:paraId="7A16F68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p>
        </w:tc>
        <w:tc>
          <w:tcPr>
            <w:tcW w:w="960" w:type="pct"/>
          </w:tcPr>
          <w:p w14:paraId="5DFDA21E"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Vipac Engineers &amp; Scientists, Port Melbourne VIC</w:t>
            </w:r>
          </w:p>
        </w:tc>
        <w:tc>
          <w:tcPr>
            <w:tcW w:w="2071" w:type="pct"/>
          </w:tcPr>
          <w:p w14:paraId="66412E8A"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30kW lamp array</w:t>
            </w:r>
          </w:p>
          <w:p w14:paraId="6DA35592"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Facility details not provided in response</w:t>
            </w:r>
          </w:p>
          <w:p w14:paraId="2E16C265" w14:textId="77777777" w:rsidR="008204CA" w:rsidRPr="008204CA" w:rsidRDefault="008204CA" w:rsidP="00405923">
            <w:pPr>
              <w:numPr>
                <w:ilvl w:val="0"/>
                <w:numId w:val="21"/>
              </w:numPr>
              <w:spacing w:before="60" w:after="60" w:line="200" w:lineRule="atLeast"/>
              <w:ind w:left="319" w:hanging="219"/>
              <w:cnfStyle w:val="000000100000" w:firstRow="0" w:lastRow="0" w:firstColumn="0" w:lastColumn="0" w:oddVBand="0" w:evenVBand="0" w:oddHBand="1" w:evenHBand="0" w:firstRowFirstColumn="0" w:firstRowLastColumn="0" w:lastRowFirstColumn="0" w:lastRowLastColumn="0"/>
              <w:rPr>
                <w:rFonts w:ascii="Century Gothic" w:hAnsi="Century Gothic"/>
                <w:iCs w:val="0"/>
                <w:sz w:val="18"/>
                <w:szCs w:val="18"/>
              </w:rPr>
            </w:pPr>
            <w:r w:rsidRPr="008204CA">
              <w:rPr>
                <w:rFonts w:ascii="Century Gothic" w:hAnsi="Century Gothic"/>
                <w:iCs w:val="0"/>
                <w:sz w:val="18"/>
                <w:szCs w:val="18"/>
              </w:rPr>
              <w:t>Suitability for space hardware testing TBD</w:t>
            </w:r>
          </w:p>
        </w:tc>
      </w:tr>
    </w:tbl>
    <w:p w14:paraId="52CEBEDF" w14:textId="7C96C45D" w:rsidR="00D96D08" w:rsidRPr="00B308C1" w:rsidRDefault="00D96D08" w:rsidP="004938CD"/>
    <w:sectPr w:rsidR="00D96D08" w:rsidRPr="00B308C1" w:rsidSect="008204CA">
      <w:pgSz w:w="16838" w:h="11906" w:orient="landscape"/>
      <w:pgMar w:top="1077" w:right="1440" w:bottom="1077"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F525" w14:textId="77777777" w:rsidR="00975FDC" w:rsidRDefault="00975FDC" w:rsidP="00077C3D">
      <w:r>
        <w:separator/>
      </w:r>
    </w:p>
  </w:endnote>
  <w:endnote w:type="continuationSeparator" w:id="0">
    <w:p w14:paraId="741CAF00" w14:textId="77777777" w:rsidR="00975FDC" w:rsidRDefault="00975FDC" w:rsidP="00077C3D">
      <w:r>
        <w:continuationSeparator/>
      </w:r>
    </w:p>
  </w:endnote>
  <w:endnote w:type="continuationNotice" w:id="1">
    <w:p w14:paraId="4169F2F9" w14:textId="77777777" w:rsidR="00975FDC" w:rsidRDefault="00975FD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447C" w14:textId="77777777" w:rsidR="0085061C" w:rsidRDefault="00850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5CEE" w14:textId="77777777" w:rsidR="0085061C" w:rsidRDefault="00850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9071FF5" w:rsidR="00975FDC" w:rsidRPr="0059733A" w:rsidRDefault="00975FDC"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9AF4AEB" w:rsidR="00975FDC" w:rsidRDefault="00975FDC" w:rsidP="00007E4B">
    <w:pPr>
      <w:pStyle w:val="Footer"/>
      <w:tabs>
        <w:tab w:val="clear" w:pos="4153"/>
        <w:tab w:val="clear" w:pos="8306"/>
        <w:tab w:val="center" w:pos="4962"/>
        <w:tab w:val="right" w:pos="8789"/>
      </w:tabs>
    </w:pPr>
    <w:r>
      <w:t>Space Infrastructure Fund: Space Payload Qualification Facilities</w:t>
    </w:r>
  </w:p>
  <w:p w14:paraId="0B280E19" w14:textId="4F366E81" w:rsidR="00975FDC" w:rsidRDefault="00975FDC" w:rsidP="00E963B8">
    <w:pPr>
      <w:pStyle w:val="Footer"/>
      <w:tabs>
        <w:tab w:val="clear" w:pos="4153"/>
        <w:tab w:val="clear" w:pos="8306"/>
        <w:tab w:val="center" w:pos="4962"/>
        <w:tab w:val="right" w:pos="8789"/>
      </w:tabs>
      <w:rPr>
        <w:noProof/>
      </w:rPr>
    </w:pPr>
    <w:r>
      <w:t>Grant opportunity guidelines</w:t>
    </w:r>
    <w:r>
      <w:tab/>
      <w:t>October 2020</w:t>
    </w:r>
    <w:r w:rsidRPr="005B72F4">
      <w:tab/>
      <w:t xml:space="preserve">Page </w:t>
    </w:r>
    <w:r w:rsidRPr="005B72F4">
      <w:fldChar w:fldCharType="begin"/>
    </w:r>
    <w:r w:rsidRPr="005B72F4">
      <w:instrText xml:space="preserve"> PAGE </w:instrText>
    </w:r>
    <w:r w:rsidRPr="005B72F4">
      <w:fldChar w:fldCharType="separate"/>
    </w:r>
    <w:r w:rsidR="0085061C">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5061C">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75FDC" w:rsidRDefault="00975FDC" w:rsidP="00077C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26D8" w14:textId="77777777" w:rsidR="00975FDC" w:rsidRPr="00686ED1" w:rsidRDefault="00975FDC">
    <w:pPr>
      <w:pStyle w:val="Footer"/>
      <w:rPr>
        <w:sz w:val="20"/>
        <w:szCs w:val="20"/>
      </w:rPr>
    </w:pPr>
    <w:r>
      <w:ptab w:relativeTo="margin" w:alignment="center" w:leader="none"/>
    </w:r>
    <w:r w:rsidRPr="00686ED1">
      <w:rPr>
        <w:rStyle w:val="normaltextrun"/>
        <w:rFonts w:cs="Calibri"/>
        <w:color w:val="898989"/>
        <w:position w:val="1"/>
        <w:sz w:val="18"/>
        <w:szCs w:val="18"/>
        <w:shd w:val="clear" w:color="auto" w:fill="FFFFFF" w:themeFill="background1"/>
      </w:rPr>
      <w:t>© 2020 Nova Systems Australia Pty Ltd</w:t>
    </w:r>
    <w:r>
      <w:rPr>
        <w:rStyle w:val="eop"/>
        <w:rFonts w:ascii="Calibri" w:hAnsi="Calibri" w:cs="Calibri"/>
        <w:color w:val="000000"/>
        <w:szCs w:val="16"/>
        <w:shd w:val="clear" w:color="auto" w:fill="EDEBE9"/>
      </w:rPr>
      <w:t>​</w:t>
    </w:r>
    <w:r>
      <w:ptab w:relativeTo="margin" w:alignment="right" w:leader="none"/>
    </w:r>
    <w:r w:rsidRPr="00686ED1">
      <w:rPr>
        <w:sz w:val="20"/>
        <w:szCs w:val="20"/>
      </w:rPr>
      <w:fldChar w:fldCharType="begin"/>
    </w:r>
    <w:r w:rsidRPr="00686ED1">
      <w:rPr>
        <w:sz w:val="20"/>
        <w:szCs w:val="20"/>
      </w:rPr>
      <w:instrText xml:space="preserve"> PAGE   \* MERGEFORMAT </w:instrText>
    </w:r>
    <w:r w:rsidRPr="00686ED1">
      <w:rPr>
        <w:sz w:val="20"/>
        <w:szCs w:val="20"/>
      </w:rPr>
      <w:fldChar w:fldCharType="separate"/>
    </w:r>
    <w:r w:rsidR="0085061C">
      <w:rPr>
        <w:noProof/>
        <w:sz w:val="20"/>
        <w:szCs w:val="20"/>
      </w:rPr>
      <w:t>31</w:t>
    </w:r>
    <w:r w:rsidRPr="00686ED1">
      <w:rPr>
        <w:noProof/>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AE58" w14:textId="77777777" w:rsidR="00975FDC" w:rsidRPr="00686ED1" w:rsidRDefault="00975FDC">
    <w:pPr>
      <w:pStyle w:val="Footer"/>
      <w:rPr>
        <w:sz w:val="20"/>
        <w:szCs w:val="20"/>
      </w:rPr>
    </w:pPr>
    <w:r>
      <w:ptab w:relativeTo="margin" w:alignment="center" w:leader="none"/>
    </w:r>
    <w:r w:rsidRPr="008204CA">
      <w:rPr>
        <w:rStyle w:val="normaltextrun"/>
        <w:rFonts w:cs="Calibri"/>
        <w:color w:val="898989"/>
        <w:position w:val="1"/>
        <w:sz w:val="18"/>
        <w:szCs w:val="18"/>
        <w:shd w:val="clear" w:color="auto" w:fill="FFFFFF"/>
      </w:rPr>
      <w:t>© 2020 Nova Systems Australia Pty Ltd</w:t>
    </w:r>
    <w:r>
      <w:rPr>
        <w:rStyle w:val="eop"/>
        <w:rFonts w:ascii="Calibri" w:hAnsi="Calibri" w:cs="Calibri"/>
        <w:color w:val="000000"/>
        <w:szCs w:val="16"/>
        <w:shd w:val="clear" w:color="auto" w:fill="EDEBE9"/>
      </w:rPr>
      <w:t>​</w:t>
    </w:r>
    <w:r>
      <w:ptab w:relativeTo="margin" w:alignment="right" w:leader="none"/>
    </w:r>
    <w:r w:rsidRPr="00686ED1">
      <w:rPr>
        <w:sz w:val="20"/>
        <w:szCs w:val="20"/>
      </w:rPr>
      <w:fldChar w:fldCharType="begin"/>
    </w:r>
    <w:r w:rsidRPr="00686ED1">
      <w:rPr>
        <w:sz w:val="20"/>
        <w:szCs w:val="20"/>
      </w:rPr>
      <w:instrText xml:space="preserve"> PAGE   \* MERGEFORMAT </w:instrText>
    </w:r>
    <w:r w:rsidRPr="00686ED1">
      <w:rPr>
        <w:sz w:val="20"/>
        <w:szCs w:val="20"/>
      </w:rPr>
      <w:fldChar w:fldCharType="separate"/>
    </w:r>
    <w:r w:rsidR="0085061C">
      <w:rPr>
        <w:noProof/>
        <w:sz w:val="20"/>
        <w:szCs w:val="20"/>
      </w:rPr>
      <w:t>36</w:t>
    </w:r>
    <w:r w:rsidRPr="00686ED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BB2D" w14:textId="77777777" w:rsidR="00975FDC" w:rsidRDefault="00975FDC" w:rsidP="00077C3D">
      <w:r>
        <w:separator/>
      </w:r>
    </w:p>
  </w:footnote>
  <w:footnote w:type="continuationSeparator" w:id="0">
    <w:p w14:paraId="650EDCA7" w14:textId="77777777" w:rsidR="00975FDC" w:rsidRDefault="00975FDC" w:rsidP="00077C3D">
      <w:r>
        <w:continuationSeparator/>
      </w:r>
    </w:p>
  </w:footnote>
  <w:footnote w:type="continuationNotice" w:id="1">
    <w:p w14:paraId="0F7DE345" w14:textId="77777777" w:rsidR="00975FDC" w:rsidRDefault="00975FDC" w:rsidP="00077C3D"/>
  </w:footnote>
  <w:footnote w:id="2">
    <w:p w14:paraId="182BBCE4" w14:textId="77777777" w:rsidR="00975FDC" w:rsidRDefault="00975FDC" w:rsidP="00981B3D">
      <w:pPr>
        <w:pStyle w:val="FootnoteText"/>
      </w:pPr>
      <w:r>
        <w:rPr>
          <w:rStyle w:val="FootnoteReference"/>
        </w:rPr>
        <w:footnoteRef/>
      </w:r>
      <w:r>
        <w:t xml:space="preserve"> </w:t>
      </w:r>
      <w:hyperlink r:id="rId1" w:history="1">
        <w:r>
          <w:rPr>
            <w:rStyle w:val="Hyperlink"/>
          </w:rPr>
          <w:t>https://www.finance.gov.au/government/commonwealth-grants/commonwealth-grants-rules-guidelines</w:t>
        </w:r>
      </w:hyperlink>
      <w:r>
        <w:rPr>
          <w:rStyle w:val="Hyperlink"/>
        </w:rPr>
        <w:t xml:space="preserve"> </w:t>
      </w:r>
    </w:p>
  </w:footnote>
  <w:footnote w:id="3">
    <w:p w14:paraId="29592B70" w14:textId="77777777" w:rsidR="00975FDC" w:rsidRDefault="00975FDC" w:rsidP="00981B3D">
      <w:pPr>
        <w:pStyle w:val="FootnoteText"/>
      </w:pPr>
      <w:r>
        <w:rPr>
          <w:rStyle w:val="FootnoteReference"/>
        </w:rPr>
        <w:footnoteRef/>
      </w:r>
      <w:r>
        <w:t xml:space="preserve"> </w:t>
      </w:r>
      <w:hyperlink r:id="rId2" w:history="1">
        <w:r>
          <w:rPr>
            <w:rStyle w:val="Hyperlink"/>
          </w:rPr>
          <w:t>https://www.finance.gov.au/sites/default/files/commonwealth-grants-rules-and-guidelines.pdf</w:t>
        </w:r>
      </w:hyperlink>
      <w:r>
        <w:t xml:space="preserve"> </w:t>
      </w:r>
    </w:p>
  </w:footnote>
  <w:footnote w:id="4">
    <w:p w14:paraId="2E39A532" w14:textId="39AB946F" w:rsidR="00975FDC" w:rsidRPr="005A61FE" w:rsidRDefault="00975FDC">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975FDC" w:rsidRDefault="00975FDC"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975FDC" w:rsidRDefault="00975FDC"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7">
    <w:p w14:paraId="25F65429" w14:textId="642D7651" w:rsidR="00975FDC" w:rsidRDefault="00975FDC"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44FC" w14:textId="77777777" w:rsidR="0085061C" w:rsidRDefault="00850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0416" w14:textId="77777777" w:rsidR="0085061C" w:rsidRDefault="00850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C76B" w14:textId="197A97BB" w:rsidR="00975FDC" w:rsidRDefault="00975FDC" w:rsidP="00C87FEC">
    <w:pPr>
      <w:pStyle w:val="NoSpacing"/>
    </w:pPr>
    <w:r>
      <w:rPr>
        <w:noProof/>
        <w:lang w:eastAsia="en-AU"/>
      </w:rPr>
      <w:drawing>
        <wp:inline distT="0" distB="0" distL="0" distR="0" wp14:anchorId="6BE0503B" wp14:editId="67F79BEF">
          <wp:extent cx="5554980" cy="769620"/>
          <wp:effectExtent l="0" t="0" r="7620" b="0"/>
          <wp:docPr id="1" name="Picture 1" descr="DISER | ASA | Busin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ER%20ASA%20banne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54980" cy="769620"/>
                  </a:xfrm>
                  <a:prstGeom prst="rect">
                    <a:avLst/>
                  </a:prstGeom>
                  <a:noFill/>
                  <a:ln>
                    <a:noFill/>
                  </a:ln>
                </pic:spPr>
              </pic:pic>
            </a:graphicData>
          </a:graphic>
        </wp:inline>
      </w:drawing>
    </w:r>
  </w:p>
  <w:p w14:paraId="29592193" w14:textId="77777777" w:rsidR="00975FDC" w:rsidRDefault="00975FDC" w:rsidP="00C87FEC">
    <w:pPr>
      <w:pStyle w:val="Title"/>
    </w:pPr>
    <w:r>
      <w:t>Grant Opportunity Guidelines</w:t>
    </w:r>
  </w:p>
  <w:p w14:paraId="55B98D24" w14:textId="7A997311" w:rsidR="00975FDC" w:rsidRPr="00C87FEC" w:rsidRDefault="00975FDC" w:rsidP="00C87F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2748" w14:textId="77777777" w:rsidR="00975FDC" w:rsidRDefault="00975FDC" w:rsidP="00402271">
    <w:pPr>
      <w:pStyle w:val="Header"/>
      <w:jc w:val="right"/>
    </w:pPr>
    <w:r>
      <w:rPr>
        <w:noProof/>
        <w:lang w:eastAsia="en-AU"/>
      </w:rPr>
      <w:drawing>
        <wp:inline distT="0" distB="0" distL="0" distR="0" wp14:anchorId="763AD132" wp14:editId="49785FAD">
          <wp:extent cx="1080000" cy="841649"/>
          <wp:effectExtent l="0" t="0" r="6350" b="0"/>
          <wp:docPr id="34" name="Picture 3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0000" cy="841649"/>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A0B9" w14:textId="77777777" w:rsidR="00975FDC" w:rsidRDefault="00975FDC" w:rsidP="008204CA">
    <w:pPr>
      <w:pStyle w:val="Header"/>
      <w:jc w:val="right"/>
    </w:pPr>
    <w:r>
      <w:rPr>
        <w:noProof/>
        <w:lang w:eastAsia="en-AU"/>
      </w:rPr>
      <w:drawing>
        <wp:inline distT="0" distB="0" distL="0" distR="0" wp14:anchorId="37678C3C" wp14:editId="1A7BBCEE">
          <wp:extent cx="1080000" cy="841649"/>
          <wp:effectExtent l="0" t="0" r="6350" b="0"/>
          <wp:docPr id="33" name="Picture 3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0000" cy="8416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EFCABA8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9B3A86"/>
    <w:multiLevelType w:val="hybridMultilevel"/>
    <w:tmpl w:val="D4A2D3EC"/>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3311C30"/>
    <w:multiLevelType w:val="hybridMultilevel"/>
    <w:tmpl w:val="BCF22F3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C622960C"/>
    <w:lvl w:ilvl="0" w:tplc="6EECE7B6">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4C409D"/>
    <w:multiLevelType w:val="hybridMultilevel"/>
    <w:tmpl w:val="EDDCB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C8A308D"/>
    <w:multiLevelType w:val="hybridMultilevel"/>
    <w:tmpl w:val="AF8864CA"/>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0F00977"/>
    <w:multiLevelType w:val="hybridMultilevel"/>
    <w:tmpl w:val="75D4C244"/>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2C4B17"/>
    <w:multiLevelType w:val="hybridMultilevel"/>
    <w:tmpl w:val="F53810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92A15B1"/>
    <w:multiLevelType w:val="hybridMultilevel"/>
    <w:tmpl w:val="5FCEF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142C13"/>
    <w:multiLevelType w:val="hybridMultilevel"/>
    <w:tmpl w:val="470AD3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A34DB9"/>
    <w:multiLevelType w:val="hybridMultilevel"/>
    <w:tmpl w:val="0242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0314B"/>
    <w:multiLevelType w:val="hybridMultilevel"/>
    <w:tmpl w:val="ADB21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273908"/>
    <w:multiLevelType w:val="hybridMultilevel"/>
    <w:tmpl w:val="2C2ACB0E"/>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A6458F"/>
    <w:multiLevelType w:val="hybridMultilevel"/>
    <w:tmpl w:val="69CC283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97606"/>
    <w:multiLevelType w:val="multilevel"/>
    <w:tmpl w:val="2CC62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82F25A5"/>
    <w:multiLevelType w:val="hybridMultilevel"/>
    <w:tmpl w:val="C8608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7477C4"/>
    <w:multiLevelType w:val="hybridMultilevel"/>
    <w:tmpl w:val="BA98E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EB147E"/>
    <w:multiLevelType w:val="hybridMultilevel"/>
    <w:tmpl w:val="74ECDC9A"/>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E26B1"/>
    <w:multiLevelType w:val="hybridMultilevel"/>
    <w:tmpl w:val="FB081AC2"/>
    <w:lvl w:ilvl="0" w:tplc="0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9A331D5"/>
    <w:multiLevelType w:val="hybridMultilevel"/>
    <w:tmpl w:val="BCF22F3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26" w15:restartNumberingAfterBreak="0">
    <w:nsid w:val="4DAB7133"/>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4DFA3EA3"/>
    <w:multiLevelType w:val="hybridMultilevel"/>
    <w:tmpl w:val="133EA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1C42A5"/>
    <w:multiLevelType w:val="hybridMultilevel"/>
    <w:tmpl w:val="DEB67730"/>
    <w:lvl w:ilvl="0" w:tplc="0A9A08FC">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2A484B"/>
    <w:multiLevelType w:val="hybridMultilevel"/>
    <w:tmpl w:val="564AED3C"/>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5EE5441"/>
    <w:multiLevelType w:val="hybridMultilevel"/>
    <w:tmpl w:val="1186B8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2BF0C31"/>
    <w:multiLevelType w:val="multilevel"/>
    <w:tmpl w:val="351850A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6" w:hanging="432"/>
      </w:pPr>
      <w:rPr>
        <w:rFonts w:hint="default"/>
      </w:rPr>
    </w:lvl>
    <w:lvl w:ilvl="2">
      <w:start w:val="1"/>
      <w:numFmt w:val="decimal"/>
      <w:pStyle w:val="Heading4"/>
      <w:lvlText w:val="%1.%2.%3."/>
      <w:lvlJc w:val="left"/>
      <w:pPr>
        <w:ind w:left="3198"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4F62E8"/>
    <w:multiLevelType w:val="multilevel"/>
    <w:tmpl w:val="259678B4"/>
    <w:lvl w:ilvl="0">
      <w:start w:val="1"/>
      <w:numFmt w:val="decimal"/>
      <w:lvlRestart w:val="0"/>
      <w:lvlText w:val="%1."/>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1">
      <w:start w:val="1"/>
      <w:numFmt w:val="decimal"/>
      <w:lvlText w:val="%1.%2."/>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2">
      <w:start w:val="1"/>
      <w:numFmt w:val="decimal"/>
      <w:lvlText w:val="%1.%2.%3."/>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3">
      <w:start w:val="1"/>
      <w:numFmt w:val="decimal"/>
      <w:lvlText w:val="%1.%2.%3.%4."/>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4">
      <w:start w:val="1"/>
      <w:numFmt w:val="decimal"/>
      <w:lvlText w:val="%1.%2.%3.%4.%5."/>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5">
      <w:start w:val="1"/>
      <w:numFmt w:val="decimal"/>
      <w:lvlText w:val="%1.%2.%3.%4.%5.%6."/>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6">
      <w:start w:val="1"/>
      <w:numFmt w:val="decimal"/>
      <w:lvlText w:val="%1.%2.%3.%4.%5.%6.%7."/>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7">
      <w:start w:val="1"/>
      <w:numFmt w:val="decimal"/>
      <w:lvlText w:val="%1.%2.%3.%4.%5.%6.%7.%8."/>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lvl w:ilvl="8">
      <w:start w:val="1"/>
      <w:numFmt w:val="decimal"/>
      <w:lvlText w:val="%1.%2.%3.%4.%5.%6.%7.%8.%9."/>
      <w:lvlJc w:val="left"/>
      <w:pPr>
        <w:tabs>
          <w:tab w:val="num" w:pos="1417"/>
        </w:tabs>
        <w:ind w:left="1417" w:hanging="1417"/>
      </w:pPr>
      <w:rPr>
        <w:i w:val="0"/>
        <w:caps w:val="0"/>
        <w:strike w:val="0"/>
        <w:dstrike w:val="0"/>
        <w:outline w:val="0"/>
        <w:shadow w:val="0"/>
        <w:emboss w:val="0"/>
        <w:imprint w:val="0"/>
        <w:vanish w:val="0"/>
        <w:color w:val="000000"/>
        <w:u w:val="none"/>
        <w:effect w:val="none"/>
        <w:vertAlign w:val="baseline"/>
      </w:rPr>
    </w:lvl>
  </w:abstractNum>
  <w:abstractNum w:abstractNumId="33" w15:restartNumberingAfterBreak="0">
    <w:nsid w:val="6A2B49C1"/>
    <w:multiLevelType w:val="hybridMultilevel"/>
    <w:tmpl w:val="4A224DEE"/>
    <w:lvl w:ilvl="0" w:tplc="DE34279A">
      <w:numFmt w:val="bullet"/>
      <w:lvlText w:val="•"/>
      <w:lvlJc w:val="left"/>
      <w:pPr>
        <w:ind w:left="1080" w:hanging="720"/>
      </w:pPr>
      <w:rPr>
        <w:rFonts w:ascii="Century Gothic" w:eastAsiaTheme="minorEastAsia" w:hAnsi="Century Gothic"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BC7DC1"/>
    <w:multiLevelType w:val="hybridMultilevel"/>
    <w:tmpl w:val="59BE6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EB42F5"/>
    <w:multiLevelType w:val="hybridMultilevel"/>
    <w:tmpl w:val="DE5A9DCC"/>
    <w:lvl w:ilvl="0" w:tplc="DE34279A">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B06BBB"/>
    <w:multiLevelType w:val="hybridMultilevel"/>
    <w:tmpl w:val="412EF370"/>
    <w:lvl w:ilvl="0" w:tplc="B0564FE6">
      <w:start w:val="1"/>
      <w:numFmt w:val="bullet"/>
      <w:lvlText w:val="•"/>
      <w:lvlJc w:val="left"/>
      <w:pPr>
        <w:tabs>
          <w:tab w:val="num" w:pos="720"/>
        </w:tabs>
        <w:ind w:left="720" w:hanging="360"/>
      </w:pPr>
      <w:rPr>
        <w:rFonts w:ascii="Arial" w:hAnsi="Arial" w:hint="default"/>
      </w:rPr>
    </w:lvl>
    <w:lvl w:ilvl="1" w:tplc="AF724820" w:tentative="1">
      <w:start w:val="1"/>
      <w:numFmt w:val="bullet"/>
      <w:lvlText w:val="•"/>
      <w:lvlJc w:val="left"/>
      <w:pPr>
        <w:tabs>
          <w:tab w:val="num" w:pos="1440"/>
        </w:tabs>
        <w:ind w:left="1440" w:hanging="360"/>
      </w:pPr>
      <w:rPr>
        <w:rFonts w:ascii="Arial" w:hAnsi="Arial" w:hint="default"/>
      </w:rPr>
    </w:lvl>
    <w:lvl w:ilvl="2" w:tplc="85BAC984" w:tentative="1">
      <w:start w:val="1"/>
      <w:numFmt w:val="bullet"/>
      <w:lvlText w:val="•"/>
      <w:lvlJc w:val="left"/>
      <w:pPr>
        <w:tabs>
          <w:tab w:val="num" w:pos="2160"/>
        </w:tabs>
        <w:ind w:left="2160" w:hanging="360"/>
      </w:pPr>
      <w:rPr>
        <w:rFonts w:ascii="Arial" w:hAnsi="Arial" w:hint="default"/>
      </w:rPr>
    </w:lvl>
    <w:lvl w:ilvl="3" w:tplc="71C8A1BA" w:tentative="1">
      <w:start w:val="1"/>
      <w:numFmt w:val="bullet"/>
      <w:lvlText w:val="•"/>
      <w:lvlJc w:val="left"/>
      <w:pPr>
        <w:tabs>
          <w:tab w:val="num" w:pos="2880"/>
        </w:tabs>
        <w:ind w:left="2880" w:hanging="360"/>
      </w:pPr>
      <w:rPr>
        <w:rFonts w:ascii="Arial" w:hAnsi="Arial" w:hint="default"/>
      </w:rPr>
    </w:lvl>
    <w:lvl w:ilvl="4" w:tplc="D8A855B0" w:tentative="1">
      <w:start w:val="1"/>
      <w:numFmt w:val="bullet"/>
      <w:lvlText w:val="•"/>
      <w:lvlJc w:val="left"/>
      <w:pPr>
        <w:tabs>
          <w:tab w:val="num" w:pos="3600"/>
        </w:tabs>
        <w:ind w:left="3600" w:hanging="360"/>
      </w:pPr>
      <w:rPr>
        <w:rFonts w:ascii="Arial" w:hAnsi="Arial" w:hint="default"/>
      </w:rPr>
    </w:lvl>
    <w:lvl w:ilvl="5" w:tplc="D810998C" w:tentative="1">
      <w:start w:val="1"/>
      <w:numFmt w:val="bullet"/>
      <w:lvlText w:val="•"/>
      <w:lvlJc w:val="left"/>
      <w:pPr>
        <w:tabs>
          <w:tab w:val="num" w:pos="4320"/>
        </w:tabs>
        <w:ind w:left="4320" w:hanging="360"/>
      </w:pPr>
      <w:rPr>
        <w:rFonts w:ascii="Arial" w:hAnsi="Arial" w:hint="default"/>
      </w:rPr>
    </w:lvl>
    <w:lvl w:ilvl="6" w:tplc="107014D8" w:tentative="1">
      <w:start w:val="1"/>
      <w:numFmt w:val="bullet"/>
      <w:lvlText w:val="•"/>
      <w:lvlJc w:val="left"/>
      <w:pPr>
        <w:tabs>
          <w:tab w:val="num" w:pos="5040"/>
        </w:tabs>
        <w:ind w:left="5040" w:hanging="360"/>
      </w:pPr>
      <w:rPr>
        <w:rFonts w:ascii="Arial" w:hAnsi="Arial" w:hint="default"/>
      </w:rPr>
    </w:lvl>
    <w:lvl w:ilvl="7" w:tplc="E20C6B10" w:tentative="1">
      <w:start w:val="1"/>
      <w:numFmt w:val="bullet"/>
      <w:lvlText w:val="•"/>
      <w:lvlJc w:val="left"/>
      <w:pPr>
        <w:tabs>
          <w:tab w:val="num" w:pos="5760"/>
        </w:tabs>
        <w:ind w:left="5760" w:hanging="360"/>
      </w:pPr>
      <w:rPr>
        <w:rFonts w:ascii="Arial" w:hAnsi="Arial" w:hint="default"/>
      </w:rPr>
    </w:lvl>
    <w:lvl w:ilvl="8" w:tplc="C4BCE9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0249A"/>
    <w:multiLevelType w:val="multilevel"/>
    <w:tmpl w:val="C178962A"/>
    <w:styleLink w:val="NovaListBullet"/>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
      <w:lvlJc w:val="left"/>
      <w:pPr>
        <w:tabs>
          <w:tab w:val="num" w:pos="1134"/>
        </w:tabs>
        <w:ind w:left="1134" w:hanging="567"/>
      </w:pPr>
      <w:rPr>
        <w:rFonts w:ascii="Symbol" w:hAnsi="Symbol" w:hint="default"/>
        <w:b w:val="0"/>
        <w:i w:val="0"/>
        <w:color w:val="auto"/>
        <w:sz w:val="18"/>
      </w:rPr>
    </w:lvl>
    <w:lvl w:ilvl="2">
      <w:start w:val="1"/>
      <w:numFmt w:val="bullet"/>
      <w:lvlText w:val=""/>
      <w:lvlJc w:val="left"/>
      <w:pPr>
        <w:tabs>
          <w:tab w:val="num" w:pos="1701"/>
        </w:tabs>
        <w:ind w:left="1701" w:hanging="567"/>
      </w:pPr>
      <w:rPr>
        <w:rFonts w:ascii="Symbol" w:hAnsi="Symbol" w:hint="default"/>
        <w:b w:val="0"/>
        <w:i w:val="0"/>
        <w:color w:val="auto"/>
        <w:sz w:val="18"/>
      </w:rPr>
    </w:lvl>
    <w:lvl w:ilvl="3">
      <w:start w:val="1"/>
      <w:numFmt w:val="bullet"/>
      <w:lvlText w:val=""/>
      <w:lvlJc w:val="left"/>
      <w:pPr>
        <w:tabs>
          <w:tab w:val="num" w:pos="2268"/>
        </w:tabs>
        <w:ind w:left="2268" w:hanging="567"/>
      </w:pPr>
      <w:rPr>
        <w:rFonts w:ascii="Symbol" w:hAnsi="Symbol" w:hint="default"/>
        <w:color w:val="auto"/>
        <w:sz w:val="20"/>
      </w:rPr>
    </w:lvl>
    <w:lvl w:ilvl="4">
      <w:start w:val="1"/>
      <w:numFmt w:val="bullet"/>
      <w:lvlText w:val=""/>
      <w:lvlJc w:val="left"/>
      <w:pPr>
        <w:tabs>
          <w:tab w:val="num" w:pos="2835"/>
        </w:tabs>
        <w:ind w:left="2835" w:hanging="567"/>
      </w:pPr>
      <w:rPr>
        <w:rFonts w:ascii="Wingdings 2" w:hAnsi="Wingdings 2" w:hint="default"/>
        <w:b w:val="0"/>
        <w:i w:val="0"/>
        <w:color w:val="F79646" w:themeColor="accent6"/>
        <w:sz w:val="20"/>
      </w:rPr>
    </w:lvl>
    <w:lvl w:ilvl="5">
      <w:start w:val="1"/>
      <w:numFmt w:val="bullet"/>
      <w:lvlText w:val=""/>
      <w:lvlJc w:val="left"/>
      <w:pPr>
        <w:tabs>
          <w:tab w:val="num" w:pos="3402"/>
        </w:tabs>
        <w:ind w:left="3402" w:hanging="567"/>
      </w:pPr>
      <w:rPr>
        <w:rFonts w:ascii="Symbol" w:hAnsi="Symbol" w:hint="default"/>
        <w:color w:val="E36C0A" w:themeColor="accent6" w:themeShade="BF"/>
        <w:sz w:val="22"/>
      </w:rPr>
    </w:lvl>
    <w:lvl w:ilvl="6">
      <w:start w:val="1"/>
      <w:numFmt w:val="bullet"/>
      <w:lvlText w:val=""/>
      <w:lvlJc w:val="left"/>
      <w:pPr>
        <w:tabs>
          <w:tab w:val="num" w:pos="3969"/>
        </w:tabs>
        <w:ind w:left="3969" w:hanging="567"/>
      </w:pPr>
      <w:rPr>
        <w:rFonts w:ascii="Symbol" w:hAnsi="Symbol" w:hint="default"/>
        <w:color w:val="E36C0A" w:themeColor="accent6" w:themeShade="BF"/>
        <w:sz w:val="22"/>
      </w:rPr>
    </w:lvl>
    <w:lvl w:ilvl="7">
      <w:start w:val="1"/>
      <w:numFmt w:val="bullet"/>
      <w:lvlText w:val=""/>
      <w:lvlJc w:val="left"/>
      <w:pPr>
        <w:tabs>
          <w:tab w:val="num" w:pos="4536"/>
        </w:tabs>
        <w:ind w:left="4536" w:hanging="567"/>
      </w:pPr>
      <w:rPr>
        <w:rFonts w:ascii="Symbol" w:hAnsi="Symbol" w:hint="default"/>
        <w:color w:val="E36C0A" w:themeColor="accent6" w:themeShade="BF"/>
        <w:sz w:val="22"/>
      </w:rPr>
    </w:lvl>
    <w:lvl w:ilvl="8">
      <w:start w:val="1"/>
      <w:numFmt w:val="bullet"/>
      <w:lvlText w:val=""/>
      <w:lvlJc w:val="left"/>
      <w:pPr>
        <w:tabs>
          <w:tab w:val="num" w:pos="5103"/>
        </w:tabs>
        <w:ind w:left="5103" w:hanging="567"/>
      </w:pPr>
      <w:rPr>
        <w:rFonts w:ascii="Symbol" w:hAnsi="Symbol" w:hint="default"/>
        <w:color w:val="E36C0A" w:themeColor="accent6" w:themeShade="BF"/>
        <w:sz w:val="22"/>
      </w:rPr>
    </w:lvl>
  </w:abstractNum>
  <w:num w:numId="1">
    <w:abstractNumId w:val="34"/>
  </w:num>
  <w:num w:numId="2">
    <w:abstractNumId w:val="0"/>
  </w:num>
  <w:num w:numId="3">
    <w:abstractNumId w:val="19"/>
  </w:num>
  <w:num w:numId="4">
    <w:abstractNumId w:val="23"/>
  </w:num>
  <w:num w:numId="5">
    <w:abstractNumId w:val="39"/>
  </w:num>
  <w:num w:numId="6">
    <w:abstractNumId w:val="37"/>
  </w:num>
  <w:num w:numId="7">
    <w:abstractNumId w:val="12"/>
  </w:num>
  <w:num w:numId="8">
    <w:abstractNumId w:val="6"/>
  </w:num>
  <w:num w:numId="9">
    <w:abstractNumId w:val="6"/>
    <w:lvlOverride w:ilvl="0">
      <w:startOverride w:val="1"/>
    </w:lvlOverride>
  </w:num>
  <w:num w:numId="10">
    <w:abstractNumId w:val="12"/>
  </w:num>
  <w:num w:numId="11">
    <w:abstractNumId w:val="26"/>
  </w:num>
  <w:num w:numId="12">
    <w:abstractNumId w:val="5"/>
  </w:num>
  <w:num w:numId="13">
    <w:abstractNumId w:val="31"/>
  </w:num>
  <w:num w:numId="14">
    <w:abstractNumId w:val="26"/>
  </w:num>
  <w:num w:numId="15">
    <w:abstractNumId w:val="12"/>
  </w:num>
  <w:num w:numId="16">
    <w:abstractNumId w:val="40"/>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3"/>
    </w:lvlOverride>
  </w:num>
  <w:num w:numId="18">
    <w:abstractNumId w:val="21"/>
  </w:num>
  <w:num w:numId="19">
    <w:abstractNumId w:val="8"/>
  </w:num>
  <w:num w:numId="20">
    <w:abstractNumId w:val="13"/>
  </w:num>
  <w:num w:numId="21">
    <w:abstractNumId w:val="20"/>
  </w:num>
  <w:num w:numId="22">
    <w:abstractNumId w:val="27"/>
  </w:num>
  <w:num w:numId="23">
    <w:abstractNumId w:val="30"/>
  </w:num>
  <w:num w:numId="24">
    <w:abstractNumId w:val="24"/>
  </w:num>
  <w:num w:numId="25">
    <w:abstractNumId w:val="38"/>
  </w:num>
  <w:num w:numId="26">
    <w:abstractNumId w:val="2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3"/>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15"/>
  </w:num>
  <w:num w:numId="37">
    <w:abstractNumId w:val="22"/>
  </w:num>
  <w:num w:numId="38">
    <w:abstractNumId w:val="3"/>
  </w:num>
  <w:num w:numId="39">
    <w:abstractNumId w:val="29"/>
  </w:num>
  <w:num w:numId="40">
    <w:abstractNumId w:val="9"/>
  </w:num>
  <w:num w:numId="41">
    <w:abstractNumId w:val="36"/>
  </w:num>
  <w:num w:numId="42">
    <w:abstractNumId w:val="16"/>
  </w:num>
  <w:num w:numId="43">
    <w:abstractNumId w:val="7"/>
  </w:num>
  <w:num w:numId="44">
    <w:abstractNumId w:val="32"/>
  </w:num>
  <w:num w:numId="45">
    <w:abstractNumId w:val="4"/>
  </w:num>
  <w:num w:numId="46">
    <w:abstractNumId w:val="14"/>
  </w:num>
  <w:num w:numId="47">
    <w:abstractNumId w:val="17"/>
  </w:num>
  <w:num w:numId="48">
    <w:abstractNumId w:val="25"/>
  </w:num>
  <w:num w:numId="49">
    <w:abstractNumId w:val="12"/>
  </w:num>
  <w:num w:numId="5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ZA"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166"/>
    <w:rsid w:val="000031F7"/>
    <w:rsid w:val="00003577"/>
    <w:rsid w:val="000035D8"/>
    <w:rsid w:val="00004724"/>
    <w:rsid w:val="00005E68"/>
    <w:rsid w:val="000062D1"/>
    <w:rsid w:val="000071CC"/>
    <w:rsid w:val="00007E4B"/>
    <w:rsid w:val="00010CF8"/>
    <w:rsid w:val="00011AA7"/>
    <w:rsid w:val="0001685F"/>
    <w:rsid w:val="00016E51"/>
    <w:rsid w:val="00017238"/>
    <w:rsid w:val="00017503"/>
    <w:rsid w:val="000175F3"/>
    <w:rsid w:val="000176B7"/>
    <w:rsid w:val="00017CB7"/>
    <w:rsid w:val="000207D9"/>
    <w:rsid w:val="000216F2"/>
    <w:rsid w:val="00021A15"/>
    <w:rsid w:val="00023115"/>
    <w:rsid w:val="0002331D"/>
    <w:rsid w:val="0002456B"/>
    <w:rsid w:val="00024C55"/>
    <w:rsid w:val="00025467"/>
    <w:rsid w:val="00026672"/>
    <w:rsid w:val="00026A96"/>
    <w:rsid w:val="00027157"/>
    <w:rsid w:val="00027B9B"/>
    <w:rsid w:val="000304CF"/>
    <w:rsid w:val="00030E0C"/>
    <w:rsid w:val="00031075"/>
    <w:rsid w:val="0003165D"/>
    <w:rsid w:val="0003444E"/>
    <w:rsid w:val="0003464E"/>
    <w:rsid w:val="00036078"/>
    <w:rsid w:val="00036549"/>
    <w:rsid w:val="00037556"/>
    <w:rsid w:val="00040A03"/>
    <w:rsid w:val="00041716"/>
    <w:rsid w:val="00042281"/>
    <w:rsid w:val="00042438"/>
    <w:rsid w:val="0004250A"/>
    <w:rsid w:val="0004314A"/>
    <w:rsid w:val="00043E26"/>
    <w:rsid w:val="00044DC0"/>
    <w:rsid w:val="00044E29"/>
    <w:rsid w:val="00044EF8"/>
    <w:rsid w:val="000450C4"/>
    <w:rsid w:val="00046304"/>
    <w:rsid w:val="00046DBC"/>
    <w:rsid w:val="00047E68"/>
    <w:rsid w:val="00052E3E"/>
    <w:rsid w:val="00053253"/>
    <w:rsid w:val="00055101"/>
    <w:rsid w:val="000553F2"/>
    <w:rsid w:val="00057750"/>
    <w:rsid w:val="00057E29"/>
    <w:rsid w:val="00060610"/>
    <w:rsid w:val="00060AD3"/>
    <w:rsid w:val="00060F83"/>
    <w:rsid w:val="000615E0"/>
    <w:rsid w:val="00061A7E"/>
    <w:rsid w:val="00062368"/>
    <w:rsid w:val="00062B2E"/>
    <w:rsid w:val="000635B2"/>
    <w:rsid w:val="0006399E"/>
    <w:rsid w:val="00065626"/>
    <w:rsid w:val="00065F24"/>
    <w:rsid w:val="000668C5"/>
    <w:rsid w:val="00066A84"/>
    <w:rsid w:val="00066F4C"/>
    <w:rsid w:val="00070973"/>
    <w:rsid w:val="000710C0"/>
    <w:rsid w:val="00071CC0"/>
    <w:rsid w:val="00072BA2"/>
    <w:rsid w:val="00074134"/>
    <w:rsid w:val="000741DE"/>
    <w:rsid w:val="00077C3D"/>
    <w:rsid w:val="000805C4"/>
    <w:rsid w:val="00081379"/>
    <w:rsid w:val="00082460"/>
    <w:rsid w:val="0008289E"/>
    <w:rsid w:val="00082C2C"/>
    <w:rsid w:val="000833DF"/>
    <w:rsid w:val="000837CF"/>
    <w:rsid w:val="00083CC7"/>
    <w:rsid w:val="00085F53"/>
    <w:rsid w:val="0008697C"/>
    <w:rsid w:val="000906E4"/>
    <w:rsid w:val="0009133F"/>
    <w:rsid w:val="00093BA1"/>
    <w:rsid w:val="00094E05"/>
    <w:rsid w:val="000959EB"/>
    <w:rsid w:val="00096575"/>
    <w:rsid w:val="0009683F"/>
    <w:rsid w:val="000A19F1"/>
    <w:rsid w:val="000A19FD"/>
    <w:rsid w:val="000A2011"/>
    <w:rsid w:val="000A231E"/>
    <w:rsid w:val="000A39AF"/>
    <w:rsid w:val="000A3F03"/>
    <w:rsid w:val="000A4261"/>
    <w:rsid w:val="000A4490"/>
    <w:rsid w:val="000A6910"/>
    <w:rsid w:val="000B1184"/>
    <w:rsid w:val="000B11D5"/>
    <w:rsid w:val="000B1991"/>
    <w:rsid w:val="000B2D39"/>
    <w:rsid w:val="000B2DAA"/>
    <w:rsid w:val="000B3506"/>
    <w:rsid w:val="000B3A19"/>
    <w:rsid w:val="000B4088"/>
    <w:rsid w:val="000B44F5"/>
    <w:rsid w:val="000B5218"/>
    <w:rsid w:val="000B522C"/>
    <w:rsid w:val="000B566A"/>
    <w:rsid w:val="000B597B"/>
    <w:rsid w:val="000B7C0B"/>
    <w:rsid w:val="000C040F"/>
    <w:rsid w:val="000C07C6"/>
    <w:rsid w:val="000C18D5"/>
    <w:rsid w:val="000C1D68"/>
    <w:rsid w:val="000C1E9C"/>
    <w:rsid w:val="000C31F3"/>
    <w:rsid w:val="000C34D6"/>
    <w:rsid w:val="000C3832"/>
    <w:rsid w:val="000C3B35"/>
    <w:rsid w:val="000C3EA6"/>
    <w:rsid w:val="000C4E64"/>
    <w:rsid w:val="000C50FC"/>
    <w:rsid w:val="000C5F08"/>
    <w:rsid w:val="000C63AD"/>
    <w:rsid w:val="000C6786"/>
    <w:rsid w:val="000C6A52"/>
    <w:rsid w:val="000C6B5E"/>
    <w:rsid w:val="000D0903"/>
    <w:rsid w:val="000D1155"/>
    <w:rsid w:val="000D1B5E"/>
    <w:rsid w:val="000D1F5F"/>
    <w:rsid w:val="000D2D51"/>
    <w:rsid w:val="000D3F05"/>
    <w:rsid w:val="000D4257"/>
    <w:rsid w:val="000D452F"/>
    <w:rsid w:val="000D5498"/>
    <w:rsid w:val="000D62FC"/>
    <w:rsid w:val="000D6D35"/>
    <w:rsid w:val="000E0840"/>
    <w:rsid w:val="000E0C56"/>
    <w:rsid w:val="000E11A2"/>
    <w:rsid w:val="000E1C00"/>
    <w:rsid w:val="000E23A5"/>
    <w:rsid w:val="000E30ED"/>
    <w:rsid w:val="000E3917"/>
    <w:rsid w:val="000E4061"/>
    <w:rsid w:val="000E4CD5"/>
    <w:rsid w:val="000E5EC2"/>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416"/>
    <w:rsid w:val="00107697"/>
    <w:rsid w:val="00107A22"/>
    <w:rsid w:val="00110DF4"/>
    <w:rsid w:val="00110F7F"/>
    <w:rsid w:val="00111506"/>
    <w:rsid w:val="00111ABB"/>
    <w:rsid w:val="00112457"/>
    <w:rsid w:val="00112E27"/>
    <w:rsid w:val="00113AD7"/>
    <w:rsid w:val="00114422"/>
    <w:rsid w:val="0011558E"/>
    <w:rsid w:val="00115C6B"/>
    <w:rsid w:val="0011744A"/>
    <w:rsid w:val="0012305A"/>
    <w:rsid w:val="00123A91"/>
    <w:rsid w:val="00123A99"/>
    <w:rsid w:val="00125733"/>
    <w:rsid w:val="00127536"/>
    <w:rsid w:val="001279B3"/>
    <w:rsid w:val="001302B7"/>
    <w:rsid w:val="0013038A"/>
    <w:rsid w:val="00130493"/>
    <w:rsid w:val="00130530"/>
    <w:rsid w:val="00130554"/>
    <w:rsid w:val="00130F17"/>
    <w:rsid w:val="00130FCE"/>
    <w:rsid w:val="001315FB"/>
    <w:rsid w:val="00132444"/>
    <w:rsid w:val="00133367"/>
    <w:rsid w:val="001339E8"/>
    <w:rsid w:val="001339F4"/>
    <w:rsid w:val="001347F8"/>
    <w:rsid w:val="0013514F"/>
    <w:rsid w:val="0013564A"/>
    <w:rsid w:val="00135C41"/>
    <w:rsid w:val="00136237"/>
    <w:rsid w:val="00137190"/>
    <w:rsid w:val="0013734A"/>
    <w:rsid w:val="00137E6D"/>
    <w:rsid w:val="0014016C"/>
    <w:rsid w:val="00141149"/>
    <w:rsid w:val="001432F9"/>
    <w:rsid w:val="00144380"/>
    <w:rsid w:val="001450BD"/>
    <w:rsid w:val="001452A7"/>
    <w:rsid w:val="00145DF4"/>
    <w:rsid w:val="00146445"/>
    <w:rsid w:val="00146D15"/>
    <w:rsid w:val="001475D6"/>
    <w:rsid w:val="00147E5A"/>
    <w:rsid w:val="00147FE4"/>
    <w:rsid w:val="00151056"/>
    <w:rsid w:val="00151417"/>
    <w:rsid w:val="0015405F"/>
    <w:rsid w:val="00155480"/>
    <w:rsid w:val="00155A1F"/>
    <w:rsid w:val="00156DF7"/>
    <w:rsid w:val="00160DFD"/>
    <w:rsid w:val="00161268"/>
    <w:rsid w:val="00162CF7"/>
    <w:rsid w:val="001642EF"/>
    <w:rsid w:val="0016551C"/>
    <w:rsid w:val="001659C7"/>
    <w:rsid w:val="00165CA8"/>
    <w:rsid w:val="00166584"/>
    <w:rsid w:val="00170249"/>
    <w:rsid w:val="00170EC3"/>
    <w:rsid w:val="00172328"/>
    <w:rsid w:val="00172BA3"/>
    <w:rsid w:val="00172F7F"/>
    <w:rsid w:val="001737AC"/>
    <w:rsid w:val="00173D04"/>
    <w:rsid w:val="0017423B"/>
    <w:rsid w:val="00174696"/>
    <w:rsid w:val="00176D6C"/>
    <w:rsid w:val="00176EF8"/>
    <w:rsid w:val="001802AE"/>
    <w:rsid w:val="0018087B"/>
    <w:rsid w:val="00180B0E"/>
    <w:rsid w:val="0018148F"/>
    <w:rsid w:val="001817F4"/>
    <w:rsid w:val="001819C7"/>
    <w:rsid w:val="0018250A"/>
    <w:rsid w:val="00183ED4"/>
    <w:rsid w:val="001844D5"/>
    <w:rsid w:val="00184891"/>
    <w:rsid w:val="00184F49"/>
    <w:rsid w:val="0018511E"/>
    <w:rsid w:val="0018512F"/>
    <w:rsid w:val="001867EC"/>
    <w:rsid w:val="001875DA"/>
    <w:rsid w:val="001907F9"/>
    <w:rsid w:val="001925C6"/>
    <w:rsid w:val="00193926"/>
    <w:rsid w:val="0019423A"/>
    <w:rsid w:val="001948A9"/>
    <w:rsid w:val="00194ACD"/>
    <w:rsid w:val="00194F4A"/>
    <w:rsid w:val="001956C5"/>
    <w:rsid w:val="00195BF5"/>
    <w:rsid w:val="00195D42"/>
    <w:rsid w:val="00196194"/>
    <w:rsid w:val="0019706B"/>
    <w:rsid w:val="00197A10"/>
    <w:rsid w:val="001A06E1"/>
    <w:rsid w:val="001A0FDD"/>
    <w:rsid w:val="001A20AF"/>
    <w:rsid w:val="001A30F4"/>
    <w:rsid w:val="001A46FB"/>
    <w:rsid w:val="001A51FA"/>
    <w:rsid w:val="001A5D9B"/>
    <w:rsid w:val="001A612B"/>
    <w:rsid w:val="001A6862"/>
    <w:rsid w:val="001A6994"/>
    <w:rsid w:val="001B146A"/>
    <w:rsid w:val="001B15C9"/>
    <w:rsid w:val="001B1C0B"/>
    <w:rsid w:val="001B2A5D"/>
    <w:rsid w:val="001B3306"/>
    <w:rsid w:val="001B3E6D"/>
    <w:rsid w:val="001B3F03"/>
    <w:rsid w:val="001B43D0"/>
    <w:rsid w:val="001B6B01"/>
    <w:rsid w:val="001B6C85"/>
    <w:rsid w:val="001B7323"/>
    <w:rsid w:val="001B79A9"/>
    <w:rsid w:val="001B7CE1"/>
    <w:rsid w:val="001C02DF"/>
    <w:rsid w:val="001C037B"/>
    <w:rsid w:val="001C074F"/>
    <w:rsid w:val="001C0967"/>
    <w:rsid w:val="001C1B5B"/>
    <w:rsid w:val="001C1D42"/>
    <w:rsid w:val="001C2830"/>
    <w:rsid w:val="001C3976"/>
    <w:rsid w:val="001C3B30"/>
    <w:rsid w:val="001C53D3"/>
    <w:rsid w:val="001C6603"/>
    <w:rsid w:val="001C666D"/>
    <w:rsid w:val="001C6833"/>
    <w:rsid w:val="001C6ACC"/>
    <w:rsid w:val="001C714A"/>
    <w:rsid w:val="001C7328"/>
    <w:rsid w:val="001C7F1A"/>
    <w:rsid w:val="001D0EC9"/>
    <w:rsid w:val="001D1072"/>
    <w:rsid w:val="001D1340"/>
    <w:rsid w:val="001D1497"/>
    <w:rsid w:val="001D1782"/>
    <w:rsid w:val="001D201F"/>
    <w:rsid w:val="001D27BB"/>
    <w:rsid w:val="001D38DA"/>
    <w:rsid w:val="001D4DA5"/>
    <w:rsid w:val="001D513B"/>
    <w:rsid w:val="001E00D9"/>
    <w:rsid w:val="001E1FD1"/>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14E"/>
    <w:rsid w:val="00200152"/>
    <w:rsid w:val="002001C6"/>
    <w:rsid w:val="002007FC"/>
    <w:rsid w:val="0020114E"/>
    <w:rsid w:val="00201ACE"/>
    <w:rsid w:val="00202552"/>
    <w:rsid w:val="00202DFC"/>
    <w:rsid w:val="00203219"/>
    <w:rsid w:val="00203D9D"/>
    <w:rsid w:val="00203F73"/>
    <w:rsid w:val="002056AC"/>
    <w:rsid w:val="002067C9"/>
    <w:rsid w:val="00207A20"/>
    <w:rsid w:val="00207AD6"/>
    <w:rsid w:val="0021021D"/>
    <w:rsid w:val="002104E7"/>
    <w:rsid w:val="0021176C"/>
    <w:rsid w:val="00211AB8"/>
    <w:rsid w:val="00211BDF"/>
    <w:rsid w:val="00211D98"/>
    <w:rsid w:val="00212583"/>
    <w:rsid w:val="00213D8F"/>
    <w:rsid w:val="002162FB"/>
    <w:rsid w:val="00217440"/>
    <w:rsid w:val="00220627"/>
    <w:rsid w:val="0022081B"/>
    <w:rsid w:val="00221230"/>
    <w:rsid w:val="002227D6"/>
    <w:rsid w:val="00222C72"/>
    <w:rsid w:val="00223A1A"/>
    <w:rsid w:val="002246FB"/>
    <w:rsid w:val="00224E34"/>
    <w:rsid w:val="0022578C"/>
    <w:rsid w:val="00225C37"/>
    <w:rsid w:val="00226A9A"/>
    <w:rsid w:val="00226C2F"/>
    <w:rsid w:val="00227080"/>
    <w:rsid w:val="002279FF"/>
    <w:rsid w:val="00227C62"/>
    <w:rsid w:val="00227D98"/>
    <w:rsid w:val="0023055D"/>
    <w:rsid w:val="00230A2B"/>
    <w:rsid w:val="00231B61"/>
    <w:rsid w:val="00232F3A"/>
    <w:rsid w:val="00232FF4"/>
    <w:rsid w:val="00234A47"/>
    <w:rsid w:val="00235894"/>
    <w:rsid w:val="00235CA2"/>
    <w:rsid w:val="00236D85"/>
    <w:rsid w:val="00236EC5"/>
    <w:rsid w:val="00237F2F"/>
    <w:rsid w:val="00240385"/>
    <w:rsid w:val="00240AD7"/>
    <w:rsid w:val="00241AE6"/>
    <w:rsid w:val="00242EEE"/>
    <w:rsid w:val="002442FE"/>
    <w:rsid w:val="00244DC5"/>
    <w:rsid w:val="00245131"/>
    <w:rsid w:val="00245C4E"/>
    <w:rsid w:val="00246B7A"/>
    <w:rsid w:val="00247D27"/>
    <w:rsid w:val="00250C11"/>
    <w:rsid w:val="00250CF5"/>
    <w:rsid w:val="00251541"/>
    <w:rsid w:val="00251F63"/>
    <w:rsid w:val="00251F90"/>
    <w:rsid w:val="002535EA"/>
    <w:rsid w:val="00253891"/>
    <w:rsid w:val="00254170"/>
    <w:rsid w:val="00254F96"/>
    <w:rsid w:val="002566AB"/>
    <w:rsid w:val="00260111"/>
    <w:rsid w:val="002611CF"/>
    <w:rsid w:val="002612BF"/>
    <w:rsid w:val="002618D4"/>
    <w:rsid w:val="002619F0"/>
    <w:rsid w:val="00261D7F"/>
    <w:rsid w:val="00262011"/>
    <w:rsid w:val="00262382"/>
    <w:rsid w:val="00262481"/>
    <w:rsid w:val="00265472"/>
    <w:rsid w:val="00265BC2"/>
    <w:rsid w:val="002662F6"/>
    <w:rsid w:val="00270215"/>
    <w:rsid w:val="00271A72"/>
    <w:rsid w:val="00271FAE"/>
    <w:rsid w:val="00272F10"/>
    <w:rsid w:val="00276D9D"/>
    <w:rsid w:val="00277135"/>
    <w:rsid w:val="002779EE"/>
    <w:rsid w:val="00277A56"/>
    <w:rsid w:val="002810E7"/>
    <w:rsid w:val="00281521"/>
    <w:rsid w:val="002815F9"/>
    <w:rsid w:val="00281DDD"/>
    <w:rsid w:val="00282312"/>
    <w:rsid w:val="0028417F"/>
    <w:rsid w:val="002845C9"/>
    <w:rsid w:val="00284DC7"/>
    <w:rsid w:val="002851D6"/>
    <w:rsid w:val="00285F58"/>
    <w:rsid w:val="002866EB"/>
    <w:rsid w:val="002873F2"/>
    <w:rsid w:val="00287AC7"/>
    <w:rsid w:val="00290F12"/>
    <w:rsid w:val="00291E8B"/>
    <w:rsid w:val="0029287F"/>
    <w:rsid w:val="00294019"/>
    <w:rsid w:val="00294F98"/>
    <w:rsid w:val="002957EE"/>
    <w:rsid w:val="00295FD6"/>
    <w:rsid w:val="00296AC5"/>
    <w:rsid w:val="00296C7A"/>
    <w:rsid w:val="002970F2"/>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092"/>
    <w:rsid w:val="002B1325"/>
    <w:rsid w:val="002B2742"/>
    <w:rsid w:val="002B3327"/>
    <w:rsid w:val="002B5660"/>
    <w:rsid w:val="002B5850"/>
    <w:rsid w:val="002B5B15"/>
    <w:rsid w:val="002C00A0"/>
    <w:rsid w:val="002C0A35"/>
    <w:rsid w:val="002C14B0"/>
    <w:rsid w:val="002C1BCD"/>
    <w:rsid w:val="002C1F96"/>
    <w:rsid w:val="002C471C"/>
    <w:rsid w:val="002C4F59"/>
    <w:rsid w:val="002C5AE5"/>
    <w:rsid w:val="002C5D62"/>
    <w:rsid w:val="002C5FE4"/>
    <w:rsid w:val="002C621C"/>
    <w:rsid w:val="002C62AA"/>
    <w:rsid w:val="002C7A6F"/>
    <w:rsid w:val="002D0581"/>
    <w:rsid w:val="002D0F24"/>
    <w:rsid w:val="002D2DC7"/>
    <w:rsid w:val="002D4B89"/>
    <w:rsid w:val="002D5F42"/>
    <w:rsid w:val="002D6748"/>
    <w:rsid w:val="002D696F"/>
    <w:rsid w:val="002D720E"/>
    <w:rsid w:val="002E0074"/>
    <w:rsid w:val="002E18F3"/>
    <w:rsid w:val="002E2BEC"/>
    <w:rsid w:val="002E2D9A"/>
    <w:rsid w:val="002E367A"/>
    <w:rsid w:val="002E3A5A"/>
    <w:rsid w:val="002E3CA8"/>
    <w:rsid w:val="002E5556"/>
    <w:rsid w:val="002F28CA"/>
    <w:rsid w:val="002F2933"/>
    <w:rsid w:val="002F3A4F"/>
    <w:rsid w:val="002F65BC"/>
    <w:rsid w:val="002F71EC"/>
    <w:rsid w:val="002F7F38"/>
    <w:rsid w:val="003001C7"/>
    <w:rsid w:val="0030098A"/>
    <w:rsid w:val="00301BC8"/>
    <w:rsid w:val="00301D11"/>
    <w:rsid w:val="00302AF5"/>
    <w:rsid w:val="00302FCC"/>
    <w:rsid w:val="003038C5"/>
    <w:rsid w:val="00303AD5"/>
    <w:rsid w:val="0030491C"/>
    <w:rsid w:val="003052EE"/>
    <w:rsid w:val="00305B58"/>
    <w:rsid w:val="003077C5"/>
    <w:rsid w:val="003112B9"/>
    <w:rsid w:val="0031192D"/>
    <w:rsid w:val="00312B3D"/>
    <w:rsid w:val="003133FB"/>
    <w:rsid w:val="00313FA2"/>
    <w:rsid w:val="00314DCA"/>
    <w:rsid w:val="00315FF2"/>
    <w:rsid w:val="003206C6"/>
    <w:rsid w:val="003211B4"/>
    <w:rsid w:val="003213C7"/>
    <w:rsid w:val="0032143E"/>
    <w:rsid w:val="00321B06"/>
    <w:rsid w:val="00322126"/>
    <w:rsid w:val="0032256A"/>
    <w:rsid w:val="003237DD"/>
    <w:rsid w:val="00324A86"/>
    <w:rsid w:val="003253DA"/>
    <w:rsid w:val="00325582"/>
    <w:rsid w:val="003259F6"/>
    <w:rsid w:val="00325B4E"/>
    <w:rsid w:val="0032729D"/>
    <w:rsid w:val="00330A0D"/>
    <w:rsid w:val="00331C16"/>
    <w:rsid w:val="003322E9"/>
    <w:rsid w:val="00332F58"/>
    <w:rsid w:val="00335B3C"/>
    <w:rsid w:val="003364E6"/>
    <w:rsid w:val="003370B0"/>
    <w:rsid w:val="0033741C"/>
    <w:rsid w:val="0034027B"/>
    <w:rsid w:val="0034199C"/>
    <w:rsid w:val="00343643"/>
    <w:rsid w:val="0034447B"/>
    <w:rsid w:val="0034482F"/>
    <w:rsid w:val="00346720"/>
    <w:rsid w:val="0035099A"/>
    <w:rsid w:val="003514ED"/>
    <w:rsid w:val="003522CB"/>
    <w:rsid w:val="00352EA5"/>
    <w:rsid w:val="003531D2"/>
    <w:rsid w:val="00353428"/>
    <w:rsid w:val="00353A91"/>
    <w:rsid w:val="00353CBF"/>
    <w:rsid w:val="00354604"/>
    <w:rsid w:val="003549A0"/>
    <w:rsid w:val="003552BD"/>
    <w:rsid w:val="003560E1"/>
    <w:rsid w:val="003565D1"/>
    <w:rsid w:val="00356ED2"/>
    <w:rsid w:val="003576AB"/>
    <w:rsid w:val="0036055C"/>
    <w:rsid w:val="00360A9E"/>
    <w:rsid w:val="00362B6C"/>
    <w:rsid w:val="00363657"/>
    <w:rsid w:val="00363FFC"/>
    <w:rsid w:val="00365CF4"/>
    <w:rsid w:val="00366B28"/>
    <w:rsid w:val="003703B2"/>
    <w:rsid w:val="00371615"/>
    <w:rsid w:val="00372DBD"/>
    <w:rsid w:val="00374A77"/>
    <w:rsid w:val="00377FAD"/>
    <w:rsid w:val="00383297"/>
    <w:rsid w:val="003836AF"/>
    <w:rsid w:val="00383A3A"/>
    <w:rsid w:val="0038474D"/>
    <w:rsid w:val="00385E5D"/>
    <w:rsid w:val="00386902"/>
    <w:rsid w:val="003871B6"/>
    <w:rsid w:val="00387369"/>
    <w:rsid w:val="003900DB"/>
    <w:rsid w:val="003903AE"/>
    <w:rsid w:val="003911CF"/>
    <w:rsid w:val="0039392C"/>
    <w:rsid w:val="00393DF8"/>
    <w:rsid w:val="00394EB3"/>
    <w:rsid w:val="0039610D"/>
    <w:rsid w:val="003A055C"/>
    <w:rsid w:val="003A0BCC"/>
    <w:rsid w:val="003A16D1"/>
    <w:rsid w:val="003A270D"/>
    <w:rsid w:val="003A2E8D"/>
    <w:rsid w:val="003A48C0"/>
    <w:rsid w:val="003A4A83"/>
    <w:rsid w:val="003A5D94"/>
    <w:rsid w:val="003A79AD"/>
    <w:rsid w:val="003B02D8"/>
    <w:rsid w:val="003B0568"/>
    <w:rsid w:val="003B18C7"/>
    <w:rsid w:val="003B29BA"/>
    <w:rsid w:val="003B45E1"/>
    <w:rsid w:val="003B4A52"/>
    <w:rsid w:val="003B6AC4"/>
    <w:rsid w:val="003B6D53"/>
    <w:rsid w:val="003B7EC2"/>
    <w:rsid w:val="003C001C"/>
    <w:rsid w:val="003C280B"/>
    <w:rsid w:val="003C2A03"/>
    <w:rsid w:val="003C2AB0"/>
    <w:rsid w:val="003C2F23"/>
    <w:rsid w:val="003C30E5"/>
    <w:rsid w:val="003C3144"/>
    <w:rsid w:val="003C451C"/>
    <w:rsid w:val="003C55C5"/>
    <w:rsid w:val="003C6C0A"/>
    <w:rsid w:val="003C6EA3"/>
    <w:rsid w:val="003C7CB1"/>
    <w:rsid w:val="003D061B"/>
    <w:rsid w:val="003D09C5"/>
    <w:rsid w:val="003D29E1"/>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4F9"/>
    <w:rsid w:val="003E5B2A"/>
    <w:rsid w:val="003E639F"/>
    <w:rsid w:val="003E6E52"/>
    <w:rsid w:val="003E7CA8"/>
    <w:rsid w:val="003F0BEC"/>
    <w:rsid w:val="003F1A84"/>
    <w:rsid w:val="003F3392"/>
    <w:rsid w:val="003F385C"/>
    <w:rsid w:val="003F5453"/>
    <w:rsid w:val="003F6584"/>
    <w:rsid w:val="003F67CC"/>
    <w:rsid w:val="003F7220"/>
    <w:rsid w:val="003F745B"/>
    <w:rsid w:val="00402271"/>
    <w:rsid w:val="00402CA9"/>
    <w:rsid w:val="00402DF1"/>
    <w:rsid w:val="004058DC"/>
    <w:rsid w:val="00405923"/>
    <w:rsid w:val="00405C0C"/>
    <w:rsid w:val="00405D85"/>
    <w:rsid w:val="0040627F"/>
    <w:rsid w:val="00406ACE"/>
    <w:rsid w:val="00407403"/>
    <w:rsid w:val="004102B0"/>
    <w:rsid w:val="004108DC"/>
    <w:rsid w:val="004124C8"/>
    <w:rsid w:val="004131EC"/>
    <w:rsid w:val="004142C1"/>
    <w:rsid w:val="004143F3"/>
    <w:rsid w:val="00414A64"/>
    <w:rsid w:val="00415AA3"/>
    <w:rsid w:val="0041698F"/>
    <w:rsid w:val="00417A7C"/>
    <w:rsid w:val="004207E6"/>
    <w:rsid w:val="00421CBC"/>
    <w:rsid w:val="00423002"/>
    <w:rsid w:val="00423435"/>
    <w:rsid w:val="004234A1"/>
    <w:rsid w:val="00423CC4"/>
    <w:rsid w:val="00425052"/>
    <w:rsid w:val="00425E6B"/>
    <w:rsid w:val="00425EB9"/>
    <w:rsid w:val="00426509"/>
    <w:rsid w:val="00427819"/>
    <w:rsid w:val="00427AC0"/>
    <w:rsid w:val="004307A1"/>
    <w:rsid w:val="00430ADC"/>
    <w:rsid w:val="00430D2E"/>
    <w:rsid w:val="00431870"/>
    <w:rsid w:val="0043448F"/>
    <w:rsid w:val="00434F52"/>
    <w:rsid w:val="0043581E"/>
    <w:rsid w:val="00435BEB"/>
    <w:rsid w:val="00437174"/>
    <w:rsid w:val="00437CDA"/>
    <w:rsid w:val="00441028"/>
    <w:rsid w:val="00441195"/>
    <w:rsid w:val="004422F9"/>
    <w:rsid w:val="00442B03"/>
    <w:rsid w:val="00442B55"/>
    <w:rsid w:val="004433AD"/>
    <w:rsid w:val="004436AA"/>
    <w:rsid w:val="00444FD2"/>
    <w:rsid w:val="0044516B"/>
    <w:rsid w:val="0044522A"/>
    <w:rsid w:val="004452CD"/>
    <w:rsid w:val="00445D92"/>
    <w:rsid w:val="004475CF"/>
    <w:rsid w:val="00451246"/>
    <w:rsid w:val="004524C2"/>
    <w:rsid w:val="00452841"/>
    <w:rsid w:val="00453537"/>
    <w:rsid w:val="00453E77"/>
    <w:rsid w:val="00453EFC"/>
    <w:rsid w:val="00453F62"/>
    <w:rsid w:val="004552D7"/>
    <w:rsid w:val="00455AC0"/>
    <w:rsid w:val="00455B47"/>
    <w:rsid w:val="00460C3B"/>
    <w:rsid w:val="00461AAE"/>
    <w:rsid w:val="004639AD"/>
    <w:rsid w:val="00464353"/>
    <w:rsid w:val="00464E2C"/>
    <w:rsid w:val="0046577F"/>
    <w:rsid w:val="004667A2"/>
    <w:rsid w:val="00466F9B"/>
    <w:rsid w:val="004678C6"/>
    <w:rsid w:val="00471013"/>
    <w:rsid w:val="004710B7"/>
    <w:rsid w:val="004714FC"/>
    <w:rsid w:val="00473872"/>
    <w:rsid w:val="004748CD"/>
    <w:rsid w:val="00476546"/>
    <w:rsid w:val="00476A36"/>
    <w:rsid w:val="00480CC8"/>
    <w:rsid w:val="0048485A"/>
    <w:rsid w:val="004855A0"/>
    <w:rsid w:val="00486156"/>
    <w:rsid w:val="004875E4"/>
    <w:rsid w:val="004906BE"/>
    <w:rsid w:val="00490C48"/>
    <w:rsid w:val="00491015"/>
    <w:rsid w:val="004918B1"/>
    <w:rsid w:val="0049193A"/>
    <w:rsid w:val="00491C34"/>
    <w:rsid w:val="00491C6B"/>
    <w:rsid w:val="00492077"/>
    <w:rsid w:val="004927C4"/>
    <w:rsid w:val="004927DF"/>
    <w:rsid w:val="00492CD2"/>
    <w:rsid w:val="00492E66"/>
    <w:rsid w:val="00492F13"/>
    <w:rsid w:val="004938CD"/>
    <w:rsid w:val="00495971"/>
    <w:rsid w:val="00495B49"/>
    <w:rsid w:val="00496465"/>
    <w:rsid w:val="00496FF5"/>
    <w:rsid w:val="00497929"/>
    <w:rsid w:val="00497AEC"/>
    <w:rsid w:val="004A168F"/>
    <w:rsid w:val="004A169C"/>
    <w:rsid w:val="004A16B4"/>
    <w:rsid w:val="004A1DC4"/>
    <w:rsid w:val="004A238A"/>
    <w:rsid w:val="004A2CCD"/>
    <w:rsid w:val="004A2E57"/>
    <w:rsid w:val="004A3D07"/>
    <w:rsid w:val="004A500A"/>
    <w:rsid w:val="004A5E41"/>
    <w:rsid w:val="004A619D"/>
    <w:rsid w:val="004A733E"/>
    <w:rsid w:val="004B0ACE"/>
    <w:rsid w:val="004B0B8F"/>
    <w:rsid w:val="004B248B"/>
    <w:rsid w:val="004B2757"/>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B50"/>
    <w:rsid w:val="004D0CF5"/>
    <w:rsid w:val="004D19FC"/>
    <w:rsid w:val="004D2CBD"/>
    <w:rsid w:val="004D5A91"/>
    <w:rsid w:val="004D5BB6"/>
    <w:rsid w:val="004D61B0"/>
    <w:rsid w:val="004D6A7F"/>
    <w:rsid w:val="004E0184"/>
    <w:rsid w:val="004E09E5"/>
    <w:rsid w:val="004E0B0A"/>
    <w:rsid w:val="004E17E8"/>
    <w:rsid w:val="004E1DDF"/>
    <w:rsid w:val="004E27EC"/>
    <w:rsid w:val="004E31D8"/>
    <w:rsid w:val="004E36BC"/>
    <w:rsid w:val="004E4327"/>
    <w:rsid w:val="004E43BF"/>
    <w:rsid w:val="004E5976"/>
    <w:rsid w:val="004E5D71"/>
    <w:rsid w:val="004E7447"/>
    <w:rsid w:val="004E75D4"/>
    <w:rsid w:val="004F15AC"/>
    <w:rsid w:val="004F1B41"/>
    <w:rsid w:val="004F23D2"/>
    <w:rsid w:val="004F264D"/>
    <w:rsid w:val="004F2FAF"/>
    <w:rsid w:val="004F3523"/>
    <w:rsid w:val="004F38FB"/>
    <w:rsid w:val="004F3D4A"/>
    <w:rsid w:val="004F4C5B"/>
    <w:rsid w:val="004F75B8"/>
    <w:rsid w:val="004F76F0"/>
    <w:rsid w:val="00500467"/>
    <w:rsid w:val="00501068"/>
    <w:rsid w:val="0050156B"/>
    <w:rsid w:val="00501C36"/>
    <w:rsid w:val="00502009"/>
    <w:rsid w:val="00502558"/>
    <w:rsid w:val="00502925"/>
    <w:rsid w:val="00502B43"/>
    <w:rsid w:val="00503D13"/>
    <w:rsid w:val="00504C37"/>
    <w:rsid w:val="00506945"/>
    <w:rsid w:val="0050723E"/>
    <w:rsid w:val="00507E71"/>
    <w:rsid w:val="00510062"/>
    <w:rsid w:val="005100AA"/>
    <w:rsid w:val="00511003"/>
    <w:rsid w:val="00511BDD"/>
    <w:rsid w:val="00512453"/>
    <w:rsid w:val="00512583"/>
    <w:rsid w:val="005132DC"/>
    <w:rsid w:val="0051430B"/>
    <w:rsid w:val="005158AD"/>
    <w:rsid w:val="005165E6"/>
    <w:rsid w:val="00516A2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1FF5"/>
    <w:rsid w:val="0053262C"/>
    <w:rsid w:val="00532CF2"/>
    <w:rsid w:val="00533106"/>
    <w:rsid w:val="0053412C"/>
    <w:rsid w:val="00534248"/>
    <w:rsid w:val="00534B4C"/>
    <w:rsid w:val="00534B77"/>
    <w:rsid w:val="00535DC6"/>
    <w:rsid w:val="00536326"/>
    <w:rsid w:val="00537D9B"/>
    <w:rsid w:val="0054009F"/>
    <w:rsid w:val="0054218F"/>
    <w:rsid w:val="00544033"/>
    <w:rsid w:val="0054403B"/>
    <w:rsid w:val="00544300"/>
    <w:rsid w:val="00544899"/>
    <w:rsid w:val="00545342"/>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38D"/>
    <w:rsid w:val="00564DF1"/>
    <w:rsid w:val="00566FA6"/>
    <w:rsid w:val="005675FB"/>
    <w:rsid w:val="00567AC9"/>
    <w:rsid w:val="005716C1"/>
    <w:rsid w:val="00571845"/>
    <w:rsid w:val="00572707"/>
    <w:rsid w:val="00572945"/>
    <w:rsid w:val="00572E54"/>
    <w:rsid w:val="0057327E"/>
    <w:rsid w:val="00573487"/>
    <w:rsid w:val="00573821"/>
    <w:rsid w:val="00577D3F"/>
    <w:rsid w:val="0058001F"/>
    <w:rsid w:val="0058223D"/>
    <w:rsid w:val="00583750"/>
    <w:rsid w:val="00583D45"/>
    <w:rsid w:val="005842A6"/>
    <w:rsid w:val="00584325"/>
    <w:rsid w:val="00585080"/>
    <w:rsid w:val="00585FA7"/>
    <w:rsid w:val="0058635E"/>
    <w:rsid w:val="00587034"/>
    <w:rsid w:val="005875EA"/>
    <w:rsid w:val="00587FEF"/>
    <w:rsid w:val="0059126E"/>
    <w:rsid w:val="00591A96"/>
    <w:rsid w:val="00591C33"/>
    <w:rsid w:val="00591E81"/>
    <w:rsid w:val="00592485"/>
    <w:rsid w:val="00592DF7"/>
    <w:rsid w:val="00592E1B"/>
    <w:rsid w:val="00593911"/>
    <w:rsid w:val="00593976"/>
    <w:rsid w:val="00594E1F"/>
    <w:rsid w:val="005952E0"/>
    <w:rsid w:val="00596497"/>
    <w:rsid w:val="00596607"/>
    <w:rsid w:val="0059733A"/>
    <w:rsid w:val="00597881"/>
    <w:rsid w:val="005A1360"/>
    <w:rsid w:val="005A1DDC"/>
    <w:rsid w:val="005A2322"/>
    <w:rsid w:val="005A38E6"/>
    <w:rsid w:val="005A43AE"/>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B6F"/>
    <w:rsid w:val="005B7D70"/>
    <w:rsid w:val="005B7F37"/>
    <w:rsid w:val="005C0699"/>
    <w:rsid w:val="005C06AF"/>
    <w:rsid w:val="005C0971"/>
    <w:rsid w:val="005C09CB"/>
    <w:rsid w:val="005C1BFA"/>
    <w:rsid w:val="005C20A0"/>
    <w:rsid w:val="005C26B3"/>
    <w:rsid w:val="005C2EDB"/>
    <w:rsid w:val="005C315B"/>
    <w:rsid w:val="005C3CC7"/>
    <w:rsid w:val="005C4AFA"/>
    <w:rsid w:val="005C585A"/>
    <w:rsid w:val="005C647D"/>
    <w:rsid w:val="005C7680"/>
    <w:rsid w:val="005D072F"/>
    <w:rsid w:val="005D11BE"/>
    <w:rsid w:val="005D2418"/>
    <w:rsid w:val="005D2AC3"/>
    <w:rsid w:val="005D3AD3"/>
    <w:rsid w:val="005D4023"/>
    <w:rsid w:val="005D4C93"/>
    <w:rsid w:val="005D569E"/>
    <w:rsid w:val="005D5FE2"/>
    <w:rsid w:val="005D6C54"/>
    <w:rsid w:val="005D7E81"/>
    <w:rsid w:val="005E1C8D"/>
    <w:rsid w:val="005E3700"/>
    <w:rsid w:val="005E37A8"/>
    <w:rsid w:val="005E3E21"/>
    <w:rsid w:val="005E4299"/>
    <w:rsid w:val="005E4944"/>
    <w:rsid w:val="005E49EA"/>
    <w:rsid w:val="005E5C46"/>
    <w:rsid w:val="005E5E12"/>
    <w:rsid w:val="005E6248"/>
    <w:rsid w:val="005E7B2B"/>
    <w:rsid w:val="005F1F5A"/>
    <w:rsid w:val="005F2A4B"/>
    <w:rsid w:val="005F2DCF"/>
    <w:rsid w:val="005F2E39"/>
    <w:rsid w:val="005F48E9"/>
    <w:rsid w:val="005F69D2"/>
    <w:rsid w:val="005F70F3"/>
    <w:rsid w:val="005F7AB3"/>
    <w:rsid w:val="005F7B45"/>
    <w:rsid w:val="006003C4"/>
    <w:rsid w:val="00601244"/>
    <w:rsid w:val="00602264"/>
    <w:rsid w:val="006024FC"/>
    <w:rsid w:val="00602898"/>
    <w:rsid w:val="006031FD"/>
    <w:rsid w:val="00603548"/>
    <w:rsid w:val="00604766"/>
    <w:rsid w:val="00604929"/>
    <w:rsid w:val="006054FC"/>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5D2B"/>
    <w:rsid w:val="0061673A"/>
    <w:rsid w:val="00616B1E"/>
    <w:rsid w:val="006171E3"/>
    <w:rsid w:val="00617411"/>
    <w:rsid w:val="00620033"/>
    <w:rsid w:val="00620CBD"/>
    <w:rsid w:val="00620D6B"/>
    <w:rsid w:val="0062275D"/>
    <w:rsid w:val="0062414B"/>
    <w:rsid w:val="006253FF"/>
    <w:rsid w:val="00626268"/>
    <w:rsid w:val="00626B4F"/>
    <w:rsid w:val="006308A1"/>
    <w:rsid w:val="006323DB"/>
    <w:rsid w:val="00635460"/>
    <w:rsid w:val="00635E8B"/>
    <w:rsid w:val="00640E4A"/>
    <w:rsid w:val="006416B1"/>
    <w:rsid w:val="00645360"/>
    <w:rsid w:val="00646D7B"/>
    <w:rsid w:val="00646E26"/>
    <w:rsid w:val="006474A8"/>
    <w:rsid w:val="006476DB"/>
    <w:rsid w:val="00651083"/>
    <w:rsid w:val="00651302"/>
    <w:rsid w:val="00651A0B"/>
    <w:rsid w:val="00651F47"/>
    <w:rsid w:val="00652A11"/>
    <w:rsid w:val="00653895"/>
    <w:rsid w:val="00653FB1"/>
    <w:rsid w:val="00654036"/>
    <w:rsid w:val="006544BC"/>
    <w:rsid w:val="00655CEA"/>
    <w:rsid w:val="006560D2"/>
    <w:rsid w:val="00656393"/>
    <w:rsid w:val="00660F26"/>
    <w:rsid w:val="006622BE"/>
    <w:rsid w:val="0066445B"/>
    <w:rsid w:val="00664C5F"/>
    <w:rsid w:val="00665793"/>
    <w:rsid w:val="00665A7A"/>
    <w:rsid w:val="00665FC5"/>
    <w:rsid w:val="006660B8"/>
    <w:rsid w:val="00666A5E"/>
    <w:rsid w:val="00670C9E"/>
    <w:rsid w:val="00671E17"/>
    <w:rsid w:val="00671F7E"/>
    <w:rsid w:val="0067213F"/>
    <w:rsid w:val="00672420"/>
    <w:rsid w:val="0067309B"/>
    <w:rsid w:val="00673F7C"/>
    <w:rsid w:val="006761BA"/>
    <w:rsid w:val="00676423"/>
    <w:rsid w:val="00676ED4"/>
    <w:rsid w:val="00676EF2"/>
    <w:rsid w:val="00677DA5"/>
    <w:rsid w:val="00680675"/>
    <w:rsid w:val="00680B92"/>
    <w:rsid w:val="00681606"/>
    <w:rsid w:val="006816EA"/>
    <w:rsid w:val="00684E39"/>
    <w:rsid w:val="0068580C"/>
    <w:rsid w:val="00686047"/>
    <w:rsid w:val="006908DF"/>
    <w:rsid w:val="00690D15"/>
    <w:rsid w:val="006914AE"/>
    <w:rsid w:val="00692312"/>
    <w:rsid w:val="006934C3"/>
    <w:rsid w:val="006936AE"/>
    <w:rsid w:val="00694003"/>
    <w:rsid w:val="00694E49"/>
    <w:rsid w:val="00696A50"/>
    <w:rsid w:val="00696B00"/>
    <w:rsid w:val="006A089A"/>
    <w:rsid w:val="006A09F1"/>
    <w:rsid w:val="006A12C7"/>
    <w:rsid w:val="006A1491"/>
    <w:rsid w:val="006A21F6"/>
    <w:rsid w:val="006A301A"/>
    <w:rsid w:val="006A35FC"/>
    <w:rsid w:val="006A3ABC"/>
    <w:rsid w:val="006A3D2E"/>
    <w:rsid w:val="006B0C94"/>
    <w:rsid w:val="006B0D0E"/>
    <w:rsid w:val="006B167D"/>
    <w:rsid w:val="006B1989"/>
    <w:rsid w:val="006B1AFF"/>
    <w:rsid w:val="006B1F62"/>
    <w:rsid w:val="006B2631"/>
    <w:rsid w:val="006B3737"/>
    <w:rsid w:val="006B3A15"/>
    <w:rsid w:val="006B3CDC"/>
    <w:rsid w:val="006B468C"/>
    <w:rsid w:val="006B5D35"/>
    <w:rsid w:val="006B63EB"/>
    <w:rsid w:val="006B6AFA"/>
    <w:rsid w:val="006B6E06"/>
    <w:rsid w:val="006B740A"/>
    <w:rsid w:val="006B7934"/>
    <w:rsid w:val="006C0182"/>
    <w:rsid w:val="006C053E"/>
    <w:rsid w:val="006C13FD"/>
    <w:rsid w:val="006C27C3"/>
    <w:rsid w:val="006C2FD6"/>
    <w:rsid w:val="006C3A33"/>
    <w:rsid w:val="006C3FE1"/>
    <w:rsid w:val="006C4678"/>
    <w:rsid w:val="006C4CF9"/>
    <w:rsid w:val="006C6EDB"/>
    <w:rsid w:val="006C79BB"/>
    <w:rsid w:val="006C7C03"/>
    <w:rsid w:val="006C7C98"/>
    <w:rsid w:val="006D29A7"/>
    <w:rsid w:val="006D2B1B"/>
    <w:rsid w:val="006D3729"/>
    <w:rsid w:val="006D49B3"/>
    <w:rsid w:val="006D56BE"/>
    <w:rsid w:val="006D604A"/>
    <w:rsid w:val="006D64F9"/>
    <w:rsid w:val="006D660C"/>
    <w:rsid w:val="006D6F93"/>
    <w:rsid w:val="006D77A4"/>
    <w:rsid w:val="006E05A8"/>
    <w:rsid w:val="006E0602"/>
    <w:rsid w:val="006E0800"/>
    <w:rsid w:val="006E2818"/>
    <w:rsid w:val="006E2E19"/>
    <w:rsid w:val="006E3705"/>
    <w:rsid w:val="006E42EC"/>
    <w:rsid w:val="006E5674"/>
    <w:rsid w:val="006E5D2D"/>
    <w:rsid w:val="006E5D8F"/>
    <w:rsid w:val="006E6377"/>
    <w:rsid w:val="006E641F"/>
    <w:rsid w:val="006E7694"/>
    <w:rsid w:val="006E7FF6"/>
    <w:rsid w:val="006F1108"/>
    <w:rsid w:val="006F1F74"/>
    <w:rsid w:val="006F28E0"/>
    <w:rsid w:val="006F38CE"/>
    <w:rsid w:val="006F3E65"/>
    <w:rsid w:val="006F4968"/>
    <w:rsid w:val="006F4EE0"/>
    <w:rsid w:val="006F50D9"/>
    <w:rsid w:val="006F5B10"/>
    <w:rsid w:val="006F6212"/>
    <w:rsid w:val="006F6426"/>
    <w:rsid w:val="007002BB"/>
    <w:rsid w:val="0070068E"/>
    <w:rsid w:val="00701557"/>
    <w:rsid w:val="00701696"/>
    <w:rsid w:val="00701E38"/>
    <w:rsid w:val="007028A9"/>
    <w:rsid w:val="00706C60"/>
    <w:rsid w:val="00706D0A"/>
    <w:rsid w:val="00707565"/>
    <w:rsid w:val="00707A83"/>
    <w:rsid w:val="0071030F"/>
    <w:rsid w:val="00710F12"/>
    <w:rsid w:val="00712F06"/>
    <w:rsid w:val="00714386"/>
    <w:rsid w:val="007152A4"/>
    <w:rsid w:val="00716BED"/>
    <w:rsid w:val="0071709C"/>
    <w:rsid w:val="00717725"/>
    <w:rsid w:val="007178EC"/>
    <w:rsid w:val="0071798E"/>
    <w:rsid w:val="00717E7A"/>
    <w:rsid w:val="00720006"/>
    <w:rsid w:val="007203A0"/>
    <w:rsid w:val="0072202A"/>
    <w:rsid w:val="00722B13"/>
    <w:rsid w:val="00722C48"/>
    <w:rsid w:val="007256F7"/>
    <w:rsid w:val="00725ED0"/>
    <w:rsid w:val="007279B3"/>
    <w:rsid w:val="00730311"/>
    <w:rsid w:val="0073066C"/>
    <w:rsid w:val="00730F7B"/>
    <w:rsid w:val="00731333"/>
    <w:rsid w:val="00733B39"/>
    <w:rsid w:val="00736E53"/>
    <w:rsid w:val="00737DEE"/>
    <w:rsid w:val="00737E3A"/>
    <w:rsid w:val="00741240"/>
    <w:rsid w:val="00742C81"/>
    <w:rsid w:val="00743AC0"/>
    <w:rsid w:val="007441B8"/>
    <w:rsid w:val="0074490A"/>
    <w:rsid w:val="00744DC9"/>
    <w:rsid w:val="007464BD"/>
    <w:rsid w:val="00747060"/>
    <w:rsid w:val="00747674"/>
    <w:rsid w:val="00747B26"/>
    <w:rsid w:val="00750459"/>
    <w:rsid w:val="0075058D"/>
    <w:rsid w:val="00751049"/>
    <w:rsid w:val="007512E6"/>
    <w:rsid w:val="007514E0"/>
    <w:rsid w:val="00751645"/>
    <w:rsid w:val="00751815"/>
    <w:rsid w:val="00751F59"/>
    <w:rsid w:val="00752DF0"/>
    <w:rsid w:val="00752E32"/>
    <w:rsid w:val="007536E4"/>
    <w:rsid w:val="0075387F"/>
    <w:rsid w:val="00753B54"/>
    <w:rsid w:val="00754A60"/>
    <w:rsid w:val="00755EFE"/>
    <w:rsid w:val="00757E26"/>
    <w:rsid w:val="00760012"/>
    <w:rsid w:val="0076055F"/>
    <w:rsid w:val="007607C6"/>
    <w:rsid w:val="00760D2E"/>
    <w:rsid w:val="007610F4"/>
    <w:rsid w:val="007615E3"/>
    <w:rsid w:val="00761876"/>
    <w:rsid w:val="007624F7"/>
    <w:rsid w:val="00762BB3"/>
    <w:rsid w:val="00763925"/>
    <w:rsid w:val="00763DBE"/>
    <w:rsid w:val="00767028"/>
    <w:rsid w:val="00767262"/>
    <w:rsid w:val="00770559"/>
    <w:rsid w:val="00770AC9"/>
    <w:rsid w:val="00772DF6"/>
    <w:rsid w:val="0077382A"/>
    <w:rsid w:val="00774604"/>
    <w:rsid w:val="0077505B"/>
    <w:rsid w:val="007766DC"/>
    <w:rsid w:val="00776A2B"/>
    <w:rsid w:val="00776E9C"/>
    <w:rsid w:val="00776F2A"/>
    <w:rsid w:val="007772E4"/>
    <w:rsid w:val="007779C9"/>
    <w:rsid w:val="00777D23"/>
    <w:rsid w:val="00780000"/>
    <w:rsid w:val="0078039D"/>
    <w:rsid w:val="007808E4"/>
    <w:rsid w:val="007819C1"/>
    <w:rsid w:val="00782E13"/>
    <w:rsid w:val="00783364"/>
    <w:rsid w:val="00783422"/>
    <w:rsid w:val="00783481"/>
    <w:rsid w:val="00783B6E"/>
    <w:rsid w:val="00783EC3"/>
    <w:rsid w:val="007848C1"/>
    <w:rsid w:val="00784EA4"/>
    <w:rsid w:val="00785E17"/>
    <w:rsid w:val="00786734"/>
    <w:rsid w:val="007867AB"/>
    <w:rsid w:val="007867C0"/>
    <w:rsid w:val="007878C9"/>
    <w:rsid w:val="00790516"/>
    <w:rsid w:val="0079092D"/>
    <w:rsid w:val="00791684"/>
    <w:rsid w:val="00792B1F"/>
    <w:rsid w:val="00793607"/>
    <w:rsid w:val="00794528"/>
    <w:rsid w:val="00794E6D"/>
    <w:rsid w:val="00794E70"/>
    <w:rsid w:val="00795995"/>
    <w:rsid w:val="0079607B"/>
    <w:rsid w:val="0079748A"/>
    <w:rsid w:val="00797720"/>
    <w:rsid w:val="0079793D"/>
    <w:rsid w:val="00797EB2"/>
    <w:rsid w:val="007A102A"/>
    <w:rsid w:val="007A1BD6"/>
    <w:rsid w:val="007A2076"/>
    <w:rsid w:val="007A239B"/>
    <w:rsid w:val="007A2576"/>
    <w:rsid w:val="007A2BC8"/>
    <w:rsid w:val="007A3251"/>
    <w:rsid w:val="007A4B6D"/>
    <w:rsid w:val="007A6A41"/>
    <w:rsid w:val="007A7CCE"/>
    <w:rsid w:val="007B1939"/>
    <w:rsid w:val="007B1A28"/>
    <w:rsid w:val="007B1AE7"/>
    <w:rsid w:val="007B2B6D"/>
    <w:rsid w:val="007B4083"/>
    <w:rsid w:val="007B4B9F"/>
    <w:rsid w:val="007B6464"/>
    <w:rsid w:val="007B6EED"/>
    <w:rsid w:val="007C0282"/>
    <w:rsid w:val="007C05FC"/>
    <w:rsid w:val="007C0720"/>
    <w:rsid w:val="007C0E7B"/>
    <w:rsid w:val="007C183A"/>
    <w:rsid w:val="007C453D"/>
    <w:rsid w:val="007C70E3"/>
    <w:rsid w:val="007D363A"/>
    <w:rsid w:val="007D3D36"/>
    <w:rsid w:val="007D4984"/>
    <w:rsid w:val="007D4AC7"/>
    <w:rsid w:val="007D500F"/>
    <w:rsid w:val="007D59A6"/>
    <w:rsid w:val="007D715A"/>
    <w:rsid w:val="007D71FE"/>
    <w:rsid w:val="007D7C5C"/>
    <w:rsid w:val="007E27EC"/>
    <w:rsid w:val="007E30EE"/>
    <w:rsid w:val="007E5461"/>
    <w:rsid w:val="007E568E"/>
    <w:rsid w:val="007E636F"/>
    <w:rsid w:val="007E6992"/>
    <w:rsid w:val="007E6F62"/>
    <w:rsid w:val="007E735B"/>
    <w:rsid w:val="007E7CEF"/>
    <w:rsid w:val="007E7F16"/>
    <w:rsid w:val="007F013E"/>
    <w:rsid w:val="007F079B"/>
    <w:rsid w:val="007F1A1B"/>
    <w:rsid w:val="007F1A9F"/>
    <w:rsid w:val="007F1DF4"/>
    <w:rsid w:val="007F2FB3"/>
    <w:rsid w:val="007F4549"/>
    <w:rsid w:val="007F4CA5"/>
    <w:rsid w:val="007F5780"/>
    <w:rsid w:val="007F57C6"/>
    <w:rsid w:val="007F5BD1"/>
    <w:rsid w:val="007F5EBC"/>
    <w:rsid w:val="007F6708"/>
    <w:rsid w:val="007F6CAD"/>
    <w:rsid w:val="007F7294"/>
    <w:rsid w:val="007F749D"/>
    <w:rsid w:val="007F765F"/>
    <w:rsid w:val="00800009"/>
    <w:rsid w:val="0080138B"/>
    <w:rsid w:val="00801787"/>
    <w:rsid w:val="00801F4B"/>
    <w:rsid w:val="0080207B"/>
    <w:rsid w:val="00802265"/>
    <w:rsid w:val="0080232A"/>
    <w:rsid w:val="00803E02"/>
    <w:rsid w:val="008043C1"/>
    <w:rsid w:val="008045BB"/>
    <w:rsid w:val="00804963"/>
    <w:rsid w:val="0080599F"/>
    <w:rsid w:val="00805F6E"/>
    <w:rsid w:val="00807290"/>
    <w:rsid w:val="008112C1"/>
    <w:rsid w:val="00811E36"/>
    <w:rsid w:val="00812A2F"/>
    <w:rsid w:val="00812A90"/>
    <w:rsid w:val="008204CA"/>
    <w:rsid w:val="00821D5F"/>
    <w:rsid w:val="008221DA"/>
    <w:rsid w:val="008228E6"/>
    <w:rsid w:val="00824353"/>
    <w:rsid w:val="00824B45"/>
    <w:rsid w:val="008253A5"/>
    <w:rsid w:val="00825941"/>
    <w:rsid w:val="00825F0A"/>
    <w:rsid w:val="00826BA9"/>
    <w:rsid w:val="0082724F"/>
    <w:rsid w:val="008274BA"/>
    <w:rsid w:val="00831451"/>
    <w:rsid w:val="008314DD"/>
    <w:rsid w:val="008334C2"/>
    <w:rsid w:val="00835746"/>
    <w:rsid w:val="008358F5"/>
    <w:rsid w:val="0084009C"/>
    <w:rsid w:val="00840CB5"/>
    <w:rsid w:val="00841ACF"/>
    <w:rsid w:val="0084226A"/>
    <w:rsid w:val="008432E2"/>
    <w:rsid w:val="00843FB0"/>
    <w:rsid w:val="00844EF5"/>
    <w:rsid w:val="0084513A"/>
    <w:rsid w:val="008454F0"/>
    <w:rsid w:val="00845D1E"/>
    <w:rsid w:val="008469B4"/>
    <w:rsid w:val="00847491"/>
    <w:rsid w:val="00847B44"/>
    <w:rsid w:val="00847CA7"/>
    <w:rsid w:val="0085061C"/>
    <w:rsid w:val="00850A22"/>
    <w:rsid w:val="00850F75"/>
    <w:rsid w:val="00851674"/>
    <w:rsid w:val="00852ECB"/>
    <w:rsid w:val="0085313E"/>
    <w:rsid w:val="008539BF"/>
    <w:rsid w:val="00853EB9"/>
    <w:rsid w:val="00853F7E"/>
    <w:rsid w:val="00854537"/>
    <w:rsid w:val="0085497A"/>
    <w:rsid w:val="0085511E"/>
    <w:rsid w:val="0085525B"/>
    <w:rsid w:val="00855366"/>
    <w:rsid w:val="00855CD4"/>
    <w:rsid w:val="008561B5"/>
    <w:rsid w:val="0086014A"/>
    <w:rsid w:val="00860517"/>
    <w:rsid w:val="00861241"/>
    <w:rsid w:val="00861ABF"/>
    <w:rsid w:val="00862339"/>
    <w:rsid w:val="0086269A"/>
    <w:rsid w:val="00863265"/>
    <w:rsid w:val="00864C31"/>
    <w:rsid w:val="0086569B"/>
    <w:rsid w:val="00870579"/>
    <w:rsid w:val="008705F3"/>
    <w:rsid w:val="00870894"/>
    <w:rsid w:val="008718E5"/>
    <w:rsid w:val="008744C5"/>
    <w:rsid w:val="00875229"/>
    <w:rsid w:val="00875A72"/>
    <w:rsid w:val="00876555"/>
    <w:rsid w:val="00877D77"/>
    <w:rsid w:val="008815E1"/>
    <w:rsid w:val="0088307E"/>
    <w:rsid w:val="008830A1"/>
    <w:rsid w:val="008833B6"/>
    <w:rsid w:val="00884ACE"/>
    <w:rsid w:val="008863EB"/>
    <w:rsid w:val="008900FD"/>
    <w:rsid w:val="00890421"/>
    <w:rsid w:val="0089043E"/>
    <w:rsid w:val="00891B6C"/>
    <w:rsid w:val="008922D3"/>
    <w:rsid w:val="00892698"/>
    <w:rsid w:val="00893EB2"/>
    <w:rsid w:val="008940F7"/>
    <w:rsid w:val="00894461"/>
    <w:rsid w:val="00895E7B"/>
    <w:rsid w:val="00895FD7"/>
    <w:rsid w:val="008961F1"/>
    <w:rsid w:val="008974DE"/>
    <w:rsid w:val="0089753F"/>
    <w:rsid w:val="008976B7"/>
    <w:rsid w:val="008A010C"/>
    <w:rsid w:val="008A0771"/>
    <w:rsid w:val="008A18B2"/>
    <w:rsid w:val="008A1AF9"/>
    <w:rsid w:val="008A2E6C"/>
    <w:rsid w:val="008A34DB"/>
    <w:rsid w:val="008A4010"/>
    <w:rsid w:val="008A405F"/>
    <w:rsid w:val="008A5574"/>
    <w:rsid w:val="008A5CD2"/>
    <w:rsid w:val="008A6130"/>
    <w:rsid w:val="008A650B"/>
    <w:rsid w:val="008A69CE"/>
    <w:rsid w:val="008A6CA5"/>
    <w:rsid w:val="008B01DA"/>
    <w:rsid w:val="008B07C1"/>
    <w:rsid w:val="008B0BAD"/>
    <w:rsid w:val="008B21BE"/>
    <w:rsid w:val="008B4A40"/>
    <w:rsid w:val="008B6218"/>
    <w:rsid w:val="008B6764"/>
    <w:rsid w:val="008B7895"/>
    <w:rsid w:val="008C119E"/>
    <w:rsid w:val="008C11EE"/>
    <w:rsid w:val="008C180E"/>
    <w:rsid w:val="008C1CEF"/>
    <w:rsid w:val="008C2492"/>
    <w:rsid w:val="008C2578"/>
    <w:rsid w:val="008C2AD3"/>
    <w:rsid w:val="008C3B2B"/>
    <w:rsid w:val="008C3F33"/>
    <w:rsid w:val="008C5560"/>
    <w:rsid w:val="008C6462"/>
    <w:rsid w:val="008C7276"/>
    <w:rsid w:val="008D0294"/>
    <w:rsid w:val="008D1E14"/>
    <w:rsid w:val="008D3E94"/>
    <w:rsid w:val="008D433F"/>
    <w:rsid w:val="008D4AED"/>
    <w:rsid w:val="008D5482"/>
    <w:rsid w:val="008D5C33"/>
    <w:rsid w:val="008D7225"/>
    <w:rsid w:val="008D7501"/>
    <w:rsid w:val="008E0033"/>
    <w:rsid w:val="008E00B8"/>
    <w:rsid w:val="008E04C9"/>
    <w:rsid w:val="008E0A14"/>
    <w:rsid w:val="008E10A8"/>
    <w:rsid w:val="008E10F9"/>
    <w:rsid w:val="008E1654"/>
    <w:rsid w:val="008E1A2B"/>
    <w:rsid w:val="008E215B"/>
    <w:rsid w:val="008E2958"/>
    <w:rsid w:val="008E3209"/>
    <w:rsid w:val="008E3C5C"/>
    <w:rsid w:val="008E4722"/>
    <w:rsid w:val="008E496C"/>
    <w:rsid w:val="008E4D86"/>
    <w:rsid w:val="008E567E"/>
    <w:rsid w:val="008E5C07"/>
    <w:rsid w:val="008E63DD"/>
    <w:rsid w:val="008E723D"/>
    <w:rsid w:val="008F01B9"/>
    <w:rsid w:val="008F09BF"/>
    <w:rsid w:val="008F3B2B"/>
    <w:rsid w:val="008F4F41"/>
    <w:rsid w:val="008F5201"/>
    <w:rsid w:val="008F5F4B"/>
    <w:rsid w:val="008F61B1"/>
    <w:rsid w:val="008F74E2"/>
    <w:rsid w:val="008F79B0"/>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E25"/>
    <w:rsid w:val="0092390C"/>
    <w:rsid w:val="0092391A"/>
    <w:rsid w:val="00924419"/>
    <w:rsid w:val="00924F90"/>
    <w:rsid w:val="00925A1B"/>
    <w:rsid w:val="00925B33"/>
    <w:rsid w:val="00925EDA"/>
    <w:rsid w:val="00926ACC"/>
    <w:rsid w:val="00927481"/>
    <w:rsid w:val="009278C5"/>
    <w:rsid w:val="00927BA1"/>
    <w:rsid w:val="00927CC5"/>
    <w:rsid w:val="009304F4"/>
    <w:rsid w:val="0093122C"/>
    <w:rsid w:val="00931B83"/>
    <w:rsid w:val="00932796"/>
    <w:rsid w:val="00932DED"/>
    <w:rsid w:val="0093309F"/>
    <w:rsid w:val="0093356A"/>
    <w:rsid w:val="00934992"/>
    <w:rsid w:val="00935533"/>
    <w:rsid w:val="0093646D"/>
    <w:rsid w:val="00936819"/>
    <w:rsid w:val="00936DAA"/>
    <w:rsid w:val="009374D6"/>
    <w:rsid w:val="00937918"/>
    <w:rsid w:val="009379A7"/>
    <w:rsid w:val="00940134"/>
    <w:rsid w:val="0094135B"/>
    <w:rsid w:val="00941E10"/>
    <w:rsid w:val="00942584"/>
    <w:rsid w:val="009429C7"/>
    <w:rsid w:val="009429FB"/>
    <w:rsid w:val="0094377A"/>
    <w:rsid w:val="00944130"/>
    <w:rsid w:val="00946D8E"/>
    <w:rsid w:val="00950E19"/>
    <w:rsid w:val="0095153C"/>
    <w:rsid w:val="009534A2"/>
    <w:rsid w:val="00954932"/>
    <w:rsid w:val="00954FD3"/>
    <w:rsid w:val="009557AD"/>
    <w:rsid w:val="00955FDA"/>
    <w:rsid w:val="009564E7"/>
    <w:rsid w:val="00956979"/>
    <w:rsid w:val="00961C5C"/>
    <w:rsid w:val="009627CE"/>
    <w:rsid w:val="009630DC"/>
    <w:rsid w:val="00965F52"/>
    <w:rsid w:val="00966535"/>
    <w:rsid w:val="00966811"/>
    <w:rsid w:val="00966F25"/>
    <w:rsid w:val="009674CB"/>
    <w:rsid w:val="009677F8"/>
    <w:rsid w:val="00971AA6"/>
    <w:rsid w:val="00972123"/>
    <w:rsid w:val="009742ED"/>
    <w:rsid w:val="009746E2"/>
    <w:rsid w:val="00975F29"/>
    <w:rsid w:val="00975FDC"/>
    <w:rsid w:val="009760E2"/>
    <w:rsid w:val="00977334"/>
    <w:rsid w:val="0097736B"/>
    <w:rsid w:val="009800B4"/>
    <w:rsid w:val="00981B3D"/>
    <w:rsid w:val="009820BB"/>
    <w:rsid w:val="009823AA"/>
    <w:rsid w:val="009824E3"/>
    <w:rsid w:val="009826AB"/>
    <w:rsid w:val="00982D45"/>
    <w:rsid w:val="00982D64"/>
    <w:rsid w:val="00983E4A"/>
    <w:rsid w:val="00985817"/>
    <w:rsid w:val="00985BEF"/>
    <w:rsid w:val="0098645C"/>
    <w:rsid w:val="00986D83"/>
    <w:rsid w:val="009875BB"/>
    <w:rsid w:val="00987802"/>
    <w:rsid w:val="00987A7F"/>
    <w:rsid w:val="0099035D"/>
    <w:rsid w:val="009904D7"/>
    <w:rsid w:val="00991D4F"/>
    <w:rsid w:val="00992C4C"/>
    <w:rsid w:val="00992F8E"/>
    <w:rsid w:val="00993B6E"/>
    <w:rsid w:val="00996149"/>
    <w:rsid w:val="00996D67"/>
    <w:rsid w:val="009974F3"/>
    <w:rsid w:val="00997DEE"/>
    <w:rsid w:val="009A014B"/>
    <w:rsid w:val="009A0976"/>
    <w:rsid w:val="009A0990"/>
    <w:rsid w:val="009A0D24"/>
    <w:rsid w:val="009A2117"/>
    <w:rsid w:val="009A2289"/>
    <w:rsid w:val="009A4319"/>
    <w:rsid w:val="009A4340"/>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7FA"/>
    <w:rsid w:val="009C3F2F"/>
    <w:rsid w:val="009C59E0"/>
    <w:rsid w:val="009C7D9F"/>
    <w:rsid w:val="009D11E3"/>
    <w:rsid w:val="009D20BA"/>
    <w:rsid w:val="009D2A43"/>
    <w:rsid w:val="009D2B88"/>
    <w:rsid w:val="009D33F3"/>
    <w:rsid w:val="009D3692"/>
    <w:rsid w:val="009D55FE"/>
    <w:rsid w:val="009D71D0"/>
    <w:rsid w:val="009E06DB"/>
    <w:rsid w:val="009E0C1C"/>
    <w:rsid w:val="009E1D7E"/>
    <w:rsid w:val="009E3860"/>
    <w:rsid w:val="009E3C5E"/>
    <w:rsid w:val="009E3CD9"/>
    <w:rsid w:val="009E45B8"/>
    <w:rsid w:val="009E563D"/>
    <w:rsid w:val="009E7919"/>
    <w:rsid w:val="009F0323"/>
    <w:rsid w:val="009F1030"/>
    <w:rsid w:val="009F15D2"/>
    <w:rsid w:val="009F1C65"/>
    <w:rsid w:val="009F22A6"/>
    <w:rsid w:val="009F51E3"/>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8AC"/>
    <w:rsid w:val="00A07D47"/>
    <w:rsid w:val="00A12251"/>
    <w:rsid w:val="00A12913"/>
    <w:rsid w:val="00A14BA0"/>
    <w:rsid w:val="00A14BD6"/>
    <w:rsid w:val="00A14D4B"/>
    <w:rsid w:val="00A15AC7"/>
    <w:rsid w:val="00A16576"/>
    <w:rsid w:val="00A17624"/>
    <w:rsid w:val="00A17FBA"/>
    <w:rsid w:val="00A2004F"/>
    <w:rsid w:val="00A2269A"/>
    <w:rsid w:val="00A229B7"/>
    <w:rsid w:val="00A24145"/>
    <w:rsid w:val="00A246C4"/>
    <w:rsid w:val="00A2711B"/>
    <w:rsid w:val="00A27E3A"/>
    <w:rsid w:val="00A30B20"/>
    <w:rsid w:val="00A30CD6"/>
    <w:rsid w:val="00A318C7"/>
    <w:rsid w:val="00A31FCA"/>
    <w:rsid w:val="00A32896"/>
    <w:rsid w:val="00A33B32"/>
    <w:rsid w:val="00A3437C"/>
    <w:rsid w:val="00A35DB3"/>
    <w:rsid w:val="00A35F51"/>
    <w:rsid w:val="00A366D7"/>
    <w:rsid w:val="00A40470"/>
    <w:rsid w:val="00A41212"/>
    <w:rsid w:val="00A4277A"/>
    <w:rsid w:val="00A4324A"/>
    <w:rsid w:val="00A439FB"/>
    <w:rsid w:val="00A448BA"/>
    <w:rsid w:val="00A44C20"/>
    <w:rsid w:val="00A463C2"/>
    <w:rsid w:val="00A46AEA"/>
    <w:rsid w:val="00A46DC6"/>
    <w:rsid w:val="00A473DA"/>
    <w:rsid w:val="00A47491"/>
    <w:rsid w:val="00A47BCC"/>
    <w:rsid w:val="00A502F7"/>
    <w:rsid w:val="00A5049E"/>
    <w:rsid w:val="00A50607"/>
    <w:rsid w:val="00A506FB"/>
    <w:rsid w:val="00A50E0D"/>
    <w:rsid w:val="00A50E7D"/>
    <w:rsid w:val="00A50ED4"/>
    <w:rsid w:val="00A5354C"/>
    <w:rsid w:val="00A546B0"/>
    <w:rsid w:val="00A5557D"/>
    <w:rsid w:val="00A5594F"/>
    <w:rsid w:val="00A572EB"/>
    <w:rsid w:val="00A61880"/>
    <w:rsid w:val="00A6379E"/>
    <w:rsid w:val="00A639C3"/>
    <w:rsid w:val="00A64180"/>
    <w:rsid w:val="00A664B4"/>
    <w:rsid w:val="00A66F26"/>
    <w:rsid w:val="00A7038C"/>
    <w:rsid w:val="00A706A8"/>
    <w:rsid w:val="00A70F35"/>
    <w:rsid w:val="00A71134"/>
    <w:rsid w:val="00A71206"/>
    <w:rsid w:val="00A71806"/>
    <w:rsid w:val="00A71A06"/>
    <w:rsid w:val="00A71A81"/>
    <w:rsid w:val="00A71B4A"/>
    <w:rsid w:val="00A71D46"/>
    <w:rsid w:val="00A7228F"/>
    <w:rsid w:val="00A7453E"/>
    <w:rsid w:val="00A74B88"/>
    <w:rsid w:val="00A75841"/>
    <w:rsid w:val="00A763B0"/>
    <w:rsid w:val="00A764BA"/>
    <w:rsid w:val="00A776EB"/>
    <w:rsid w:val="00A80109"/>
    <w:rsid w:val="00A80296"/>
    <w:rsid w:val="00A80E36"/>
    <w:rsid w:val="00A81250"/>
    <w:rsid w:val="00A81316"/>
    <w:rsid w:val="00A82234"/>
    <w:rsid w:val="00A828A4"/>
    <w:rsid w:val="00A8299A"/>
    <w:rsid w:val="00A83393"/>
    <w:rsid w:val="00A83F48"/>
    <w:rsid w:val="00A84734"/>
    <w:rsid w:val="00A86209"/>
    <w:rsid w:val="00A86261"/>
    <w:rsid w:val="00A8668D"/>
    <w:rsid w:val="00A86D3D"/>
    <w:rsid w:val="00A8754E"/>
    <w:rsid w:val="00A87569"/>
    <w:rsid w:val="00A87758"/>
    <w:rsid w:val="00A9020F"/>
    <w:rsid w:val="00A9087E"/>
    <w:rsid w:val="00A90C8A"/>
    <w:rsid w:val="00A90DDC"/>
    <w:rsid w:val="00A93901"/>
    <w:rsid w:val="00A93F2B"/>
    <w:rsid w:val="00A9405F"/>
    <w:rsid w:val="00A952FF"/>
    <w:rsid w:val="00A95AC8"/>
    <w:rsid w:val="00AA0063"/>
    <w:rsid w:val="00AA0145"/>
    <w:rsid w:val="00AA0EFA"/>
    <w:rsid w:val="00AA1213"/>
    <w:rsid w:val="00AA296B"/>
    <w:rsid w:val="00AA2DD3"/>
    <w:rsid w:val="00AA3580"/>
    <w:rsid w:val="00AA536F"/>
    <w:rsid w:val="00AA59BE"/>
    <w:rsid w:val="00AA6599"/>
    <w:rsid w:val="00AA65A9"/>
    <w:rsid w:val="00AA6B64"/>
    <w:rsid w:val="00AA7096"/>
    <w:rsid w:val="00AA73C5"/>
    <w:rsid w:val="00AA7915"/>
    <w:rsid w:val="00AA7A87"/>
    <w:rsid w:val="00AB0259"/>
    <w:rsid w:val="00AB09EC"/>
    <w:rsid w:val="00AB11EB"/>
    <w:rsid w:val="00AB1646"/>
    <w:rsid w:val="00AB1D77"/>
    <w:rsid w:val="00AB2245"/>
    <w:rsid w:val="00AB2460"/>
    <w:rsid w:val="00AB3499"/>
    <w:rsid w:val="00AB415C"/>
    <w:rsid w:val="00AB46C4"/>
    <w:rsid w:val="00AB4977"/>
    <w:rsid w:val="00AB7D85"/>
    <w:rsid w:val="00AC1D76"/>
    <w:rsid w:val="00AC36E8"/>
    <w:rsid w:val="00AC3A64"/>
    <w:rsid w:val="00AC4075"/>
    <w:rsid w:val="00AC498F"/>
    <w:rsid w:val="00AC5879"/>
    <w:rsid w:val="00AD0896"/>
    <w:rsid w:val="00AD2074"/>
    <w:rsid w:val="00AD24B5"/>
    <w:rsid w:val="00AD31F2"/>
    <w:rsid w:val="00AD4776"/>
    <w:rsid w:val="00AD742E"/>
    <w:rsid w:val="00AE0075"/>
    <w:rsid w:val="00AE0706"/>
    <w:rsid w:val="00AE2DD9"/>
    <w:rsid w:val="00AE3141"/>
    <w:rsid w:val="00AE4370"/>
    <w:rsid w:val="00AE5632"/>
    <w:rsid w:val="00AE6176"/>
    <w:rsid w:val="00AE62D8"/>
    <w:rsid w:val="00AE67FB"/>
    <w:rsid w:val="00AE69C8"/>
    <w:rsid w:val="00AE78D4"/>
    <w:rsid w:val="00AE7FA5"/>
    <w:rsid w:val="00AF0142"/>
    <w:rsid w:val="00AF05EF"/>
    <w:rsid w:val="00AF0858"/>
    <w:rsid w:val="00AF1826"/>
    <w:rsid w:val="00AF1D9D"/>
    <w:rsid w:val="00AF367E"/>
    <w:rsid w:val="00AF405F"/>
    <w:rsid w:val="00AF54B7"/>
    <w:rsid w:val="00AF5606"/>
    <w:rsid w:val="00AF587F"/>
    <w:rsid w:val="00AF74BF"/>
    <w:rsid w:val="00AF758E"/>
    <w:rsid w:val="00B019CB"/>
    <w:rsid w:val="00B01F98"/>
    <w:rsid w:val="00B051A1"/>
    <w:rsid w:val="00B05904"/>
    <w:rsid w:val="00B05B23"/>
    <w:rsid w:val="00B060EE"/>
    <w:rsid w:val="00B070DB"/>
    <w:rsid w:val="00B10A26"/>
    <w:rsid w:val="00B10D58"/>
    <w:rsid w:val="00B117A9"/>
    <w:rsid w:val="00B11FC1"/>
    <w:rsid w:val="00B13398"/>
    <w:rsid w:val="00B14839"/>
    <w:rsid w:val="00B149A3"/>
    <w:rsid w:val="00B14B16"/>
    <w:rsid w:val="00B15F2F"/>
    <w:rsid w:val="00B164A7"/>
    <w:rsid w:val="00B17C0C"/>
    <w:rsid w:val="00B20351"/>
    <w:rsid w:val="00B20C70"/>
    <w:rsid w:val="00B2101F"/>
    <w:rsid w:val="00B21403"/>
    <w:rsid w:val="00B2190D"/>
    <w:rsid w:val="00B224B3"/>
    <w:rsid w:val="00B23AF1"/>
    <w:rsid w:val="00B23FBA"/>
    <w:rsid w:val="00B247C1"/>
    <w:rsid w:val="00B24CFF"/>
    <w:rsid w:val="00B27335"/>
    <w:rsid w:val="00B306C8"/>
    <w:rsid w:val="00B3156F"/>
    <w:rsid w:val="00B31ABF"/>
    <w:rsid w:val="00B321C1"/>
    <w:rsid w:val="00B344C5"/>
    <w:rsid w:val="00B348BC"/>
    <w:rsid w:val="00B351C1"/>
    <w:rsid w:val="00B353D6"/>
    <w:rsid w:val="00B362F0"/>
    <w:rsid w:val="00B37885"/>
    <w:rsid w:val="00B37D10"/>
    <w:rsid w:val="00B37E0E"/>
    <w:rsid w:val="00B400E6"/>
    <w:rsid w:val="00B410CF"/>
    <w:rsid w:val="00B41979"/>
    <w:rsid w:val="00B41FD0"/>
    <w:rsid w:val="00B4266A"/>
    <w:rsid w:val="00B42860"/>
    <w:rsid w:val="00B42B6E"/>
    <w:rsid w:val="00B4323A"/>
    <w:rsid w:val="00B43FE7"/>
    <w:rsid w:val="00B44C03"/>
    <w:rsid w:val="00B4509C"/>
    <w:rsid w:val="00B45117"/>
    <w:rsid w:val="00B45B39"/>
    <w:rsid w:val="00B46B9A"/>
    <w:rsid w:val="00B4763B"/>
    <w:rsid w:val="00B50288"/>
    <w:rsid w:val="00B5090F"/>
    <w:rsid w:val="00B50A70"/>
    <w:rsid w:val="00B5130F"/>
    <w:rsid w:val="00B518A4"/>
    <w:rsid w:val="00B54BD6"/>
    <w:rsid w:val="00B54D23"/>
    <w:rsid w:val="00B54F94"/>
    <w:rsid w:val="00B565AE"/>
    <w:rsid w:val="00B57017"/>
    <w:rsid w:val="00B57155"/>
    <w:rsid w:val="00B57775"/>
    <w:rsid w:val="00B579D3"/>
    <w:rsid w:val="00B602AA"/>
    <w:rsid w:val="00B617C2"/>
    <w:rsid w:val="00B61DC3"/>
    <w:rsid w:val="00B62EA7"/>
    <w:rsid w:val="00B6306B"/>
    <w:rsid w:val="00B6358A"/>
    <w:rsid w:val="00B6591E"/>
    <w:rsid w:val="00B65AD5"/>
    <w:rsid w:val="00B65B51"/>
    <w:rsid w:val="00B65DC6"/>
    <w:rsid w:val="00B65FAD"/>
    <w:rsid w:val="00B67172"/>
    <w:rsid w:val="00B673CC"/>
    <w:rsid w:val="00B7103B"/>
    <w:rsid w:val="00B7178E"/>
    <w:rsid w:val="00B72EBB"/>
    <w:rsid w:val="00B73041"/>
    <w:rsid w:val="00B73286"/>
    <w:rsid w:val="00B737FE"/>
    <w:rsid w:val="00B73802"/>
    <w:rsid w:val="00B767AA"/>
    <w:rsid w:val="00B77507"/>
    <w:rsid w:val="00B7786C"/>
    <w:rsid w:val="00B802F8"/>
    <w:rsid w:val="00B80A92"/>
    <w:rsid w:val="00B815A5"/>
    <w:rsid w:val="00B81902"/>
    <w:rsid w:val="00B81DBB"/>
    <w:rsid w:val="00B81DFB"/>
    <w:rsid w:val="00B82734"/>
    <w:rsid w:val="00B82FF9"/>
    <w:rsid w:val="00B83CD5"/>
    <w:rsid w:val="00B8451B"/>
    <w:rsid w:val="00B85676"/>
    <w:rsid w:val="00B85896"/>
    <w:rsid w:val="00B859B3"/>
    <w:rsid w:val="00B861DD"/>
    <w:rsid w:val="00B9046E"/>
    <w:rsid w:val="00B90D14"/>
    <w:rsid w:val="00B94553"/>
    <w:rsid w:val="00B94CE2"/>
    <w:rsid w:val="00B95E35"/>
    <w:rsid w:val="00B96651"/>
    <w:rsid w:val="00BA0498"/>
    <w:rsid w:val="00BA087C"/>
    <w:rsid w:val="00BA0B99"/>
    <w:rsid w:val="00BA15D8"/>
    <w:rsid w:val="00BA4B75"/>
    <w:rsid w:val="00BA53C3"/>
    <w:rsid w:val="00BA60DC"/>
    <w:rsid w:val="00BA6872"/>
    <w:rsid w:val="00BA6D16"/>
    <w:rsid w:val="00BA7DEA"/>
    <w:rsid w:val="00BB29F6"/>
    <w:rsid w:val="00BB30F0"/>
    <w:rsid w:val="00BB37A8"/>
    <w:rsid w:val="00BB3854"/>
    <w:rsid w:val="00BB3A85"/>
    <w:rsid w:val="00BB3B1A"/>
    <w:rsid w:val="00BB45EB"/>
    <w:rsid w:val="00BB492C"/>
    <w:rsid w:val="00BB54E0"/>
    <w:rsid w:val="00BB5EF3"/>
    <w:rsid w:val="00BB69A7"/>
    <w:rsid w:val="00BB6B5E"/>
    <w:rsid w:val="00BB708D"/>
    <w:rsid w:val="00BB785B"/>
    <w:rsid w:val="00BB7DD5"/>
    <w:rsid w:val="00BC272D"/>
    <w:rsid w:val="00BC7279"/>
    <w:rsid w:val="00BC76AF"/>
    <w:rsid w:val="00BD046B"/>
    <w:rsid w:val="00BD0E31"/>
    <w:rsid w:val="00BD0ECE"/>
    <w:rsid w:val="00BD0FD5"/>
    <w:rsid w:val="00BD20AF"/>
    <w:rsid w:val="00BD39BE"/>
    <w:rsid w:val="00BD3A35"/>
    <w:rsid w:val="00BD48E4"/>
    <w:rsid w:val="00BD6C2C"/>
    <w:rsid w:val="00BD7986"/>
    <w:rsid w:val="00BD7B7E"/>
    <w:rsid w:val="00BE06D3"/>
    <w:rsid w:val="00BE2107"/>
    <w:rsid w:val="00BE279E"/>
    <w:rsid w:val="00BE27CA"/>
    <w:rsid w:val="00BE3005"/>
    <w:rsid w:val="00BE312F"/>
    <w:rsid w:val="00BE3786"/>
    <w:rsid w:val="00BE4CFA"/>
    <w:rsid w:val="00BE5AD5"/>
    <w:rsid w:val="00BE67A7"/>
    <w:rsid w:val="00BE7DED"/>
    <w:rsid w:val="00BF0BFC"/>
    <w:rsid w:val="00BF0D05"/>
    <w:rsid w:val="00BF37AE"/>
    <w:rsid w:val="00BF382B"/>
    <w:rsid w:val="00BF5118"/>
    <w:rsid w:val="00BF5228"/>
    <w:rsid w:val="00BF59DF"/>
    <w:rsid w:val="00BF72B7"/>
    <w:rsid w:val="00C004CC"/>
    <w:rsid w:val="00C0098C"/>
    <w:rsid w:val="00C0257D"/>
    <w:rsid w:val="00C03D6D"/>
    <w:rsid w:val="00C06276"/>
    <w:rsid w:val="00C06B9E"/>
    <w:rsid w:val="00C07057"/>
    <w:rsid w:val="00C07554"/>
    <w:rsid w:val="00C07D29"/>
    <w:rsid w:val="00C108BC"/>
    <w:rsid w:val="00C11475"/>
    <w:rsid w:val="00C116D9"/>
    <w:rsid w:val="00C124EC"/>
    <w:rsid w:val="00C128FE"/>
    <w:rsid w:val="00C12EDE"/>
    <w:rsid w:val="00C15AD1"/>
    <w:rsid w:val="00C166EB"/>
    <w:rsid w:val="00C169A2"/>
    <w:rsid w:val="00C17209"/>
    <w:rsid w:val="00C17E72"/>
    <w:rsid w:val="00C20F83"/>
    <w:rsid w:val="00C22009"/>
    <w:rsid w:val="00C2211B"/>
    <w:rsid w:val="00C24973"/>
    <w:rsid w:val="00C25891"/>
    <w:rsid w:val="00C2590B"/>
    <w:rsid w:val="00C25AE9"/>
    <w:rsid w:val="00C265CF"/>
    <w:rsid w:val="00C26D99"/>
    <w:rsid w:val="00C31952"/>
    <w:rsid w:val="00C31FE6"/>
    <w:rsid w:val="00C32131"/>
    <w:rsid w:val="00C32673"/>
    <w:rsid w:val="00C32C6B"/>
    <w:rsid w:val="00C32D87"/>
    <w:rsid w:val="00C330AE"/>
    <w:rsid w:val="00C3390D"/>
    <w:rsid w:val="00C35268"/>
    <w:rsid w:val="00C355B1"/>
    <w:rsid w:val="00C359EE"/>
    <w:rsid w:val="00C36449"/>
    <w:rsid w:val="00C36899"/>
    <w:rsid w:val="00C36A32"/>
    <w:rsid w:val="00C36E6C"/>
    <w:rsid w:val="00C36E9E"/>
    <w:rsid w:val="00C3745C"/>
    <w:rsid w:val="00C37CC4"/>
    <w:rsid w:val="00C40180"/>
    <w:rsid w:val="00C401DA"/>
    <w:rsid w:val="00C411DB"/>
    <w:rsid w:val="00C41B36"/>
    <w:rsid w:val="00C42FBE"/>
    <w:rsid w:val="00C43123"/>
    <w:rsid w:val="00C43785"/>
    <w:rsid w:val="00C43A43"/>
    <w:rsid w:val="00C4456A"/>
    <w:rsid w:val="00C44AF9"/>
    <w:rsid w:val="00C44DAD"/>
    <w:rsid w:val="00C44E18"/>
    <w:rsid w:val="00C44E78"/>
    <w:rsid w:val="00C46F57"/>
    <w:rsid w:val="00C474FD"/>
    <w:rsid w:val="00C50364"/>
    <w:rsid w:val="00C504F3"/>
    <w:rsid w:val="00C511F7"/>
    <w:rsid w:val="00C514C4"/>
    <w:rsid w:val="00C51968"/>
    <w:rsid w:val="00C51FFF"/>
    <w:rsid w:val="00C52233"/>
    <w:rsid w:val="00C525AB"/>
    <w:rsid w:val="00C52BA3"/>
    <w:rsid w:val="00C5336F"/>
    <w:rsid w:val="00C53D03"/>
    <w:rsid w:val="00C53FC4"/>
    <w:rsid w:val="00C5423A"/>
    <w:rsid w:val="00C546FD"/>
    <w:rsid w:val="00C56F6A"/>
    <w:rsid w:val="00C56FD4"/>
    <w:rsid w:val="00C572BF"/>
    <w:rsid w:val="00C57831"/>
    <w:rsid w:val="00C603E8"/>
    <w:rsid w:val="00C60E0F"/>
    <w:rsid w:val="00C6103E"/>
    <w:rsid w:val="00C619AD"/>
    <w:rsid w:val="00C628C6"/>
    <w:rsid w:val="00C62A50"/>
    <w:rsid w:val="00C62C59"/>
    <w:rsid w:val="00C63EB5"/>
    <w:rsid w:val="00C6420F"/>
    <w:rsid w:val="00C64890"/>
    <w:rsid w:val="00C649B9"/>
    <w:rsid w:val="00C659C4"/>
    <w:rsid w:val="00C65E74"/>
    <w:rsid w:val="00C669D8"/>
    <w:rsid w:val="00C6715A"/>
    <w:rsid w:val="00C67C57"/>
    <w:rsid w:val="00C67D12"/>
    <w:rsid w:val="00C67E20"/>
    <w:rsid w:val="00C702A9"/>
    <w:rsid w:val="00C70DD4"/>
    <w:rsid w:val="00C71376"/>
    <w:rsid w:val="00C72054"/>
    <w:rsid w:val="00C72083"/>
    <w:rsid w:val="00C72990"/>
    <w:rsid w:val="00C729AB"/>
    <w:rsid w:val="00C72CBD"/>
    <w:rsid w:val="00C72FE9"/>
    <w:rsid w:val="00C74F21"/>
    <w:rsid w:val="00C7593F"/>
    <w:rsid w:val="00C76B04"/>
    <w:rsid w:val="00C80C05"/>
    <w:rsid w:val="00C815CB"/>
    <w:rsid w:val="00C826F3"/>
    <w:rsid w:val="00C836BF"/>
    <w:rsid w:val="00C84490"/>
    <w:rsid w:val="00C8466C"/>
    <w:rsid w:val="00C84E84"/>
    <w:rsid w:val="00C86224"/>
    <w:rsid w:val="00C86681"/>
    <w:rsid w:val="00C86BF2"/>
    <w:rsid w:val="00C86E8A"/>
    <w:rsid w:val="00C878B0"/>
    <w:rsid w:val="00C87FEC"/>
    <w:rsid w:val="00C9228C"/>
    <w:rsid w:val="00C92BE0"/>
    <w:rsid w:val="00C93561"/>
    <w:rsid w:val="00C944FB"/>
    <w:rsid w:val="00C94785"/>
    <w:rsid w:val="00C94973"/>
    <w:rsid w:val="00C94FFB"/>
    <w:rsid w:val="00C95296"/>
    <w:rsid w:val="00C96D1E"/>
    <w:rsid w:val="00CA1CFF"/>
    <w:rsid w:val="00CA49E6"/>
    <w:rsid w:val="00CA4ADF"/>
    <w:rsid w:val="00CA5C20"/>
    <w:rsid w:val="00CA615C"/>
    <w:rsid w:val="00CA70A1"/>
    <w:rsid w:val="00CA7B0F"/>
    <w:rsid w:val="00CB1500"/>
    <w:rsid w:val="00CB2374"/>
    <w:rsid w:val="00CB2888"/>
    <w:rsid w:val="00CB3A14"/>
    <w:rsid w:val="00CB4442"/>
    <w:rsid w:val="00CB4EC9"/>
    <w:rsid w:val="00CB58C7"/>
    <w:rsid w:val="00CB61C0"/>
    <w:rsid w:val="00CB6D41"/>
    <w:rsid w:val="00CB7906"/>
    <w:rsid w:val="00CB7D56"/>
    <w:rsid w:val="00CC0269"/>
    <w:rsid w:val="00CC084C"/>
    <w:rsid w:val="00CC1475"/>
    <w:rsid w:val="00CC3253"/>
    <w:rsid w:val="00CC3AA3"/>
    <w:rsid w:val="00CC4422"/>
    <w:rsid w:val="00CC5634"/>
    <w:rsid w:val="00CC5970"/>
    <w:rsid w:val="00CC5F62"/>
    <w:rsid w:val="00CC6169"/>
    <w:rsid w:val="00CC6496"/>
    <w:rsid w:val="00CC767D"/>
    <w:rsid w:val="00CC7D44"/>
    <w:rsid w:val="00CD0A0F"/>
    <w:rsid w:val="00CD0B22"/>
    <w:rsid w:val="00CD1995"/>
    <w:rsid w:val="00CD1F17"/>
    <w:rsid w:val="00CD2AE1"/>
    <w:rsid w:val="00CD2CCD"/>
    <w:rsid w:val="00CD42AF"/>
    <w:rsid w:val="00CD4BB5"/>
    <w:rsid w:val="00CD6DC1"/>
    <w:rsid w:val="00CD75B8"/>
    <w:rsid w:val="00CE03E8"/>
    <w:rsid w:val="00CE056C"/>
    <w:rsid w:val="00CE1A20"/>
    <w:rsid w:val="00CE252A"/>
    <w:rsid w:val="00CE2B88"/>
    <w:rsid w:val="00CE49AD"/>
    <w:rsid w:val="00CE4FA8"/>
    <w:rsid w:val="00CE5163"/>
    <w:rsid w:val="00CE538B"/>
    <w:rsid w:val="00CE5824"/>
    <w:rsid w:val="00CE5FB5"/>
    <w:rsid w:val="00CE6D9D"/>
    <w:rsid w:val="00CE6DAD"/>
    <w:rsid w:val="00CE700D"/>
    <w:rsid w:val="00CE7BFA"/>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B14"/>
    <w:rsid w:val="00D100A1"/>
    <w:rsid w:val="00D10D16"/>
    <w:rsid w:val="00D12BAF"/>
    <w:rsid w:val="00D12CC7"/>
    <w:rsid w:val="00D12DFC"/>
    <w:rsid w:val="00D13CBB"/>
    <w:rsid w:val="00D15F68"/>
    <w:rsid w:val="00D1736A"/>
    <w:rsid w:val="00D175CD"/>
    <w:rsid w:val="00D17ED4"/>
    <w:rsid w:val="00D17F7A"/>
    <w:rsid w:val="00D20E87"/>
    <w:rsid w:val="00D20F82"/>
    <w:rsid w:val="00D22006"/>
    <w:rsid w:val="00D22267"/>
    <w:rsid w:val="00D2234D"/>
    <w:rsid w:val="00D22700"/>
    <w:rsid w:val="00D22898"/>
    <w:rsid w:val="00D22F06"/>
    <w:rsid w:val="00D230B6"/>
    <w:rsid w:val="00D23CB8"/>
    <w:rsid w:val="00D2428E"/>
    <w:rsid w:val="00D255E2"/>
    <w:rsid w:val="00D26A4B"/>
    <w:rsid w:val="00D26B94"/>
    <w:rsid w:val="00D27332"/>
    <w:rsid w:val="00D300CB"/>
    <w:rsid w:val="00D30C1B"/>
    <w:rsid w:val="00D30E9D"/>
    <w:rsid w:val="00D3117F"/>
    <w:rsid w:val="00D32D37"/>
    <w:rsid w:val="00D33D33"/>
    <w:rsid w:val="00D33DC9"/>
    <w:rsid w:val="00D34CAE"/>
    <w:rsid w:val="00D3576D"/>
    <w:rsid w:val="00D36DA9"/>
    <w:rsid w:val="00D37595"/>
    <w:rsid w:val="00D37E93"/>
    <w:rsid w:val="00D4078F"/>
    <w:rsid w:val="00D409BE"/>
    <w:rsid w:val="00D42E57"/>
    <w:rsid w:val="00D4387F"/>
    <w:rsid w:val="00D43D17"/>
    <w:rsid w:val="00D44386"/>
    <w:rsid w:val="00D4478D"/>
    <w:rsid w:val="00D44C83"/>
    <w:rsid w:val="00D4528C"/>
    <w:rsid w:val="00D51281"/>
    <w:rsid w:val="00D515C4"/>
    <w:rsid w:val="00D5247F"/>
    <w:rsid w:val="00D52827"/>
    <w:rsid w:val="00D537D5"/>
    <w:rsid w:val="00D53A66"/>
    <w:rsid w:val="00D53C64"/>
    <w:rsid w:val="00D54FEB"/>
    <w:rsid w:val="00D55D7C"/>
    <w:rsid w:val="00D607CA"/>
    <w:rsid w:val="00D60AB8"/>
    <w:rsid w:val="00D619B9"/>
    <w:rsid w:val="00D61C1D"/>
    <w:rsid w:val="00D61CB2"/>
    <w:rsid w:val="00D62A67"/>
    <w:rsid w:val="00D6389C"/>
    <w:rsid w:val="00D640C3"/>
    <w:rsid w:val="00D67F7B"/>
    <w:rsid w:val="00D71FE9"/>
    <w:rsid w:val="00D725C0"/>
    <w:rsid w:val="00D72A5F"/>
    <w:rsid w:val="00D72DE3"/>
    <w:rsid w:val="00D7345F"/>
    <w:rsid w:val="00D752E3"/>
    <w:rsid w:val="00D75C27"/>
    <w:rsid w:val="00D77D54"/>
    <w:rsid w:val="00D81A38"/>
    <w:rsid w:val="00D83EC2"/>
    <w:rsid w:val="00D83F8C"/>
    <w:rsid w:val="00D8450D"/>
    <w:rsid w:val="00D84D5B"/>
    <w:rsid w:val="00D84E34"/>
    <w:rsid w:val="00D8714D"/>
    <w:rsid w:val="00D8748F"/>
    <w:rsid w:val="00D87689"/>
    <w:rsid w:val="00D92746"/>
    <w:rsid w:val="00D92B92"/>
    <w:rsid w:val="00D9367D"/>
    <w:rsid w:val="00D94719"/>
    <w:rsid w:val="00D94F47"/>
    <w:rsid w:val="00D954FC"/>
    <w:rsid w:val="00D95DE5"/>
    <w:rsid w:val="00D96394"/>
    <w:rsid w:val="00D96462"/>
    <w:rsid w:val="00D9656D"/>
    <w:rsid w:val="00D96747"/>
    <w:rsid w:val="00D9686F"/>
    <w:rsid w:val="00D96ACA"/>
    <w:rsid w:val="00D96D08"/>
    <w:rsid w:val="00DA04BA"/>
    <w:rsid w:val="00DA0C90"/>
    <w:rsid w:val="00DA100A"/>
    <w:rsid w:val="00DA182E"/>
    <w:rsid w:val="00DA21F6"/>
    <w:rsid w:val="00DA2A91"/>
    <w:rsid w:val="00DA310C"/>
    <w:rsid w:val="00DA3BA1"/>
    <w:rsid w:val="00DA4575"/>
    <w:rsid w:val="00DA5EB3"/>
    <w:rsid w:val="00DA6C40"/>
    <w:rsid w:val="00DB1F2B"/>
    <w:rsid w:val="00DB373A"/>
    <w:rsid w:val="00DB45A1"/>
    <w:rsid w:val="00DB4913"/>
    <w:rsid w:val="00DB5CDD"/>
    <w:rsid w:val="00DB64F3"/>
    <w:rsid w:val="00DB7F40"/>
    <w:rsid w:val="00DC19AF"/>
    <w:rsid w:val="00DC1BCD"/>
    <w:rsid w:val="00DC30C1"/>
    <w:rsid w:val="00DC39EE"/>
    <w:rsid w:val="00DC55D6"/>
    <w:rsid w:val="00DC6ABA"/>
    <w:rsid w:val="00DD0810"/>
    <w:rsid w:val="00DD092D"/>
    <w:rsid w:val="00DD0AC3"/>
    <w:rsid w:val="00DD1E14"/>
    <w:rsid w:val="00DD2218"/>
    <w:rsid w:val="00DD38DB"/>
    <w:rsid w:val="00DD3C0D"/>
    <w:rsid w:val="00DD3FD5"/>
    <w:rsid w:val="00DD4358"/>
    <w:rsid w:val="00DD4B82"/>
    <w:rsid w:val="00DD587D"/>
    <w:rsid w:val="00DD5A96"/>
    <w:rsid w:val="00DD60E3"/>
    <w:rsid w:val="00DD793E"/>
    <w:rsid w:val="00DD7D39"/>
    <w:rsid w:val="00DE12D7"/>
    <w:rsid w:val="00DE1590"/>
    <w:rsid w:val="00DE16A5"/>
    <w:rsid w:val="00DE2868"/>
    <w:rsid w:val="00DE445A"/>
    <w:rsid w:val="00DE4C18"/>
    <w:rsid w:val="00DE6092"/>
    <w:rsid w:val="00DE60BA"/>
    <w:rsid w:val="00DE7D99"/>
    <w:rsid w:val="00DF025B"/>
    <w:rsid w:val="00DF0CA9"/>
    <w:rsid w:val="00DF11AA"/>
    <w:rsid w:val="00DF1A74"/>
    <w:rsid w:val="00DF1F02"/>
    <w:rsid w:val="00DF1F6C"/>
    <w:rsid w:val="00DF2012"/>
    <w:rsid w:val="00DF2CA9"/>
    <w:rsid w:val="00DF327E"/>
    <w:rsid w:val="00DF38B2"/>
    <w:rsid w:val="00DF4DD9"/>
    <w:rsid w:val="00DF5CED"/>
    <w:rsid w:val="00DF637B"/>
    <w:rsid w:val="00DF72B5"/>
    <w:rsid w:val="00DF7959"/>
    <w:rsid w:val="00E0057A"/>
    <w:rsid w:val="00E008C0"/>
    <w:rsid w:val="00E00D3D"/>
    <w:rsid w:val="00E010B0"/>
    <w:rsid w:val="00E0208F"/>
    <w:rsid w:val="00E02B27"/>
    <w:rsid w:val="00E03219"/>
    <w:rsid w:val="00E04C95"/>
    <w:rsid w:val="00E04E9B"/>
    <w:rsid w:val="00E0741E"/>
    <w:rsid w:val="00E1116F"/>
    <w:rsid w:val="00E118F2"/>
    <w:rsid w:val="00E11EEE"/>
    <w:rsid w:val="00E12200"/>
    <w:rsid w:val="00E1228B"/>
    <w:rsid w:val="00E124D7"/>
    <w:rsid w:val="00E1270A"/>
    <w:rsid w:val="00E12908"/>
    <w:rsid w:val="00E12BEC"/>
    <w:rsid w:val="00E13842"/>
    <w:rsid w:val="00E1404B"/>
    <w:rsid w:val="00E15BED"/>
    <w:rsid w:val="00E15ED4"/>
    <w:rsid w:val="00E162FF"/>
    <w:rsid w:val="00E169A8"/>
    <w:rsid w:val="00E16B7C"/>
    <w:rsid w:val="00E22491"/>
    <w:rsid w:val="00E22834"/>
    <w:rsid w:val="00E22AF5"/>
    <w:rsid w:val="00E240EB"/>
    <w:rsid w:val="00E24AAB"/>
    <w:rsid w:val="00E253EF"/>
    <w:rsid w:val="00E254C6"/>
    <w:rsid w:val="00E25E4F"/>
    <w:rsid w:val="00E26CE9"/>
    <w:rsid w:val="00E27755"/>
    <w:rsid w:val="00E27987"/>
    <w:rsid w:val="00E3085F"/>
    <w:rsid w:val="00E31F9B"/>
    <w:rsid w:val="00E32BD7"/>
    <w:rsid w:val="00E34548"/>
    <w:rsid w:val="00E3522D"/>
    <w:rsid w:val="00E368A8"/>
    <w:rsid w:val="00E368EE"/>
    <w:rsid w:val="00E37729"/>
    <w:rsid w:val="00E410CF"/>
    <w:rsid w:val="00E4173B"/>
    <w:rsid w:val="00E42771"/>
    <w:rsid w:val="00E456FA"/>
    <w:rsid w:val="00E462A3"/>
    <w:rsid w:val="00E5059B"/>
    <w:rsid w:val="00E50F98"/>
    <w:rsid w:val="00E51BBE"/>
    <w:rsid w:val="00E52139"/>
    <w:rsid w:val="00E545FE"/>
    <w:rsid w:val="00E551A8"/>
    <w:rsid w:val="00E55FCC"/>
    <w:rsid w:val="00E56300"/>
    <w:rsid w:val="00E56798"/>
    <w:rsid w:val="00E57BED"/>
    <w:rsid w:val="00E62F87"/>
    <w:rsid w:val="00E640A5"/>
    <w:rsid w:val="00E6411F"/>
    <w:rsid w:val="00E6414F"/>
    <w:rsid w:val="00E645A1"/>
    <w:rsid w:val="00E6499B"/>
    <w:rsid w:val="00E6629F"/>
    <w:rsid w:val="00E67ACA"/>
    <w:rsid w:val="00E67B17"/>
    <w:rsid w:val="00E67FC6"/>
    <w:rsid w:val="00E70243"/>
    <w:rsid w:val="00E71C88"/>
    <w:rsid w:val="00E71DAA"/>
    <w:rsid w:val="00E73525"/>
    <w:rsid w:val="00E735A4"/>
    <w:rsid w:val="00E737D8"/>
    <w:rsid w:val="00E73A04"/>
    <w:rsid w:val="00E747F2"/>
    <w:rsid w:val="00E74887"/>
    <w:rsid w:val="00E75866"/>
    <w:rsid w:val="00E75B0B"/>
    <w:rsid w:val="00E75C7B"/>
    <w:rsid w:val="00E80192"/>
    <w:rsid w:val="00E81672"/>
    <w:rsid w:val="00E81678"/>
    <w:rsid w:val="00E816D9"/>
    <w:rsid w:val="00E819ED"/>
    <w:rsid w:val="00E8219F"/>
    <w:rsid w:val="00E839E8"/>
    <w:rsid w:val="00E83F11"/>
    <w:rsid w:val="00E84B46"/>
    <w:rsid w:val="00E8569F"/>
    <w:rsid w:val="00E85FA2"/>
    <w:rsid w:val="00E87A6C"/>
    <w:rsid w:val="00E9075D"/>
    <w:rsid w:val="00E90DDA"/>
    <w:rsid w:val="00E91163"/>
    <w:rsid w:val="00E915F2"/>
    <w:rsid w:val="00E92882"/>
    <w:rsid w:val="00E93B21"/>
    <w:rsid w:val="00E93C2E"/>
    <w:rsid w:val="00E93EBD"/>
    <w:rsid w:val="00E952E8"/>
    <w:rsid w:val="00E95540"/>
    <w:rsid w:val="00E95D3F"/>
    <w:rsid w:val="00E95D50"/>
    <w:rsid w:val="00E963B8"/>
    <w:rsid w:val="00E96431"/>
    <w:rsid w:val="00EA1186"/>
    <w:rsid w:val="00EA1417"/>
    <w:rsid w:val="00EA2180"/>
    <w:rsid w:val="00EA2862"/>
    <w:rsid w:val="00EA2D66"/>
    <w:rsid w:val="00EA3CB6"/>
    <w:rsid w:val="00EA45FB"/>
    <w:rsid w:val="00EA4E3E"/>
    <w:rsid w:val="00EA58A9"/>
    <w:rsid w:val="00EA599F"/>
    <w:rsid w:val="00EA719A"/>
    <w:rsid w:val="00EB05E7"/>
    <w:rsid w:val="00EB08F2"/>
    <w:rsid w:val="00EB0911"/>
    <w:rsid w:val="00EB0B8E"/>
    <w:rsid w:val="00EB2323"/>
    <w:rsid w:val="00EB260A"/>
    <w:rsid w:val="00EB2820"/>
    <w:rsid w:val="00EB37E8"/>
    <w:rsid w:val="00EB38EC"/>
    <w:rsid w:val="00EB3EF4"/>
    <w:rsid w:val="00EB4183"/>
    <w:rsid w:val="00EB4357"/>
    <w:rsid w:val="00EB4BDD"/>
    <w:rsid w:val="00EB5EC0"/>
    <w:rsid w:val="00EB6BB0"/>
    <w:rsid w:val="00EB7255"/>
    <w:rsid w:val="00EC106D"/>
    <w:rsid w:val="00EC1559"/>
    <w:rsid w:val="00EC16AF"/>
    <w:rsid w:val="00EC1DAB"/>
    <w:rsid w:val="00EC39AD"/>
    <w:rsid w:val="00EC4044"/>
    <w:rsid w:val="00EC58D5"/>
    <w:rsid w:val="00EC61D9"/>
    <w:rsid w:val="00EC660C"/>
    <w:rsid w:val="00EC7CD0"/>
    <w:rsid w:val="00ED0A62"/>
    <w:rsid w:val="00ED2E1A"/>
    <w:rsid w:val="00ED3144"/>
    <w:rsid w:val="00ED339D"/>
    <w:rsid w:val="00ED43C4"/>
    <w:rsid w:val="00ED4D30"/>
    <w:rsid w:val="00ED4DE9"/>
    <w:rsid w:val="00ED53C7"/>
    <w:rsid w:val="00ED5C4F"/>
    <w:rsid w:val="00ED5EB4"/>
    <w:rsid w:val="00EE10AF"/>
    <w:rsid w:val="00EE15C1"/>
    <w:rsid w:val="00EE1913"/>
    <w:rsid w:val="00EE1A20"/>
    <w:rsid w:val="00EE1EA4"/>
    <w:rsid w:val="00EE21BD"/>
    <w:rsid w:val="00EE3158"/>
    <w:rsid w:val="00EE34B8"/>
    <w:rsid w:val="00EE4E88"/>
    <w:rsid w:val="00EE50C7"/>
    <w:rsid w:val="00EE74C5"/>
    <w:rsid w:val="00EE77AC"/>
    <w:rsid w:val="00EF0578"/>
    <w:rsid w:val="00EF066F"/>
    <w:rsid w:val="00EF079A"/>
    <w:rsid w:val="00EF0872"/>
    <w:rsid w:val="00EF0E33"/>
    <w:rsid w:val="00EF126B"/>
    <w:rsid w:val="00EF248C"/>
    <w:rsid w:val="00EF25CA"/>
    <w:rsid w:val="00EF2E8A"/>
    <w:rsid w:val="00EF347E"/>
    <w:rsid w:val="00EF4869"/>
    <w:rsid w:val="00EF53D9"/>
    <w:rsid w:val="00EF5513"/>
    <w:rsid w:val="00EF599B"/>
    <w:rsid w:val="00EF6FD3"/>
    <w:rsid w:val="00EF7358"/>
    <w:rsid w:val="00EF7712"/>
    <w:rsid w:val="00F00C2E"/>
    <w:rsid w:val="00F0194C"/>
    <w:rsid w:val="00F01B33"/>
    <w:rsid w:val="00F01C31"/>
    <w:rsid w:val="00F01D5D"/>
    <w:rsid w:val="00F02A17"/>
    <w:rsid w:val="00F04B89"/>
    <w:rsid w:val="00F05983"/>
    <w:rsid w:val="00F05E5F"/>
    <w:rsid w:val="00F05EAD"/>
    <w:rsid w:val="00F069A0"/>
    <w:rsid w:val="00F06FDE"/>
    <w:rsid w:val="00F07612"/>
    <w:rsid w:val="00F11248"/>
    <w:rsid w:val="00F13000"/>
    <w:rsid w:val="00F13130"/>
    <w:rsid w:val="00F1330E"/>
    <w:rsid w:val="00F133F4"/>
    <w:rsid w:val="00F13C01"/>
    <w:rsid w:val="00F20494"/>
    <w:rsid w:val="00F20B5A"/>
    <w:rsid w:val="00F22E66"/>
    <w:rsid w:val="00F2323C"/>
    <w:rsid w:val="00F2508F"/>
    <w:rsid w:val="00F27A76"/>
    <w:rsid w:val="00F27C1B"/>
    <w:rsid w:val="00F316C0"/>
    <w:rsid w:val="00F32B29"/>
    <w:rsid w:val="00F3368A"/>
    <w:rsid w:val="00F34411"/>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0A3B"/>
    <w:rsid w:val="00F52948"/>
    <w:rsid w:val="00F52BC9"/>
    <w:rsid w:val="00F52E3B"/>
    <w:rsid w:val="00F52FEE"/>
    <w:rsid w:val="00F54561"/>
    <w:rsid w:val="00F54BD4"/>
    <w:rsid w:val="00F551DC"/>
    <w:rsid w:val="00F5522D"/>
    <w:rsid w:val="00F55CBB"/>
    <w:rsid w:val="00F608BE"/>
    <w:rsid w:val="00F61D4E"/>
    <w:rsid w:val="00F6297A"/>
    <w:rsid w:val="00F62C77"/>
    <w:rsid w:val="00F63C9B"/>
    <w:rsid w:val="00F65FB3"/>
    <w:rsid w:val="00F665C4"/>
    <w:rsid w:val="00F667BB"/>
    <w:rsid w:val="00F669EB"/>
    <w:rsid w:val="00F67DBB"/>
    <w:rsid w:val="00F70201"/>
    <w:rsid w:val="00F7040C"/>
    <w:rsid w:val="00F71147"/>
    <w:rsid w:val="00F716A4"/>
    <w:rsid w:val="00F73AC7"/>
    <w:rsid w:val="00F74AB5"/>
    <w:rsid w:val="00F81485"/>
    <w:rsid w:val="00F81B41"/>
    <w:rsid w:val="00F82091"/>
    <w:rsid w:val="00F842FB"/>
    <w:rsid w:val="00F85DE5"/>
    <w:rsid w:val="00F86212"/>
    <w:rsid w:val="00F863FA"/>
    <w:rsid w:val="00F8661F"/>
    <w:rsid w:val="00F87B20"/>
    <w:rsid w:val="00F87B83"/>
    <w:rsid w:val="00F917C2"/>
    <w:rsid w:val="00F92161"/>
    <w:rsid w:val="00F92F8E"/>
    <w:rsid w:val="00F941B4"/>
    <w:rsid w:val="00F958A6"/>
    <w:rsid w:val="00F959E0"/>
    <w:rsid w:val="00F95C1B"/>
    <w:rsid w:val="00F963D9"/>
    <w:rsid w:val="00F9786A"/>
    <w:rsid w:val="00F97FF6"/>
    <w:rsid w:val="00FA169E"/>
    <w:rsid w:val="00FA1D00"/>
    <w:rsid w:val="00FA2A64"/>
    <w:rsid w:val="00FA307C"/>
    <w:rsid w:val="00FA3454"/>
    <w:rsid w:val="00FA51C3"/>
    <w:rsid w:val="00FA6CA5"/>
    <w:rsid w:val="00FB0358"/>
    <w:rsid w:val="00FB12AC"/>
    <w:rsid w:val="00FB183E"/>
    <w:rsid w:val="00FB1C0B"/>
    <w:rsid w:val="00FB1F46"/>
    <w:rsid w:val="00FB2CBF"/>
    <w:rsid w:val="00FB45C6"/>
    <w:rsid w:val="00FB65C3"/>
    <w:rsid w:val="00FC1EF1"/>
    <w:rsid w:val="00FC279F"/>
    <w:rsid w:val="00FC2DFF"/>
    <w:rsid w:val="00FC3B11"/>
    <w:rsid w:val="00FC3B8C"/>
    <w:rsid w:val="00FC404E"/>
    <w:rsid w:val="00FC40EC"/>
    <w:rsid w:val="00FC48E1"/>
    <w:rsid w:val="00FC4CDD"/>
    <w:rsid w:val="00FC6910"/>
    <w:rsid w:val="00FC6EAB"/>
    <w:rsid w:val="00FD08EE"/>
    <w:rsid w:val="00FD2610"/>
    <w:rsid w:val="00FD34AD"/>
    <w:rsid w:val="00FD35B3"/>
    <w:rsid w:val="00FD3C0C"/>
    <w:rsid w:val="00FD3E4E"/>
    <w:rsid w:val="00FD3FC6"/>
    <w:rsid w:val="00FD5352"/>
    <w:rsid w:val="00FD6665"/>
    <w:rsid w:val="00FD6DCB"/>
    <w:rsid w:val="00FD707F"/>
    <w:rsid w:val="00FD72DA"/>
    <w:rsid w:val="00FD7468"/>
    <w:rsid w:val="00FD7B9F"/>
    <w:rsid w:val="00FD7C21"/>
    <w:rsid w:val="00FE0003"/>
    <w:rsid w:val="00FE0716"/>
    <w:rsid w:val="00FE1A01"/>
    <w:rsid w:val="00FE2398"/>
    <w:rsid w:val="00FE2B7E"/>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A2E57"/>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174696"/>
    <w:pPr>
      <w:numPr>
        <w:ilvl w:val="1"/>
      </w:numPr>
      <w:ind w:left="420"/>
      <w:outlineLvl w:val="2"/>
    </w:pPr>
    <w:rPr>
      <w:rFonts w:cs="Arial"/>
      <w:b w:val="0"/>
      <w:sz w:val="24"/>
    </w:rPr>
  </w:style>
  <w:style w:type="paragraph" w:styleId="Heading4">
    <w:name w:val="heading 4"/>
    <w:basedOn w:val="Heading3"/>
    <w:next w:val="Normal"/>
    <w:link w:val="Heading4Char"/>
    <w:autoRedefine/>
    <w:qFormat/>
    <w:rsid w:val="006A301A"/>
    <w:pPr>
      <w:numPr>
        <w:ilvl w:val="2"/>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link w:val="Heading7Char"/>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val="0"/>
      <w:sz w:val="24"/>
    </w:rPr>
  </w:style>
  <w:style w:type="paragraph" w:styleId="Heading9">
    <w:name w:val="heading 9"/>
    <w:basedOn w:val="Normal"/>
    <w:next w:val="Normal"/>
    <w:link w:val="Heading9Char"/>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qFormat/>
    <w:rsid w:val="004918B1"/>
    <w:pPr>
      <w:numPr>
        <w:numId w:val="3"/>
      </w:numPr>
      <w:spacing w:line="240" w:lineRule="auto"/>
    </w:pPr>
  </w:style>
  <w:style w:type="character" w:customStyle="1" w:styleId="Heading1Char">
    <w:name w:val="Heading 1 Char"/>
    <w:basedOn w:val="DefaultParagraphFont"/>
    <w:link w:val="Heading1"/>
    <w:rsid w:val="004A2E5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74696"/>
    <w:rPr>
      <w:rFonts w:ascii="Arial" w:hAnsi="Arial" w:cs="Arial"/>
      <w:bCs/>
      <w:color w:val="264F90"/>
      <w:sz w:val="24"/>
      <w:szCs w:val="32"/>
    </w:rPr>
  </w:style>
  <w:style w:type="character" w:customStyle="1" w:styleId="Heading4Char">
    <w:name w:val="Heading 4 Char"/>
    <w:basedOn w:val="Heading3Char"/>
    <w:link w:val="Heading4"/>
    <w:rsid w:val="006A301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1495" w:hanging="360"/>
    </w:pPr>
  </w:style>
  <w:style w:type="paragraph" w:customStyle="1" w:styleId="Heading3Appendix">
    <w:name w:val="Heading 3 Appendix"/>
    <w:basedOn w:val="Heading3"/>
    <w:next w:val="Normal"/>
    <w:qFormat/>
    <w:rsid w:val="009B6938"/>
    <w:pPr>
      <w:numPr>
        <w:ilvl w:val="0"/>
        <w:numId w:val="0"/>
      </w:numPr>
      <w:ind w:left="1855"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aliases w:val="Figure,Figure Caption"/>
    <w:basedOn w:val="Normal"/>
    <w:next w:val="Normal"/>
    <w:link w:val="CaptionChar"/>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EC39AD"/>
    <w:rPr>
      <w:rFonts w:ascii="Arial" w:hAnsi="Arial"/>
      <w:iCs/>
      <w:szCs w:val="24"/>
    </w:rPr>
  </w:style>
  <w:style w:type="table" w:styleId="TableContemporary">
    <w:name w:val="Table Contemporary"/>
    <w:aliases w:val="NOVA,NOVA Table"/>
    <w:basedOn w:val="TableNormal"/>
    <w:rsid w:val="00ED43C4"/>
    <w:pPr>
      <w:spacing w:before="60" w:after="60" w:line="200" w:lineRule="atLeast"/>
    </w:pPr>
    <w:rPr>
      <w:rFonts w:asciiTheme="minorHAnsi" w:hAnsiTheme="minorHAnsi" w:cstheme="minorBidi"/>
      <w:sz w:val="18"/>
      <w:szCs w:val="22"/>
      <w:lang w:eastAsia="en-AU"/>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Theme="minorHAnsi" w:hAnsiTheme="minorHAnsi"/>
        <w:b w:val="0"/>
        <w:bCs/>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Row">
      <w:pPr>
        <w:jc w:val="left"/>
      </w:pPr>
      <w:rPr>
        <w:rFonts w:asciiTheme="minorHAnsi" w:hAnsiTheme="minorHAnsi"/>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firstCol">
      <w:pPr>
        <w:jc w:val="left"/>
      </w:pPr>
      <w:rPr>
        <w:rFonts w:asciiTheme="minorHAnsi" w:hAnsiTheme="minorHAnsi"/>
        <w:b w:val="0"/>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lastCol">
      <w:pPr>
        <w:jc w:val="left"/>
      </w:pPr>
      <w:rPr>
        <w:rFonts w:asciiTheme="minorHAnsi" w:hAnsiTheme="minorHAnsi"/>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band1Vert">
      <w:pPr>
        <w:jc w:val="left"/>
      </w:pPr>
      <w:rPr>
        <w:rFonts w:asciiTheme="minorHAnsi" w:hAnsiTheme="minorHAnsi"/>
        <w:color w:val="auto"/>
        <w:sz w:val="18"/>
      </w:rPr>
      <w:tblPr/>
      <w:tcPr>
        <w:shd w:val="clear" w:color="auto" w:fill="F2F2F2" w:themeFill="background1" w:themeFillShade="F2"/>
      </w:tcPr>
    </w:tblStylePr>
    <w:tblStylePr w:type="band2Vert">
      <w:rPr>
        <w:rFonts w:asciiTheme="minorHAnsi" w:hAnsiTheme="minorHAnsi"/>
        <w:color w:val="auto"/>
        <w:sz w:val="18"/>
      </w:rPr>
      <w:tblPr/>
      <w:tcPr>
        <w:shd w:val="clear" w:color="auto" w:fill="FFFFFF" w:themeFill="background1"/>
      </w:tcPr>
    </w:tblStylePr>
    <w:tblStylePr w:type="band1Horz">
      <w:pPr>
        <w:jc w:val="left"/>
      </w:pPr>
      <w:rPr>
        <w:rFonts w:asciiTheme="minorHAnsi" w:hAnsiTheme="minorHAnsi"/>
        <w:color w:val="auto"/>
        <w:sz w:val="18"/>
      </w:rPr>
      <w:tblPr/>
      <w:tcPr>
        <w:shd w:val="clear" w:color="auto" w:fill="F2F2F2" w:themeFill="background1" w:themeFillShade="F2"/>
      </w:tcPr>
    </w:tblStylePr>
    <w:tblStylePr w:type="band2Horz">
      <w:pPr>
        <w:jc w:val="left"/>
      </w:pPr>
      <w:rPr>
        <w:rFonts w:asciiTheme="minorHAnsi" w:hAnsiTheme="minorHAnsi"/>
        <w:color w:val="auto"/>
        <w:sz w:val="18"/>
      </w:rPr>
      <w:tblPr/>
      <w:tcPr>
        <w:shd w:val="clear" w:color="auto" w:fill="FFFFFF" w:themeFill="background1"/>
      </w:tcPr>
    </w:tblStylePr>
    <w:tblStylePr w:type="neCell">
      <w:rPr>
        <w:rFonts w:asciiTheme="minorHAnsi" w:hAnsiTheme="minorHAnsi"/>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nwCell">
      <w:rPr>
        <w:rFonts w:asciiTheme="minorHAnsi" w:hAnsiTheme="minorHAnsi"/>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seCell">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Theme="minorHAnsi" w:hAnsiTheme="minorHAnsi"/>
        <w:color w:val="FFFFFF" w:themeColor="background1"/>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tblStylePr w:type="swCell">
      <w:rPr>
        <w:rFonts w:asciiTheme="minorHAnsi" w:hAnsiTheme="minorHAnsi"/>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9" w:themeFill="accent3"/>
      </w:tcPr>
    </w:tblStylePr>
  </w:style>
  <w:style w:type="paragraph" w:styleId="NormalWeb">
    <w:name w:val="Normal (Web)"/>
    <w:basedOn w:val="Normal"/>
    <w:uiPriority w:val="99"/>
    <w:semiHidden/>
    <w:unhideWhenUsed/>
    <w:rsid w:val="00596497"/>
    <w:pPr>
      <w:spacing w:before="100" w:beforeAutospacing="1" w:after="100" w:afterAutospacing="1" w:line="240" w:lineRule="auto"/>
    </w:pPr>
    <w:rPr>
      <w:rFonts w:ascii="Times New Roman" w:eastAsiaTheme="minorHAnsi" w:hAnsi="Times New Roman"/>
      <w:iCs w:val="0"/>
      <w:sz w:val="24"/>
      <w:lang w:eastAsia="en-AU"/>
    </w:rPr>
  </w:style>
  <w:style w:type="numbering" w:customStyle="1" w:styleId="NovaListBullet">
    <w:name w:val="Nova List Bullet"/>
    <w:uiPriority w:val="99"/>
    <w:rsid w:val="0094377A"/>
    <w:pPr>
      <w:numPr>
        <w:numId w:val="30"/>
      </w:numPr>
    </w:pPr>
  </w:style>
  <w:style w:type="paragraph" w:customStyle="1" w:styleId="ListBullet1">
    <w:name w:val="List Bullet 1"/>
    <w:basedOn w:val="Normal"/>
    <w:qFormat/>
    <w:rsid w:val="0094377A"/>
    <w:pPr>
      <w:tabs>
        <w:tab w:val="num" w:pos="567"/>
      </w:tabs>
      <w:spacing w:before="120" w:line="200" w:lineRule="atLeast"/>
      <w:ind w:left="567" w:hanging="567"/>
    </w:pPr>
    <w:rPr>
      <w:rFonts w:asciiTheme="minorHAnsi" w:eastAsiaTheme="minorHAnsi" w:hAnsiTheme="minorHAnsi" w:cstheme="minorBidi"/>
      <w:iCs w:val="0"/>
      <w:szCs w:val="22"/>
    </w:rPr>
  </w:style>
  <w:style w:type="paragraph" w:styleId="ListBullet4">
    <w:name w:val="List Bullet 4"/>
    <w:basedOn w:val="Normal"/>
    <w:rsid w:val="0094377A"/>
    <w:pPr>
      <w:tabs>
        <w:tab w:val="num" w:pos="2268"/>
      </w:tabs>
      <w:spacing w:before="0" w:after="160" w:line="259" w:lineRule="auto"/>
      <w:ind w:left="2268" w:hanging="567"/>
      <w:contextualSpacing/>
    </w:pPr>
    <w:rPr>
      <w:rFonts w:asciiTheme="minorHAnsi" w:eastAsiaTheme="minorHAnsi" w:hAnsiTheme="minorHAnsi" w:cstheme="minorBidi"/>
      <w:iCs w:val="0"/>
      <w:szCs w:val="22"/>
    </w:rPr>
  </w:style>
  <w:style w:type="character" w:customStyle="1" w:styleId="CaptionChar">
    <w:name w:val="Caption Char"/>
    <w:aliases w:val="Figure Char,Figure Caption Char"/>
    <w:basedOn w:val="DefaultParagraphFont"/>
    <w:link w:val="Caption"/>
    <w:rsid w:val="0094377A"/>
    <w:rPr>
      <w:rFonts w:ascii="Arial" w:eastAsiaTheme="minorHAnsi" w:hAnsi="Arial" w:cstheme="minorBidi"/>
      <w:color w:val="264F90"/>
      <w:szCs w:val="18"/>
    </w:rPr>
  </w:style>
  <w:style w:type="numbering" w:customStyle="1" w:styleId="NoList1">
    <w:name w:val="No List1"/>
    <w:next w:val="NoList"/>
    <w:uiPriority w:val="99"/>
    <w:semiHidden/>
    <w:unhideWhenUsed/>
    <w:rsid w:val="00405923"/>
  </w:style>
  <w:style w:type="character" w:customStyle="1" w:styleId="Heading7Char">
    <w:name w:val="Heading 7 Char"/>
    <w:basedOn w:val="DefaultParagraphFont"/>
    <w:link w:val="Heading7"/>
    <w:rsid w:val="00405923"/>
    <w:rPr>
      <w:iCs/>
      <w:sz w:val="24"/>
      <w:szCs w:val="24"/>
    </w:rPr>
  </w:style>
  <w:style w:type="character" w:customStyle="1" w:styleId="Heading8Char">
    <w:name w:val="Heading 8 Char"/>
    <w:basedOn w:val="DefaultParagraphFont"/>
    <w:link w:val="Heading8"/>
    <w:rsid w:val="00405923"/>
    <w:rPr>
      <w:i/>
      <w:sz w:val="24"/>
      <w:szCs w:val="24"/>
    </w:rPr>
  </w:style>
  <w:style w:type="character" w:customStyle="1" w:styleId="Heading9Char">
    <w:name w:val="Heading 9 Char"/>
    <w:basedOn w:val="DefaultParagraphFont"/>
    <w:link w:val="Heading9"/>
    <w:rsid w:val="00405923"/>
    <w:rPr>
      <w:rFonts w:ascii="Arial" w:hAnsi="Arial" w:cs="Arial"/>
      <w:iCs/>
      <w:szCs w:val="22"/>
    </w:rPr>
  </w:style>
  <w:style w:type="paragraph" w:customStyle="1" w:styleId="Subtitle1">
    <w:name w:val="Subtitle1"/>
    <w:basedOn w:val="Normal"/>
    <w:next w:val="Normal"/>
    <w:uiPriority w:val="11"/>
    <w:qFormat/>
    <w:rsid w:val="00405923"/>
    <w:pPr>
      <w:numPr>
        <w:ilvl w:val="1"/>
      </w:numPr>
      <w:spacing w:before="0" w:after="240" w:line="240" w:lineRule="auto"/>
    </w:pPr>
    <w:rPr>
      <w:rFonts w:ascii="Century Gothic" w:hAnsi="Century Gothic"/>
      <w:iCs w:val="0"/>
      <w:color w:val="99CB38"/>
      <w:sz w:val="28"/>
      <w:szCs w:val="28"/>
      <w:lang w:val="en-ZA"/>
    </w:rPr>
  </w:style>
  <w:style w:type="character" w:customStyle="1" w:styleId="SubtitleChar">
    <w:name w:val="Subtitle Char"/>
    <w:basedOn w:val="DefaultParagraphFont"/>
    <w:link w:val="Subtitle"/>
    <w:uiPriority w:val="11"/>
    <w:rsid w:val="00405923"/>
    <w:rPr>
      <w:rFonts w:ascii="Century Gothic" w:hAnsi="Century Gothic"/>
      <w:color w:val="99CB38"/>
      <w:sz w:val="28"/>
      <w:szCs w:val="28"/>
    </w:rPr>
  </w:style>
  <w:style w:type="paragraph" w:customStyle="1" w:styleId="Quote1">
    <w:name w:val="Quote1"/>
    <w:basedOn w:val="Normal"/>
    <w:next w:val="Normal"/>
    <w:uiPriority w:val="29"/>
    <w:qFormat/>
    <w:rsid w:val="00405923"/>
    <w:pPr>
      <w:spacing w:before="120" w:line="259" w:lineRule="auto"/>
      <w:ind w:left="720"/>
    </w:pPr>
    <w:rPr>
      <w:rFonts w:ascii="Century Gothic" w:hAnsi="Century Gothic" w:cs="Arial"/>
      <w:iCs w:val="0"/>
      <w:color w:val="455F51"/>
      <w:sz w:val="24"/>
      <w:lang w:val="en-ZA"/>
    </w:rPr>
  </w:style>
  <w:style w:type="character" w:customStyle="1" w:styleId="QuoteChar">
    <w:name w:val="Quote Char"/>
    <w:basedOn w:val="DefaultParagraphFont"/>
    <w:link w:val="Quote"/>
    <w:uiPriority w:val="29"/>
    <w:rsid w:val="00405923"/>
    <w:rPr>
      <w:color w:val="455F51"/>
      <w:sz w:val="24"/>
      <w:szCs w:val="24"/>
    </w:rPr>
  </w:style>
  <w:style w:type="paragraph" w:customStyle="1" w:styleId="IntenseQuote1">
    <w:name w:val="Intense Quote1"/>
    <w:basedOn w:val="Normal"/>
    <w:next w:val="Normal"/>
    <w:uiPriority w:val="30"/>
    <w:qFormat/>
    <w:rsid w:val="00405923"/>
    <w:pPr>
      <w:spacing w:before="100" w:beforeAutospacing="1" w:after="240" w:line="240" w:lineRule="auto"/>
      <w:ind w:left="720"/>
      <w:jc w:val="center"/>
    </w:pPr>
    <w:rPr>
      <w:rFonts w:ascii="Century Gothic" w:hAnsi="Century Gothic"/>
      <w:iCs w:val="0"/>
      <w:color w:val="455F51"/>
      <w:spacing w:val="-6"/>
      <w:sz w:val="32"/>
      <w:szCs w:val="32"/>
      <w:lang w:val="en-ZA"/>
    </w:rPr>
  </w:style>
  <w:style w:type="character" w:customStyle="1" w:styleId="IntenseQuoteChar">
    <w:name w:val="Intense Quote Char"/>
    <w:basedOn w:val="DefaultParagraphFont"/>
    <w:link w:val="IntenseQuote"/>
    <w:uiPriority w:val="30"/>
    <w:rsid w:val="00405923"/>
    <w:rPr>
      <w:rFonts w:ascii="Century Gothic" w:hAnsi="Century Gothic"/>
      <w:color w:val="455F51"/>
      <w:spacing w:val="-6"/>
      <w:sz w:val="32"/>
      <w:szCs w:val="32"/>
    </w:rPr>
  </w:style>
  <w:style w:type="character" w:customStyle="1" w:styleId="SubtleEmphasis1">
    <w:name w:val="Subtle Emphasis1"/>
    <w:basedOn w:val="DefaultParagraphFont"/>
    <w:uiPriority w:val="19"/>
    <w:qFormat/>
    <w:rsid w:val="00405923"/>
    <w:rPr>
      <w:i/>
      <w:iCs/>
      <w:color w:val="595959"/>
    </w:rPr>
  </w:style>
  <w:style w:type="character" w:styleId="IntenseEmphasis">
    <w:name w:val="Intense Emphasis"/>
    <w:basedOn w:val="DefaultParagraphFont"/>
    <w:uiPriority w:val="21"/>
    <w:qFormat/>
    <w:rsid w:val="00405923"/>
    <w:rPr>
      <w:b/>
      <w:bCs/>
      <w:i/>
      <w:iCs/>
    </w:rPr>
  </w:style>
  <w:style w:type="character" w:customStyle="1" w:styleId="SubtleReference1">
    <w:name w:val="Subtle Reference1"/>
    <w:basedOn w:val="DefaultParagraphFont"/>
    <w:uiPriority w:val="31"/>
    <w:qFormat/>
    <w:rsid w:val="00405923"/>
    <w:rPr>
      <w:smallCaps/>
      <w:color w:val="595959"/>
      <w:u w:val="none" w:color="7F7F7F"/>
      <w:bdr w:val="none" w:sz="0" w:space="0" w:color="auto"/>
    </w:rPr>
  </w:style>
  <w:style w:type="character" w:customStyle="1" w:styleId="IntenseReference1">
    <w:name w:val="Intense Reference1"/>
    <w:basedOn w:val="DefaultParagraphFont"/>
    <w:uiPriority w:val="32"/>
    <w:qFormat/>
    <w:rsid w:val="00405923"/>
    <w:rPr>
      <w:b/>
      <w:bCs/>
      <w:smallCaps/>
      <w:color w:val="455F51"/>
      <w:u w:val="single"/>
    </w:rPr>
  </w:style>
  <w:style w:type="character" w:styleId="BookTitle">
    <w:name w:val="Book Title"/>
    <w:basedOn w:val="DefaultParagraphFont"/>
    <w:uiPriority w:val="33"/>
    <w:qFormat/>
    <w:rsid w:val="00405923"/>
    <w:rPr>
      <w:b/>
      <w:bCs/>
      <w:smallCaps/>
      <w:spacing w:val="10"/>
    </w:rPr>
  </w:style>
  <w:style w:type="character" w:customStyle="1" w:styleId="HeaderChar">
    <w:name w:val="Header Char"/>
    <w:basedOn w:val="DefaultParagraphFont"/>
    <w:link w:val="Header"/>
    <w:uiPriority w:val="99"/>
    <w:rsid w:val="00405923"/>
    <w:rPr>
      <w:rFonts w:ascii="Arial" w:hAnsi="Arial"/>
      <w:iCs/>
      <w:szCs w:val="24"/>
    </w:rPr>
  </w:style>
  <w:style w:type="character" w:customStyle="1" w:styleId="FooterChar">
    <w:name w:val="Footer Char"/>
    <w:basedOn w:val="DefaultParagraphFont"/>
    <w:link w:val="Footer"/>
    <w:uiPriority w:val="99"/>
    <w:rsid w:val="00405923"/>
    <w:rPr>
      <w:rFonts w:ascii="Arial" w:hAnsi="Arial"/>
      <w:iCs/>
      <w:sz w:val="16"/>
      <w:szCs w:val="24"/>
    </w:rPr>
  </w:style>
  <w:style w:type="table" w:customStyle="1" w:styleId="NOVATable1">
    <w:name w:val="NOVA Table1"/>
    <w:basedOn w:val="TableNormal"/>
    <w:next w:val="TableContemporary"/>
    <w:rsid w:val="00405923"/>
    <w:pPr>
      <w:spacing w:before="60" w:after="60" w:line="200" w:lineRule="atLeast"/>
    </w:pPr>
    <w:rPr>
      <w:rFonts w:ascii="Century Gothic" w:hAnsi="Century Gothic" w:cs="Arial"/>
      <w:sz w:val="18"/>
      <w:szCs w:val="22"/>
      <w:lang w:eastAsia="en-AU"/>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Century Gothic" w:hAnsi="Century Gothic"/>
        <w:b w:val="0"/>
        <w:bCs/>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lastRow">
      <w:pPr>
        <w:jc w:val="left"/>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firstCol">
      <w:pPr>
        <w:jc w:val="left"/>
      </w:pPr>
      <w:rPr>
        <w:rFonts w:ascii="Century Gothic" w:hAnsi="Century Gothic"/>
        <w:b w:val="0"/>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lastCol">
      <w:pPr>
        <w:jc w:val="left"/>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band1Vert">
      <w:pPr>
        <w:jc w:val="left"/>
      </w:pPr>
      <w:rPr>
        <w:rFonts w:ascii="Century Gothic" w:hAnsi="Century Gothic"/>
        <w:color w:val="auto"/>
        <w:sz w:val="18"/>
      </w:rPr>
      <w:tblPr/>
      <w:tcPr>
        <w:shd w:val="clear" w:color="auto" w:fill="F2F2F2"/>
      </w:tcPr>
    </w:tblStylePr>
    <w:tblStylePr w:type="band2Vert">
      <w:rPr>
        <w:rFonts w:ascii="Century Gothic" w:hAnsi="Century Gothic"/>
        <w:color w:val="auto"/>
        <w:sz w:val="18"/>
      </w:rPr>
      <w:tblPr/>
      <w:tcPr>
        <w:shd w:val="clear" w:color="auto" w:fill="FFFFFF"/>
      </w:tcPr>
    </w:tblStylePr>
    <w:tblStylePr w:type="band1Horz">
      <w:pPr>
        <w:jc w:val="left"/>
      </w:pPr>
      <w:rPr>
        <w:rFonts w:ascii="Century Gothic" w:hAnsi="Century Gothic"/>
        <w:color w:val="auto"/>
        <w:sz w:val="18"/>
      </w:rPr>
      <w:tblPr/>
      <w:tcPr>
        <w:shd w:val="clear" w:color="auto" w:fill="F2F2F2"/>
      </w:tcPr>
    </w:tblStylePr>
    <w:tblStylePr w:type="band2Horz">
      <w:pPr>
        <w:jc w:val="left"/>
      </w:pPr>
      <w:rPr>
        <w:rFonts w:ascii="Century Gothic" w:hAnsi="Century Gothic"/>
        <w:color w:val="auto"/>
        <w:sz w:val="18"/>
      </w:rPr>
      <w:tblPr/>
      <w:tcPr>
        <w:shd w:val="clear" w:color="auto" w:fill="FFFFFF"/>
      </w:tcPr>
    </w:tblStylePr>
    <w:tblStylePr w:type="neCell">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nwCell">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seCell">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swCell">
      <w:rPr>
        <w:rFonts w:ascii="Century Gothic" w:hAnsi="Century Gothic"/>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style>
  <w:style w:type="table" w:customStyle="1" w:styleId="TableGrid1">
    <w:name w:val="Table Grid1"/>
    <w:basedOn w:val="TableNormal"/>
    <w:next w:val="TableGrid"/>
    <w:uiPriority w:val="39"/>
    <w:rsid w:val="00405923"/>
    <w:rPr>
      <w:rFonts w:ascii="Century Gothic" w:hAnsi="Century Gothic" w:cs="Arial"/>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5923"/>
    <w:pPr>
      <w:tabs>
        <w:tab w:val="decimal" w:pos="360"/>
      </w:tabs>
      <w:spacing w:before="0" w:after="200" w:line="276" w:lineRule="auto"/>
    </w:pPr>
    <w:rPr>
      <w:rFonts w:ascii="Century Gothic" w:hAnsi="Century Gothic"/>
      <w:iCs w:val="0"/>
      <w:sz w:val="22"/>
      <w:szCs w:val="22"/>
      <w:lang w:val="en-US"/>
    </w:rPr>
  </w:style>
  <w:style w:type="table" w:customStyle="1" w:styleId="LightShading-Accent11">
    <w:name w:val="Light Shading - Accent 11"/>
    <w:basedOn w:val="TableNormal"/>
    <w:next w:val="LightShading-Accent1"/>
    <w:uiPriority w:val="60"/>
    <w:rsid w:val="00405923"/>
    <w:rPr>
      <w:rFonts w:ascii="Century Gothic" w:hAnsi="Century Gothic" w:cs="Arial"/>
      <w:color w:val="729928"/>
      <w:sz w:val="22"/>
      <w:szCs w:val="22"/>
      <w:lang w:val="en-US"/>
    </w:rPr>
    <w:tblPr>
      <w:tblStyleRowBandSize w:val="1"/>
      <w:tblStyleColBandSize w:val="1"/>
      <w:tblBorders>
        <w:top w:val="single" w:sz="8" w:space="0" w:color="99CB38"/>
        <w:bottom w:val="single" w:sz="8" w:space="0" w:color="99CB38"/>
      </w:tblBorders>
    </w:tblPr>
    <w:tblStylePr w:type="fir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la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cPr>
    </w:tblStylePr>
    <w:tblStylePr w:type="band1Horz">
      <w:tblPr/>
      <w:tcPr>
        <w:tcBorders>
          <w:left w:val="nil"/>
          <w:right w:val="nil"/>
          <w:insideH w:val="nil"/>
          <w:insideV w:val="nil"/>
        </w:tcBorders>
        <w:shd w:val="clear" w:color="auto" w:fill="E5F2CD"/>
      </w:tcPr>
    </w:tblStylePr>
  </w:style>
  <w:style w:type="table" w:customStyle="1" w:styleId="MediumShading2-Accent11">
    <w:name w:val="Medium Shading 2 - Accent 11"/>
    <w:basedOn w:val="TableNormal"/>
    <w:next w:val="MediumShading2-Accent1"/>
    <w:uiPriority w:val="64"/>
    <w:rsid w:val="00405923"/>
    <w:rPr>
      <w:rFonts w:ascii="Century Gothic" w:hAnsi="Century Gothic" w:cs="Arial"/>
      <w:sz w:val="22"/>
      <w:szCs w:val="22"/>
      <w:lang w:val="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CB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CB38"/>
      </w:tcPr>
    </w:tblStylePr>
    <w:tblStylePr w:type="lastCol">
      <w:rPr>
        <w:b/>
        <w:bCs/>
        <w:color w:val="FFFFFF"/>
      </w:rPr>
      <w:tblPr/>
      <w:tcPr>
        <w:tcBorders>
          <w:left w:val="nil"/>
          <w:right w:val="nil"/>
          <w:insideH w:val="nil"/>
          <w:insideV w:val="nil"/>
        </w:tcBorders>
        <w:shd w:val="clear" w:color="auto" w:fill="99CB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iddenChar">
    <w:name w:val="Hidden Char"/>
    <w:basedOn w:val="DefaultParagraphFont"/>
    <w:link w:val="Hidden"/>
    <w:rsid w:val="00405923"/>
    <w:rPr>
      <w:rFonts w:ascii="Arial" w:hAnsi="Arial"/>
      <w:vanish/>
      <w:color w:val="FF0000"/>
    </w:rPr>
  </w:style>
  <w:style w:type="paragraph" w:customStyle="1" w:styleId="Hidden">
    <w:name w:val="Hidden"/>
    <w:basedOn w:val="Normal"/>
    <w:next w:val="Normal"/>
    <w:link w:val="HiddenChar"/>
    <w:rsid w:val="00405923"/>
    <w:pPr>
      <w:spacing w:before="0" w:after="0" w:line="240" w:lineRule="auto"/>
    </w:pPr>
    <w:rPr>
      <w:iCs w:val="0"/>
      <w:vanish/>
      <w:color w:val="FF0000"/>
      <w:szCs w:val="20"/>
    </w:rPr>
  </w:style>
  <w:style w:type="table" w:customStyle="1" w:styleId="GridTable4-Accent61">
    <w:name w:val="Grid Table 4 - Accent 61"/>
    <w:basedOn w:val="TableNormal"/>
    <w:next w:val="GridTable4-Accent6"/>
    <w:uiPriority w:val="49"/>
    <w:rsid w:val="00405923"/>
    <w:rPr>
      <w:rFonts w:ascii="Century Gothic" w:eastAsia="Century Gothic" w:hAnsi="Century Gothic" w:cs="Arial"/>
      <w:sz w:val="22"/>
      <w:szCs w:val="22"/>
      <w:lang w:val="en-ZA"/>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GridTable5Dark-Accent21">
    <w:name w:val="Grid Table 5 Dark - Accent 21"/>
    <w:basedOn w:val="TableNormal"/>
    <w:next w:val="GridTable5Dark-Accent2"/>
    <w:uiPriority w:val="50"/>
    <w:rsid w:val="00405923"/>
    <w:rPr>
      <w:rFonts w:ascii="Century Gothic" w:hAnsi="Century Gothic" w:cs="Arial"/>
      <w:sz w:val="22"/>
      <w:szCs w:val="22"/>
      <w:lang w:val="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F0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3A53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3A53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3A53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3A537"/>
      </w:tcPr>
    </w:tblStylePr>
    <w:tblStylePr w:type="band1Vert">
      <w:tblPr/>
      <w:tcPr>
        <w:shd w:val="clear" w:color="auto" w:fill="BFE2A8"/>
      </w:tcPr>
    </w:tblStylePr>
    <w:tblStylePr w:type="band1Horz">
      <w:tblPr/>
      <w:tcPr>
        <w:shd w:val="clear" w:color="auto" w:fill="BFE2A8"/>
      </w:tcPr>
    </w:tblStylePr>
  </w:style>
  <w:style w:type="table" w:customStyle="1" w:styleId="GridTable41">
    <w:name w:val="Grid Table 41"/>
    <w:basedOn w:val="TableNormal"/>
    <w:next w:val="GridTable4"/>
    <w:uiPriority w:val="49"/>
    <w:rsid w:val="00405923"/>
    <w:rPr>
      <w:rFonts w:ascii="Century Gothic" w:hAnsi="Century Gothic" w:cs="Arial"/>
      <w:sz w:val="22"/>
      <w:szCs w:val="22"/>
      <w:lang w:val="en-Z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1">
    <w:name w:val="Grid Table 5 Dark1"/>
    <w:basedOn w:val="TableNormal"/>
    <w:next w:val="GridTable5Dark"/>
    <w:uiPriority w:val="50"/>
    <w:rsid w:val="00405923"/>
    <w:rPr>
      <w:rFonts w:ascii="Century Gothic" w:hAnsi="Century Gothic" w:cs="Arial"/>
      <w:sz w:val="22"/>
      <w:szCs w:val="22"/>
      <w:lang w:val="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3-Accent61">
    <w:name w:val="Grid Table 3 - Accent 61"/>
    <w:basedOn w:val="TableNormal"/>
    <w:next w:val="GridTable3-Accent6"/>
    <w:uiPriority w:val="48"/>
    <w:rsid w:val="00405923"/>
    <w:rPr>
      <w:rFonts w:ascii="Century Gothic" w:hAnsi="Century Gothic" w:cs="Arial"/>
      <w:sz w:val="22"/>
      <w:szCs w:val="22"/>
      <w:lang w:val="en-ZA"/>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GridTable4-Accent21">
    <w:name w:val="Grid Table 4 - Accent 21"/>
    <w:basedOn w:val="TableNormal"/>
    <w:next w:val="GridTable4-Accent2"/>
    <w:uiPriority w:val="49"/>
    <w:rsid w:val="00405923"/>
    <w:rPr>
      <w:rFonts w:ascii="Century Gothic" w:hAnsi="Century Gothic" w:cs="Arial"/>
      <w:sz w:val="22"/>
      <w:szCs w:val="22"/>
      <w:lang w:val="en-ZA"/>
    </w:rPr>
    <w:tblPr>
      <w:tblStyleRowBandSize w:val="1"/>
      <w:tblStyleColBandSize w:val="1"/>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color w:val="FFFFFF"/>
      </w:rPr>
      <w:tblPr/>
      <w:tcPr>
        <w:tcBorders>
          <w:top w:val="single" w:sz="4" w:space="0" w:color="63A537"/>
          <w:left w:val="single" w:sz="4" w:space="0" w:color="63A537"/>
          <w:bottom w:val="single" w:sz="4" w:space="0" w:color="63A537"/>
          <w:right w:val="single" w:sz="4" w:space="0" w:color="63A537"/>
          <w:insideH w:val="nil"/>
          <w:insideV w:val="nil"/>
        </w:tcBorders>
        <w:shd w:val="clear" w:color="auto" w:fill="63A537"/>
      </w:tcPr>
    </w:tblStylePr>
    <w:tblStylePr w:type="lastRow">
      <w:rPr>
        <w:b/>
        <w:bCs/>
      </w:rPr>
      <w:tblPr/>
      <w:tcPr>
        <w:tcBorders>
          <w:top w:val="double" w:sz="4" w:space="0" w:color="63A537"/>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character" w:customStyle="1" w:styleId="normaltextrun">
    <w:name w:val="normaltextrun"/>
    <w:basedOn w:val="DefaultParagraphFont"/>
    <w:rsid w:val="00405923"/>
  </w:style>
  <w:style w:type="character" w:customStyle="1" w:styleId="eop">
    <w:name w:val="eop"/>
    <w:basedOn w:val="DefaultParagraphFont"/>
    <w:rsid w:val="00405923"/>
  </w:style>
  <w:style w:type="paragraph" w:styleId="Subtitle">
    <w:name w:val="Subtitle"/>
    <w:basedOn w:val="Normal"/>
    <w:next w:val="Normal"/>
    <w:link w:val="SubtitleChar"/>
    <w:uiPriority w:val="11"/>
    <w:qFormat/>
    <w:rsid w:val="00405923"/>
    <w:pPr>
      <w:numPr>
        <w:ilvl w:val="1"/>
      </w:numPr>
      <w:spacing w:after="160"/>
    </w:pPr>
    <w:rPr>
      <w:rFonts w:ascii="Century Gothic" w:hAnsi="Century Gothic"/>
      <w:iCs w:val="0"/>
      <w:color w:val="99CB38"/>
      <w:sz w:val="28"/>
      <w:szCs w:val="28"/>
    </w:rPr>
  </w:style>
  <w:style w:type="character" w:customStyle="1" w:styleId="SubtitleChar1">
    <w:name w:val="Subtitle Char1"/>
    <w:basedOn w:val="DefaultParagraphFont"/>
    <w:rsid w:val="00405923"/>
    <w:rPr>
      <w:rFonts w:asciiTheme="minorHAnsi" w:eastAsiaTheme="minorEastAsia" w:hAnsiTheme="minorHAnsi" w:cstheme="minorBidi"/>
      <w:iCs/>
      <w:color w:val="5A5A5A" w:themeColor="text1" w:themeTint="A5"/>
      <w:spacing w:val="15"/>
      <w:sz w:val="22"/>
      <w:szCs w:val="22"/>
    </w:rPr>
  </w:style>
  <w:style w:type="paragraph" w:styleId="Quote">
    <w:name w:val="Quote"/>
    <w:basedOn w:val="Normal"/>
    <w:next w:val="Normal"/>
    <w:link w:val="QuoteChar"/>
    <w:uiPriority w:val="29"/>
    <w:qFormat/>
    <w:rsid w:val="00405923"/>
    <w:pPr>
      <w:spacing w:before="200" w:after="160"/>
      <w:ind w:left="864" w:right="864"/>
      <w:jc w:val="center"/>
    </w:pPr>
    <w:rPr>
      <w:rFonts w:ascii="Times New Roman" w:hAnsi="Times New Roman"/>
      <w:iCs w:val="0"/>
      <w:color w:val="455F51"/>
      <w:sz w:val="24"/>
    </w:rPr>
  </w:style>
  <w:style w:type="character" w:customStyle="1" w:styleId="QuoteChar1">
    <w:name w:val="Quote Char1"/>
    <w:basedOn w:val="DefaultParagraphFont"/>
    <w:uiPriority w:val="29"/>
    <w:rsid w:val="00405923"/>
    <w:rPr>
      <w:rFonts w:ascii="Arial" w:hAnsi="Arial"/>
      <w:i/>
      <w:color w:val="404040" w:themeColor="text1" w:themeTint="BF"/>
      <w:szCs w:val="24"/>
    </w:rPr>
  </w:style>
  <w:style w:type="paragraph" w:styleId="IntenseQuote">
    <w:name w:val="Intense Quote"/>
    <w:basedOn w:val="Normal"/>
    <w:next w:val="Normal"/>
    <w:link w:val="IntenseQuoteChar"/>
    <w:uiPriority w:val="30"/>
    <w:qFormat/>
    <w:rsid w:val="00405923"/>
    <w:pPr>
      <w:pBdr>
        <w:top w:val="single" w:sz="4" w:space="10" w:color="4F81BD" w:themeColor="accent1"/>
        <w:bottom w:val="single" w:sz="4" w:space="10" w:color="4F81BD" w:themeColor="accent1"/>
      </w:pBdr>
      <w:spacing w:before="360" w:after="360"/>
      <w:ind w:left="864" w:right="864"/>
      <w:jc w:val="center"/>
    </w:pPr>
    <w:rPr>
      <w:rFonts w:ascii="Century Gothic" w:hAnsi="Century Gothic"/>
      <w:iCs w:val="0"/>
      <w:color w:val="455F51"/>
      <w:spacing w:val="-6"/>
      <w:sz w:val="32"/>
      <w:szCs w:val="32"/>
    </w:rPr>
  </w:style>
  <w:style w:type="character" w:customStyle="1" w:styleId="IntenseQuoteChar1">
    <w:name w:val="Intense Quote Char1"/>
    <w:basedOn w:val="DefaultParagraphFont"/>
    <w:uiPriority w:val="30"/>
    <w:rsid w:val="00405923"/>
    <w:rPr>
      <w:rFonts w:ascii="Arial" w:hAnsi="Arial"/>
      <w:i/>
      <w:color w:val="4F81BD" w:themeColor="accent1"/>
      <w:szCs w:val="24"/>
    </w:rPr>
  </w:style>
  <w:style w:type="character" w:styleId="SubtleEmphasis">
    <w:name w:val="Subtle Emphasis"/>
    <w:basedOn w:val="DefaultParagraphFont"/>
    <w:uiPriority w:val="19"/>
    <w:qFormat/>
    <w:rsid w:val="00405923"/>
    <w:rPr>
      <w:i/>
      <w:iCs/>
      <w:color w:val="404040" w:themeColor="text1" w:themeTint="BF"/>
    </w:rPr>
  </w:style>
  <w:style w:type="character" w:styleId="SubtleReference">
    <w:name w:val="Subtle Reference"/>
    <w:basedOn w:val="DefaultParagraphFont"/>
    <w:uiPriority w:val="31"/>
    <w:qFormat/>
    <w:rsid w:val="00405923"/>
    <w:rPr>
      <w:smallCaps/>
      <w:color w:val="5A5A5A" w:themeColor="text1" w:themeTint="A5"/>
    </w:rPr>
  </w:style>
  <w:style w:type="character" w:styleId="IntenseReference">
    <w:name w:val="Intense Reference"/>
    <w:basedOn w:val="DefaultParagraphFont"/>
    <w:uiPriority w:val="32"/>
    <w:qFormat/>
    <w:rsid w:val="00405923"/>
    <w:rPr>
      <w:b/>
      <w:bCs/>
      <w:smallCaps/>
      <w:color w:val="4F81BD" w:themeColor="accent1"/>
      <w:spacing w:val="5"/>
    </w:rPr>
  </w:style>
  <w:style w:type="table" w:styleId="LightShading-Accent1">
    <w:name w:val="Light Shading Accent 1"/>
    <w:basedOn w:val="TableNormal"/>
    <w:uiPriority w:val="60"/>
    <w:semiHidden/>
    <w:unhideWhenUsed/>
    <w:rsid w:val="004059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semiHidden/>
    <w:unhideWhenUsed/>
    <w:rsid w:val="00405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4-Accent6">
    <w:name w:val="Grid Table 4 Accent 6"/>
    <w:basedOn w:val="TableNormal"/>
    <w:uiPriority w:val="49"/>
    <w:rsid w:val="004059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2">
    <w:name w:val="Grid Table 5 Dark Accent 2"/>
    <w:basedOn w:val="TableNormal"/>
    <w:uiPriority w:val="50"/>
    <w:rsid w:val="004059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
    <w:name w:val="Grid Table 4"/>
    <w:basedOn w:val="TableNormal"/>
    <w:uiPriority w:val="49"/>
    <w:rsid w:val="004059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4059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6">
    <w:name w:val="Grid Table 3 Accent 6"/>
    <w:basedOn w:val="TableNormal"/>
    <w:uiPriority w:val="48"/>
    <w:rsid w:val="004059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2">
    <w:name w:val="Grid Table 4 Accent 2"/>
    <w:basedOn w:val="TableNormal"/>
    <w:uiPriority w:val="49"/>
    <w:rsid w:val="004059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NoList2">
    <w:name w:val="No List2"/>
    <w:next w:val="NoList"/>
    <w:uiPriority w:val="99"/>
    <w:semiHidden/>
    <w:unhideWhenUsed/>
    <w:rsid w:val="00405923"/>
  </w:style>
  <w:style w:type="table" w:customStyle="1" w:styleId="NOVATable2">
    <w:name w:val="NOVA Table2"/>
    <w:basedOn w:val="TableNormal"/>
    <w:next w:val="TableContemporary"/>
    <w:rsid w:val="00405923"/>
    <w:pPr>
      <w:spacing w:before="60" w:after="60" w:line="200" w:lineRule="atLeast"/>
    </w:pPr>
    <w:rPr>
      <w:rFonts w:ascii="Century Gothic" w:hAnsi="Century Gothic" w:cs="Arial"/>
      <w:sz w:val="18"/>
      <w:szCs w:val="22"/>
      <w:lang w:eastAsia="en-AU"/>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Century Gothic" w:hAnsi="Century Gothic"/>
        <w:b w:val="0"/>
        <w:bCs/>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lastRow">
      <w:pPr>
        <w:jc w:val="left"/>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firstCol">
      <w:pPr>
        <w:jc w:val="left"/>
      </w:pPr>
      <w:rPr>
        <w:rFonts w:ascii="Century Gothic" w:hAnsi="Century Gothic"/>
        <w:b w:val="0"/>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lastCol">
      <w:pPr>
        <w:jc w:val="left"/>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band1Vert">
      <w:pPr>
        <w:jc w:val="left"/>
      </w:pPr>
      <w:rPr>
        <w:rFonts w:ascii="Century Gothic" w:hAnsi="Century Gothic"/>
        <w:color w:val="auto"/>
        <w:sz w:val="18"/>
      </w:rPr>
      <w:tblPr/>
      <w:tcPr>
        <w:shd w:val="clear" w:color="auto" w:fill="F2F2F2"/>
      </w:tcPr>
    </w:tblStylePr>
    <w:tblStylePr w:type="band2Vert">
      <w:rPr>
        <w:rFonts w:ascii="Century Gothic" w:hAnsi="Century Gothic"/>
        <w:color w:val="auto"/>
        <w:sz w:val="18"/>
      </w:rPr>
      <w:tblPr/>
      <w:tcPr>
        <w:shd w:val="clear" w:color="auto" w:fill="FFFFFF"/>
      </w:tcPr>
    </w:tblStylePr>
    <w:tblStylePr w:type="band1Horz">
      <w:pPr>
        <w:jc w:val="left"/>
      </w:pPr>
      <w:rPr>
        <w:rFonts w:ascii="Century Gothic" w:hAnsi="Century Gothic"/>
        <w:color w:val="auto"/>
        <w:sz w:val="18"/>
      </w:rPr>
      <w:tblPr/>
      <w:tcPr>
        <w:shd w:val="clear" w:color="auto" w:fill="F2F2F2"/>
      </w:tcPr>
    </w:tblStylePr>
    <w:tblStylePr w:type="band2Horz">
      <w:pPr>
        <w:jc w:val="left"/>
      </w:pPr>
      <w:rPr>
        <w:rFonts w:ascii="Century Gothic" w:hAnsi="Century Gothic"/>
        <w:color w:val="auto"/>
        <w:sz w:val="18"/>
      </w:rPr>
      <w:tblPr/>
      <w:tcPr>
        <w:shd w:val="clear" w:color="auto" w:fill="FFFFFF"/>
      </w:tcPr>
    </w:tblStylePr>
    <w:tblStylePr w:type="neCell">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nwCell">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seCell">
      <w:pPr>
        <w:wordWrap/>
        <w:spacing w:beforeLines="0" w:before="60" w:beforeAutospacing="0" w:afterLines="0" w:after="60" w:afterAutospacing="0" w:line="200" w:lineRule="atLeast"/>
        <w:ind w:leftChars="0" w:left="0" w:rightChars="0" w:right="0" w:firstLineChars="0" w:firstLine="0"/>
        <w:contextualSpacing w:val="0"/>
        <w:jc w:val="left"/>
        <w:outlineLvl w:val="9"/>
      </w:pPr>
      <w:rPr>
        <w:rFonts w:ascii="Century Gothic" w:hAnsi="Century Gothic"/>
        <w:color w:val="FFFFFF"/>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tblStylePr w:type="swCell">
      <w:rPr>
        <w:rFonts w:ascii="Century Gothic" w:hAnsi="Century Gothic"/>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A76F"/>
      </w:tcPr>
    </w:tblStylePr>
  </w:style>
  <w:style w:type="table" w:customStyle="1" w:styleId="TableGrid2">
    <w:name w:val="Table Grid2"/>
    <w:basedOn w:val="TableNormal"/>
    <w:next w:val="TableGrid"/>
    <w:uiPriority w:val="39"/>
    <w:rsid w:val="00405923"/>
    <w:rPr>
      <w:rFonts w:ascii="Century Gothic" w:hAnsi="Century Gothic" w:cs="Arial"/>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405923"/>
    <w:rPr>
      <w:rFonts w:ascii="Century Gothic" w:hAnsi="Century Gothic" w:cs="Arial"/>
      <w:color w:val="729928"/>
      <w:sz w:val="22"/>
      <w:szCs w:val="22"/>
      <w:lang w:val="en-US"/>
    </w:rPr>
    <w:tblPr>
      <w:tblStyleRowBandSize w:val="1"/>
      <w:tblStyleColBandSize w:val="1"/>
      <w:tblBorders>
        <w:top w:val="single" w:sz="8" w:space="0" w:color="99CB38"/>
        <w:bottom w:val="single" w:sz="8" w:space="0" w:color="99CB38"/>
      </w:tblBorders>
    </w:tblPr>
    <w:tblStylePr w:type="fir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lastRow">
      <w:pPr>
        <w:spacing w:before="0" w:after="0" w:line="240" w:lineRule="auto"/>
      </w:pPr>
      <w:rPr>
        <w:b/>
        <w:bCs/>
      </w:rPr>
      <w:tblPr/>
      <w:tcPr>
        <w:tcBorders>
          <w:top w:val="single" w:sz="8" w:space="0" w:color="99CB38"/>
          <w:left w:val="nil"/>
          <w:bottom w:val="single" w:sz="8" w:space="0" w:color="99CB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cPr>
    </w:tblStylePr>
    <w:tblStylePr w:type="band1Horz">
      <w:tblPr/>
      <w:tcPr>
        <w:tcBorders>
          <w:left w:val="nil"/>
          <w:right w:val="nil"/>
          <w:insideH w:val="nil"/>
          <w:insideV w:val="nil"/>
        </w:tcBorders>
        <w:shd w:val="clear" w:color="auto" w:fill="E5F2CD"/>
      </w:tcPr>
    </w:tblStylePr>
  </w:style>
  <w:style w:type="table" w:customStyle="1" w:styleId="MediumShading2-Accent12">
    <w:name w:val="Medium Shading 2 - Accent 12"/>
    <w:basedOn w:val="TableNormal"/>
    <w:next w:val="MediumShading2-Accent1"/>
    <w:uiPriority w:val="64"/>
    <w:rsid w:val="00405923"/>
    <w:rPr>
      <w:rFonts w:ascii="Century Gothic" w:hAnsi="Century Gothic" w:cs="Arial"/>
      <w:sz w:val="22"/>
      <w:szCs w:val="22"/>
      <w:lang w:val="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9CB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9CB38"/>
      </w:tcPr>
    </w:tblStylePr>
    <w:tblStylePr w:type="lastCol">
      <w:rPr>
        <w:b/>
        <w:bCs/>
        <w:color w:val="FFFFFF"/>
      </w:rPr>
      <w:tblPr/>
      <w:tcPr>
        <w:tcBorders>
          <w:left w:val="nil"/>
          <w:right w:val="nil"/>
          <w:insideH w:val="nil"/>
          <w:insideV w:val="nil"/>
        </w:tcBorders>
        <w:shd w:val="clear" w:color="auto" w:fill="99CB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62">
    <w:name w:val="Grid Table 4 - Accent 62"/>
    <w:basedOn w:val="TableNormal"/>
    <w:next w:val="GridTable4-Accent6"/>
    <w:uiPriority w:val="49"/>
    <w:rsid w:val="00405923"/>
    <w:rPr>
      <w:rFonts w:ascii="Century Gothic" w:eastAsia="Century Gothic" w:hAnsi="Century Gothic" w:cs="Arial"/>
      <w:sz w:val="22"/>
      <w:szCs w:val="22"/>
      <w:lang w:val="en-ZA"/>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GridTable5Dark-Accent22">
    <w:name w:val="Grid Table 5 Dark - Accent 22"/>
    <w:basedOn w:val="TableNormal"/>
    <w:next w:val="GridTable5Dark-Accent2"/>
    <w:uiPriority w:val="50"/>
    <w:rsid w:val="00405923"/>
    <w:rPr>
      <w:rFonts w:ascii="Century Gothic" w:hAnsi="Century Gothic" w:cs="Arial"/>
      <w:sz w:val="22"/>
      <w:szCs w:val="22"/>
      <w:lang w:val="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F0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3A53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3A53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3A53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3A537"/>
      </w:tcPr>
    </w:tblStylePr>
    <w:tblStylePr w:type="band1Vert">
      <w:tblPr/>
      <w:tcPr>
        <w:shd w:val="clear" w:color="auto" w:fill="BFE2A8"/>
      </w:tcPr>
    </w:tblStylePr>
    <w:tblStylePr w:type="band1Horz">
      <w:tblPr/>
      <w:tcPr>
        <w:shd w:val="clear" w:color="auto" w:fill="BFE2A8"/>
      </w:tcPr>
    </w:tblStylePr>
  </w:style>
  <w:style w:type="table" w:customStyle="1" w:styleId="GridTable42">
    <w:name w:val="Grid Table 42"/>
    <w:basedOn w:val="TableNormal"/>
    <w:next w:val="GridTable4"/>
    <w:uiPriority w:val="49"/>
    <w:rsid w:val="00405923"/>
    <w:rPr>
      <w:rFonts w:ascii="Century Gothic" w:hAnsi="Century Gothic" w:cs="Arial"/>
      <w:sz w:val="22"/>
      <w:szCs w:val="22"/>
      <w:lang w:val="en-Z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2">
    <w:name w:val="Grid Table 5 Dark2"/>
    <w:basedOn w:val="TableNormal"/>
    <w:next w:val="GridTable5Dark"/>
    <w:uiPriority w:val="50"/>
    <w:rsid w:val="00405923"/>
    <w:rPr>
      <w:rFonts w:ascii="Century Gothic" w:hAnsi="Century Gothic" w:cs="Arial"/>
      <w:sz w:val="22"/>
      <w:szCs w:val="22"/>
      <w:lang w:val="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3-Accent62">
    <w:name w:val="Grid Table 3 - Accent 62"/>
    <w:basedOn w:val="TableNormal"/>
    <w:next w:val="GridTable3-Accent6"/>
    <w:uiPriority w:val="48"/>
    <w:rsid w:val="00405923"/>
    <w:rPr>
      <w:rFonts w:ascii="Century Gothic" w:hAnsi="Century Gothic" w:cs="Arial"/>
      <w:sz w:val="22"/>
      <w:szCs w:val="22"/>
      <w:lang w:val="en-ZA"/>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GridTable4-Accent22">
    <w:name w:val="Grid Table 4 - Accent 22"/>
    <w:basedOn w:val="TableNormal"/>
    <w:next w:val="GridTable4-Accent2"/>
    <w:uiPriority w:val="49"/>
    <w:rsid w:val="00405923"/>
    <w:rPr>
      <w:rFonts w:ascii="Century Gothic" w:hAnsi="Century Gothic" w:cs="Arial"/>
      <w:sz w:val="22"/>
      <w:szCs w:val="22"/>
      <w:lang w:val="en-ZA"/>
    </w:rPr>
    <w:tblPr>
      <w:tblStyleRowBandSize w:val="1"/>
      <w:tblStyleColBandSize w:val="1"/>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color w:val="FFFFFF"/>
      </w:rPr>
      <w:tblPr/>
      <w:tcPr>
        <w:tcBorders>
          <w:top w:val="single" w:sz="4" w:space="0" w:color="63A537"/>
          <w:left w:val="single" w:sz="4" w:space="0" w:color="63A537"/>
          <w:bottom w:val="single" w:sz="4" w:space="0" w:color="63A537"/>
          <w:right w:val="single" w:sz="4" w:space="0" w:color="63A537"/>
          <w:insideH w:val="nil"/>
          <w:insideV w:val="nil"/>
        </w:tcBorders>
        <w:shd w:val="clear" w:color="auto" w:fill="63A537"/>
      </w:tcPr>
    </w:tblStylePr>
    <w:tblStylePr w:type="lastRow">
      <w:rPr>
        <w:b/>
        <w:bCs/>
      </w:rPr>
      <w:tblPr/>
      <w:tcPr>
        <w:tcBorders>
          <w:top w:val="double" w:sz="4" w:space="0" w:color="63A537"/>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2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269461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912546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705589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59665654">
      <w:bodyDiv w:val="1"/>
      <w:marLeft w:val="0"/>
      <w:marRight w:val="0"/>
      <w:marTop w:val="0"/>
      <w:marBottom w:val="0"/>
      <w:divBdr>
        <w:top w:val="none" w:sz="0" w:space="0" w:color="auto"/>
        <w:left w:val="none" w:sz="0" w:space="0" w:color="auto"/>
        <w:bottom w:val="none" w:sz="0" w:space="0" w:color="auto"/>
        <w:right w:val="none" w:sz="0" w:space="0" w:color="auto"/>
      </w:divBdr>
    </w:div>
    <w:div w:id="362942868">
      <w:bodyDiv w:val="1"/>
      <w:marLeft w:val="0"/>
      <w:marRight w:val="0"/>
      <w:marTop w:val="0"/>
      <w:marBottom w:val="0"/>
      <w:divBdr>
        <w:top w:val="none" w:sz="0" w:space="0" w:color="auto"/>
        <w:left w:val="none" w:sz="0" w:space="0" w:color="auto"/>
        <w:bottom w:val="none" w:sz="0" w:space="0" w:color="auto"/>
        <w:right w:val="none" w:sz="0" w:space="0" w:color="auto"/>
      </w:divBdr>
    </w:div>
    <w:div w:id="369762200">
      <w:bodyDiv w:val="1"/>
      <w:marLeft w:val="0"/>
      <w:marRight w:val="0"/>
      <w:marTop w:val="0"/>
      <w:marBottom w:val="0"/>
      <w:divBdr>
        <w:top w:val="none" w:sz="0" w:space="0" w:color="auto"/>
        <w:left w:val="none" w:sz="0" w:space="0" w:color="auto"/>
        <w:bottom w:val="none" w:sz="0" w:space="0" w:color="auto"/>
        <w:right w:val="none" w:sz="0" w:space="0" w:color="auto"/>
      </w:divBdr>
    </w:div>
    <w:div w:id="37095685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4860705">
      <w:bodyDiv w:val="1"/>
      <w:marLeft w:val="0"/>
      <w:marRight w:val="0"/>
      <w:marTop w:val="0"/>
      <w:marBottom w:val="0"/>
      <w:divBdr>
        <w:top w:val="none" w:sz="0" w:space="0" w:color="auto"/>
        <w:left w:val="none" w:sz="0" w:space="0" w:color="auto"/>
        <w:bottom w:val="none" w:sz="0" w:space="0" w:color="auto"/>
        <w:right w:val="none" w:sz="0" w:space="0" w:color="auto"/>
      </w:divBdr>
    </w:div>
    <w:div w:id="415130621">
      <w:bodyDiv w:val="1"/>
      <w:marLeft w:val="0"/>
      <w:marRight w:val="0"/>
      <w:marTop w:val="0"/>
      <w:marBottom w:val="0"/>
      <w:divBdr>
        <w:top w:val="none" w:sz="0" w:space="0" w:color="auto"/>
        <w:left w:val="none" w:sz="0" w:space="0" w:color="auto"/>
        <w:bottom w:val="none" w:sz="0" w:space="0" w:color="auto"/>
        <w:right w:val="none" w:sz="0" w:space="0" w:color="auto"/>
      </w:divBdr>
    </w:div>
    <w:div w:id="516044223">
      <w:bodyDiv w:val="1"/>
      <w:marLeft w:val="0"/>
      <w:marRight w:val="0"/>
      <w:marTop w:val="0"/>
      <w:marBottom w:val="0"/>
      <w:divBdr>
        <w:top w:val="none" w:sz="0" w:space="0" w:color="auto"/>
        <w:left w:val="none" w:sz="0" w:space="0" w:color="auto"/>
        <w:bottom w:val="none" w:sz="0" w:space="0" w:color="auto"/>
        <w:right w:val="none" w:sz="0" w:space="0" w:color="auto"/>
      </w:divBdr>
    </w:div>
    <w:div w:id="566918689">
      <w:bodyDiv w:val="1"/>
      <w:marLeft w:val="0"/>
      <w:marRight w:val="0"/>
      <w:marTop w:val="0"/>
      <w:marBottom w:val="0"/>
      <w:divBdr>
        <w:top w:val="none" w:sz="0" w:space="0" w:color="auto"/>
        <w:left w:val="none" w:sz="0" w:space="0" w:color="auto"/>
        <w:bottom w:val="none" w:sz="0" w:space="0" w:color="auto"/>
        <w:right w:val="none" w:sz="0" w:space="0" w:color="auto"/>
      </w:divBdr>
    </w:div>
    <w:div w:id="597369795">
      <w:bodyDiv w:val="1"/>
      <w:marLeft w:val="0"/>
      <w:marRight w:val="0"/>
      <w:marTop w:val="0"/>
      <w:marBottom w:val="0"/>
      <w:divBdr>
        <w:top w:val="none" w:sz="0" w:space="0" w:color="auto"/>
        <w:left w:val="none" w:sz="0" w:space="0" w:color="auto"/>
        <w:bottom w:val="none" w:sz="0" w:space="0" w:color="auto"/>
        <w:right w:val="none" w:sz="0" w:space="0" w:color="auto"/>
      </w:divBdr>
    </w:div>
    <w:div w:id="709427226">
      <w:bodyDiv w:val="1"/>
      <w:marLeft w:val="0"/>
      <w:marRight w:val="0"/>
      <w:marTop w:val="0"/>
      <w:marBottom w:val="0"/>
      <w:divBdr>
        <w:top w:val="none" w:sz="0" w:space="0" w:color="auto"/>
        <w:left w:val="none" w:sz="0" w:space="0" w:color="auto"/>
        <w:bottom w:val="none" w:sz="0" w:space="0" w:color="auto"/>
        <w:right w:val="none" w:sz="0" w:space="0" w:color="auto"/>
      </w:divBdr>
    </w:div>
    <w:div w:id="801459776">
      <w:bodyDiv w:val="1"/>
      <w:marLeft w:val="0"/>
      <w:marRight w:val="0"/>
      <w:marTop w:val="0"/>
      <w:marBottom w:val="0"/>
      <w:divBdr>
        <w:top w:val="none" w:sz="0" w:space="0" w:color="auto"/>
        <w:left w:val="none" w:sz="0" w:space="0" w:color="auto"/>
        <w:bottom w:val="none" w:sz="0" w:space="0" w:color="auto"/>
        <w:right w:val="none" w:sz="0" w:space="0" w:color="auto"/>
      </w:divBdr>
    </w:div>
    <w:div w:id="870264744">
      <w:bodyDiv w:val="1"/>
      <w:marLeft w:val="0"/>
      <w:marRight w:val="0"/>
      <w:marTop w:val="0"/>
      <w:marBottom w:val="0"/>
      <w:divBdr>
        <w:top w:val="none" w:sz="0" w:space="0" w:color="auto"/>
        <w:left w:val="none" w:sz="0" w:space="0" w:color="auto"/>
        <w:bottom w:val="none" w:sz="0" w:space="0" w:color="auto"/>
        <w:right w:val="none" w:sz="0" w:space="0" w:color="auto"/>
      </w:divBdr>
    </w:div>
    <w:div w:id="899554314">
      <w:bodyDiv w:val="1"/>
      <w:marLeft w:val="0"/>
      <w:marRight w:val="0"/>
      <w:marTop w:val="0"/>
      <w:marBottom w:val="0"/>
      <w:divBdr>
        <w:top w:val="none" w:sz="0" w:space="0" w:color="auto"/>
        <w:left w:val="none" w:sz="0" w:space="0" w:color="auto"/>
        <w:bottom w:val="none" w:sz="0" w:space="0" w:color="auto"/>
        <w:right w:val="none" w:sz="0" w:space="0" w:color="auto"/>
      </w:divBdr>
    </w:div>
    <w:div w:id="91501412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79939">
      <w:bodyDiv w:val="1"/>
      <w:marLeft w:val="0"/>
      <w:marRight w:val="0"/>
      <w:marTop w:val="0"/>
      <w:marBottom w:val="0"/>
      <w:divBdr>
        <w:top w:val="none" w:sz="0" w:space="0" w:color="auto"/>
        <w:left w:val="none" w:sz="0" w:space="0" w:color="auto"/>
        <w:bottom w:val="none" w:sz="0" w:space="0" w:color="auto"/>
        <w:right w:val="none" w:sz="0" w:space="0" w:color="auto"/>
      </w:divBdr>
    </w:div>
    <w:div w:id="1068766863">
      <w:bodyDiv w:val="1"/>
      <w:marLeft w:val="0"/>
      <w:marRight w:val="0"/>
      <w:marTop w:val="0"/>
      <w:marBottom w:val="0"/>
      <w:divBdr>
        <w:top w:val="none" w:sz="0" w:space="0" w:color="auto"/>
        <w:left w:val="none" w:sz="0" w:space="0" w:color="auto"/>
        <w:bottom w:val="none" w:sz="0" w:space="0" w:color="auto"/>
        <w:right w:val="none" w:sz="0" w:space="0" w:color="auto"/>
      </w:divBdr>
    </w:div>
    <w:div w:id="1086222733">
      <w:bodyDiv w:val="1"/>
      <w:marLeft w:val="0"/>
      <w:marRight w:val="0"/>
      <w:marTop w:val="0"/>
      <w:marBottom w:val="0"/>
      <w:divBdr>
        <w:top w:val="none" w:sz="0" w:space="0" w:color="auto"/>
        <w:left w:val="none" w:sz="0" w:space="0" w:color="auto"/>
        <w:bottom w:val="none" w:sz="0" w:space="0" w:color="auto"/>
        <w:right w:val="none" w:sz="0" w:space="0" w:color="auto"/>
      </w:divBdr>
    </w:div>
    <w:div w:id="1139155260">
      <w:bodyDiv w:val="1"/>
      <w:marLeft w:val="0"/>
      <w:marRight w:val="0"/>
      <w:marTop w:val="0"/>
      <w:marBottom w:val="0"/>
      <w:divBdr>
        <w:top w:val="none" w:sz="0" w:space="0" w:color="auto"/>
        <w:left w:val="none" w:sz="0" w:space="0" w:color="auto"/>
        <w:bottom w:val="none" w:sz="0" w:space="0" w:color="auto"/>
        <w:right w:val="none" w:sz="0" w:space="0" w:color="auto"/>
      </w:divBdr>
    </w:div>
    <w:div w:id="126642503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323762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74657193">
      <w:bodyDiv w:val="1"/>
      <w:marLeft w:val="0"/>
      <w:marRight w:val="0"/>
      <w:marTop w:val="0"/>
      <w:marBottom w:val="0"/>
      <w:divBdr>
        <w:top w:val="none" w:sz="0" w:space="0" w:color="auto"/>
        <w:left w:val="none" w:sz="0" w:space="0" w:color="auto"/>
        <w:bottom w:val="none" w:sz="0" w:space="0" w:color="auto"/>
        <w:right w:val="none" w:sz="0" w:space="0" w:color="auto"/>
      </w:divBdr>
    </w:div>
    <w:div w:id="158973012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22945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1871837">
      <w:bodyDiv w:val="1"/>
      <w:marLeft w:val="0"/>
      <w:marRight w:val="0"/>
      <w:marTop w:val="0"/>
      <w:marBottom w:val="0"/>
      <w:divBdr>
        <w:top w:val="none" w:sz="0" w:space="0" w:color="auto"/>
        <w:left w:val="none" w:sz="0" w:space="0" w:color="auto"/>
        <w:bottom w:val="none" w:sz="0" w:space="0" w:color="auto"/>
        <w:right w:val="none" w:sz="0" w:space="0" w:color="auto"/>
      </w:divBdr>
    </w:div>
    <w:div w:id="1853376726">
      <w:bodyDiv w:val="1"/>
      <w:marLeft w:val="0"/>
      <w:marRight w:val="0"/>
      <w:marTop w:val="0"/>
      <w:marBottom w:val="0"/>
      <w:divBdr>
        <w:top w:val="none" w:sz="0" w:space="0" w:color="auto"/>
        <w:left w:val="none" w:sz="0" w:space="0" w:color="auto"/>
        <w:bottom w:val="none" w:sz="0" w:space="0" w:color="auto"/>
        <w:right w:val="none" w:sz="0" w:space="0" w:color="auto"/>
      </w:divBdr>
    </w:div>
    <w:div w:id="1855414312">
      <w:bodyDiv w:val="1"/>
      <w:marLeft w:val="0"/>
      <w:marRight w:val="0"/>
      <w:marTop w:val="0"/>
      <w:marBottom w:val="0"/>
      <w:divBdr>
        <w:top w:val="none" w:sz="0" w:space="0" w:color="auto"/>
        <w:left w:val="none" w:sz="0" w:space="0" w:color="auto"/>
        <w:bottom w:val="none" w:sz="0" w:space="0" w:color="auto"/>
        <w:right w:val="none" w:sz="0" w:space="0" w:color="auto"/>
      </w:divBdr>
    </w:div>
    <w:div w:id="188667932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814467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www.grants.gov.au/" TargetMode="External"/><Relationship Id="rId3" Type="http://schemas.openxmlformats.org/officeDocument/2006/relationships/numbering" Target="numbering.xml"/><Relationship Id="rId21" Type="http://schemas.openxmlformats.org/officeDocument/2006/relationships/hyperlink" Target="http://www.business.gov.au/INSERT%20URL" TargetMode="External"/><Relationship Id="rId34" Type="http://schemas.openxmlformats.org/officeDocument/2006/relationships/hyperlink" Target="https://www.business.gov.au/contact-us" TargetMode="External"/><Relationship Id="rId42" Type="http://schemas.openxmlformats.org/officeDocument/2006/relationships/image" Target="media/image5.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ndustry.gov.au/data-and-publications/australian-civil-space-strategy-2019-2028" TargetMode="External"/><Relationship Id="rId25" Type="http://schemas.openxmlformats.org/officeDocument/2006/relationships/hyperlink" Target="https://www.ato.gov.au/"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file://prod.protected.ind/User/user03/LLau2/insert%20link%20here"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image" Target="media/image3.png"/><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grants.gov.au" TargetMode="External"/><Relationship Id="rId28" Type="http://schemas.openxmlformats.org/officeDocument/2006/relationships/hyperlink" Target="mailto:spacegrants@industry.gov.au" TargetMode="External"/><Relationship Id="rId36" Type="http://schemas.openxmlformats.org/officeDocument/2006/relationships/hyperlink" Target="https://www.business.gov.au/about/customer-service-charter"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s://www.legislation.gov.au/Details/C2019C00057" TargetMode="External"/><Relationship Id="rId44"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gov.au/contact-us" TargetMode="External"/><Relationship Id="rId27" Type="http://schemas.openxmlformats.org/officeDocument/2006/relationships/hyperlink" Target="https://www.business.gov.au/contact-us"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www.business.gov.au/contact-us/Pages/default.aspx" TargetMode="External"/><Relationship Id="rId43" Type="http://schemas.openxmlformats.org/officeDocument/2006/relationships/image" Target="media/image6.png"/><Relationship Id="rId48" Type="http://schemas.openxmlformats.org/officeDocument/2006/relationships/footer" Target="footer7.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finance.gov.au/sites/default/files/commonwealth-grants-rules-and-guidelines.pdf"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7ADD083-89B9-416A-89AA-B51CEB4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13516</Words>
  <Characters>78837</Characters>
  <Application>Microsoft Office Word</Application>
  <DocSecurity>0</DocSecurity>
  <Lines>2649</Lines>
  <Paragraphs>1491</Paragraphs>
  <ScaleCrop>false</ScaleCrop>
  <HeadingPairs>
    <vt:vector size="2" baseType="variant">
      <vt:variant>
        <vt:lpstr>Title</vt:lpstr>
      </vt:variant>
      <vt:variant>
        <vt:i4>1</vt:i4>
      </vt:variant>
    </vt:vector>
  </HeadingPairs>
  <TitlesOfParts>
    <vt:vector size="1" baseType="lpstr">
      <vt:lpstr>Space Infrastructure Fund Qualification Space Payload Guidelines</vt:lpstr>
    </vt:vector>
  </TitlesOfParts>
  <Company/>
  <LinksUpToDate>false</LinksUpToDate>
  <CharactersWithSpaces>91686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Infrastructure Fund Qualification Space Payload Guidelines</dc:title>
  <dc:subject/>
  <dc:creator/>
  <cp:keywords/>
  <dc:description/>
  <cp:lastModifiedBy/>
  <cp:revision>1</cp:revision>
  <dcterms:created xsi:type="dcterms:W3CDTF">2020-11-27T02:48:00Z</dcterms:created>
  <dcterms:modified xsi:type="dcterms:W3CDTF">2020-11-27T02:51:00Z</dcterms:modified>
</cp:coreProperties>
</file>