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522" w:rsidRDefault="00204522">
      <w:pPr>
        <w:rPr>
          <w:rFonts w:ascii="Verdana" w:eastAsia="Times New Roman" w:hAnsi="Verdana" w:cs="Times New Roman"/>
          <w:b/>
          <w:kern w:val="28"/>
          <w:sz w:val="24"/>
          <w:szCs w:val="24"/>
          <w:lang w:eastAsia="en-AU"/>
        </w:rPr>
      </w:pPr>
    </w:p>
    <w:p w:rsidR="00F37266" w:rsidRDefault="009030D5">
      <w:pPr>
        <w:rPr>
          <w:b/>
        </w:rPr>
      </w:pPr>
      <w:r w:rsidRPr="00F44DEC">
        <w:rPr>
          <w:rFonts w:ascii="Verdana" w:eastAsia="Times New Roman" w:hAnsi="Verdana" w:cs="Times New Roman"/>
          <w:b/>
          <w:kern w:val="28"/>
          <w:sz w:val="24"/>
          <w:szCs w:val="24"/>
          <w:lang w:eastAsia="en-AU"/>
        </w:rPr>
        <w:t>Innovation and Science Australia</w:t>
      </w:r>
      <w:r w:rsidRPr="00F44DEC">
        <w:rPr>
          <w:b/>
        </w:rPr>
        <w:tab/>
      </w:r>
      <w:r w:rsidR="00121B40" w:rsidRPr="00F44DEC">
        <w:rPr>
          <w:b/>
        </w:rPr>
        <w:t xml:space="preserve">     </w:t>
      </w:r>
      <w:r w:rsidR="00CB4A62" w:rsidRPr="00F44DEC">
        <w:rPr>
          <w:b/>
        </w:rPr>
        <w:tab/>
      </w:r>
      <w:r w:rsidR="00CB4A62" w:rsidRPr="00F44DEC">
        <w:rPr>
          <w:b/>
        </w:rPr>
        <w:tab/>
      </w:r>
      <w:r w:rsidR="00121B40" w:rsidRPr="00F44DEC">
        <w:rPr>
          <w:b/>
        </w:rPr>
        <w:t xml:space="preserve"> </w:t>
      </w:r>
      <w:r w:rsidR="00121B40" w:rsidRPr="00F44DEC">
        <w:rPr>
          <w:rFonts w:ascii="Verdana" w:eastAsia="Times New Roman" w:hAnsi="Verdana" w:cs="Times New Roman"/>
          <w:b/>
          <w:kern w:val="28"/>
          <w:sz w:val="24"/>
          <w:szCs w:val="24"/>
          <w:lang w:eastAsia="en-AU"/>
        </w:rPr>
        <w:t>Information Paper</w:t>
      </w:r>
      <w:r w:rsidRPr="00121B40">
        <w:rPr>
          <w:rFonts w:ascii="Verdana" w:eastAsia="Times New Roman" w:hAnsi="Verdana" w:cs="Times New Roman"/>
          <w:b/>
          <w:color w:val="0070C0"/>
          <w:kern w:val="28"/>
          <w:sz w:val="28"/>
          <w:szCs w:val="28"/>
          <w:lang w:eastAsia="en-AU"/>
        </w:rPr>
        <w:tab/>
      </w:r>
      <w:r w:rsidR="00121B40">
        <w:rPr>
          <w:b/>
        </w:rPr>
        <w:tab/>
      </w:r>
      <w:r w:rsidR="00121B40">
        <w:rPr>
          <w:b/>
        </w:rPr>
        <w:tab/>
      </w:r>
      <w:r w:rsidR="00121B40">
        <w:rPr>
          <w:b/>
        </w:rPr>
        <w:tab/>
      </w:r>
      <w:r w:rsidR="00121B40">
        <w:rPr>
          <w:b/>
        </w:rPr>
        <w:tab/>
      </w:r>
    </w:p>
    <w:p w:rsidR="009030D5" w:rsidRDefault="009030D5">
      <w:r>
        <w:t>Innovation Investment Co</w:t>
      </w:r>
      <w:r w:rsidR="001732D0">
        <w:t>mmittee</w:t>
      </w:r>
      <w:r w:rsidR="001732D0">
        <w:tab/>
      </w:r>
      <w:r w:rsidR="001732D0">
        <w:tab/>
      </w:r>
      <w:r w:rsidR="001732D0">
        <w:tab/>
      </w:r>
      <w:r w:rsidR="001732D0">
        <w:tab/>
      </w:r>
      <w:r w:rsidR="001732D0">
        <w:tab/>
        <w:t xml:space="preserve"> </w:t>
      </w:r>
      <w:r w:rsidR="001754B4">
        <w:t xml:space="preserve">               </w:t>
      </w:r>
      <w:r w:rsidR="001732D0">
        <w:t xml:space="preserve"> </w:t>
      </w:r>
      <w:r w:rsidR="001754B4">
        <w:t>Issued</w:t>
      </w:r>
      <w:r w:rsidR="002662E7">
        <w:t xml:space="preserve"> </w:t>
      </w:r>
      <w:r w:rsidR="00F36BEA">
        <w:t>July</w:t>
      </w:r>
      <w:bookmarkStart w:id="0" w:name="_GoBack"/>
      <w:bookmarkEnd w:id="0"/>
      <w:r>
        <w:t xml:space="preserve"> 2018</w:t>
      </w:r>
    </w:p>
    <w:p w:rsidR="00A765F1" w:rsidRDefault="00A765F1" w:rsidP="00874DA1">
      <w:pPr>
        <w:pStyle w:val="Heading1"/>
        <w:spacing w:before="240" w:after="60"/>
      </w:pPr>
    </w:p>
    <w:p w:rsidR="007D38CA" w:rsidRDefault="00A765F1" w:rsidP="00A765F1">
      <w:pPr>
        <w:jc w:val="center"/>
        <w:rPr>
          <w:b/>
        </w:rPr>
      </w:pPr>
      <w:r w:rsidRPr="00254383">
        <w:rPr>
          <w:b/>
        </w:rPr>
        <w:t>Exercise of discretion</w:t>
      </w:r>
      <w:r w:rsidR="007D38CA">
        <w:rPr>
          <w:b/>
        </w:rPr>
        <w:t xml:space="preserve"> under</w:t>
      </w:r>
      <w:r w:rsidRPr="00254383">
        <w:rPr>
          <w:b/>
        </w:rPr>
        <w:t xml:space="preserve"> </w:t>
      </w:r>
      <w:r w:rsidR="007D38CA">
        <w:rPr>
          <w:b/>
        </w:rPr>
        <w:t xml:space="preserve">section 11-15(2) of the </w:t>
      </w:r>
      <w:r w:rsidR="007D38CA" w:rsidRPr="007D38CA">
        <w:rPr>
          <w:b/>
          <w:i/>
        </w:rPr>
        <w:t>Venture Capital Act 2002</w:t>
      </w:r>
      <w:r w:rsidR="007D38CA">
        <w:rPr>
          <w:b/>
        </w:rPr>
        <w:t xml:space="preserve"> that allows</w:t>
      </w:r>
      <w:r w:rsidR="007D38CA" w:rsidRPr="007D38CA">
        <w:rPr>
          <w:b/>
        </w:rPr>
        <w:t xml:space="preserve"> Innovation and Science Australia </w:t>
      </w:r>
      <w:r w:rsidR="007D38CA">
        <w:rPr>
          <w:b/>
        </w:rPr>
        <w:t xml:space="preserve">to extend </w:t>
      </w:r>
      <w:r w:rsidR="00B92530">
        <w:rPr>
          <w:b/>
        </w:rPr>
        <w:t xml:space="preserve">the timeframe for </w:t>
      </w:r>
      <w:r w:rsidR="007D38CA">
        <w:rPr>
          <w:b/>
        </w:rPr>
        <w:t xml:space="preserve">its decision on an application </w:t>
      </w:r>
      <w:r w:rsidR="007D38CA" w:rsidRPr="007D38CA">
        <w:rPr>
          <w:b/>
        </w:rPr>
        <w:t>by up to 60 days</w:t>
      </w:r>
      <w:r w:rsidR="007D38CA">
        <w:rPr>
          <w:b/>
        </w:rPr>
        <w:t xml:space="preserve"> if Innovation and Science Australia thinks that it will take longer to decide an application</w:t>
      </w:r>
    </w:p>
    <w:p w:rsidR="00877E44" w:rsidRDefault="00877E44" w:rsidP="00A765F1">
      <w:pPr>
        <w:jc w:val="center"/>
        <w:rPr>
          <w:b/>
        </w:rPr>
      </w:pPr>
    </w:p>
    <w:p w:rsidR="003A5085" w:rsidRPr="003A5085" w:rsidRDefault="00807F3C" w:rsidP="003A5085">
      <w:pPr>
        <w:rPr>
          <w:b/>
        </w:rPr>
      </w:pPr>
      <w:r>
        <w:rPr>
          <w:b/>
        </w:rPr>
        <w:t>Purpose</w:t>
      </w:r>
    </w:p>
    <w:p w:rsidR="00B13C7E" w:rsidRDefault="003A5085" w:rsidP="003A5085">
      <w:r w:rsidRPr="00CA2456">
        <w:t>This paper explain</w:t>
      </w:r>
      <w:r w:rsidR="007D38CA">
        <w:t>s</w:t>
      </w:r>
      <w:r w:rsidRPr="00CA2456">
        <w:t xml:space="preserve"> the approach Innovation and Science Australia (ISA) will take </w:t>
      </w:r>
      <w:r w:rsidR="007C58A3">
        <w:t>towards</w:t>
      </w:r>
      <w:r w:rsidR="00CA2456">
        <w:t xml:space="preserve"> extend</w:t>
      </w:r>
      <w:r w:rsidR="007C58A3">
        <w:t>ing</w:t>
      </w:r>
      <w:r w:rsidR="00CA2456">
        <w:t xml:space="preserve"> the timeframe </w:t>
      </w:r>
      <w:r w:rsidR="00AE2EEC">
        <w:t xml:space="preserve">within </w:t>
      </w:r>
      <w:r w:rsidR="007B7A8E">
        <w:t xml:space="preserve">which the delegate </w:t>
      </w:r>
      <w:r w:rsidR="007C58A3">
        <w:t>may</w:t>
      </w:r>
      <w:r w:rsidR="007B7A8E">
        <w:t xml:space="preserve"> make a</w:t>
      </w:r>
      <w:r w:rsidR="00D453B9">
        <w:t xml:space="preserve"> decision </w:t>
      </w:r>
      <w:r w:rsidR="007C58A3">
        <w:t xml:space="preserve">to </w:t>
      </w:r>
      <w:r w:rsidR="00D453B9">
        <w:t>regist</w:t>
      </w:r>
      <w:r w:rsidR="007C58A3">
        <w:t xml:space="preserve">er </w:t>
      </w:r>
      <w:r w:rsidR="00D453B9">
        <w:t>a partnership</w:t>
      </w:r>
      <w:r w:rsidR="00807F3C">
        <w:t xml:space="preserve"> by up to 60 days</w:t>
      </w:r>
      <w:r w:rsidR="00D453B9">
        <w:t>.</w:t>
      </w:r>
      <w:r w:rsidR="00B13C7E">
        <w:t xml:space="preserve"> Decisions to extend the timeframe are made under</w:t>
      </w:r>
      <w:r w:rsidR="00CA2456">
        <w:t xml:space="preserve"> s11-15</w:t>
      </w:r>
      <w:r w:rsidR="007D38CA">
        <w:t>(2)</w:t>
      </w:r>
      <w:r w:rsidR="00CA2456">
        <w:t xml:space="preserve"> of the </w:t>
      </w:r>
      <w:r w:rsidR="00CA2456" w:rsidRPr="0070110F">
        <w:rPr>
          <w:i/>
        </w:rPr>
        <w:t xml:space="preserve">Venture Capital </w:t>
      </w:r>
      <w:r w:rsidR="00CA2456" w:rsidRPr="00F63700">
        <w:rPr>
          <w:i/>
        </w:rPr>
        <w:t>Act 2002</w:t>
      </w:r>
      <w:r w:rsidR="00F63700">
        <w:rPr>
          <w:i/>
        </w:rPr>
        <w:t xml:space="preserve"> </w:t>
      </w:r>
      <w:r w:rsidR="00F63700">
        <w:t>(VC Act)</w:t>
      </w:r>
      <w:r w:rsidR="00B13C7E" w:rsidRPr="00F63700">
        <w:rPr>
          <w:i/>
        </w:rPr>
        <w:t>.</w:t>
      </w:r>
      <w:r w:rsidRPr="00CA2456">
        <w:t xml:space="preserve"> </w:t>
      </w:r>
    </w:p>
    <w:p w:rsidR="00F63700" w:rsidRPr="00F63700" w:rsidRDefault="00807F3C" w:rsidP="00F63700">
      <w:pPr>
        <w:rPr>
          <w:b/>
        </w:rPr>
      </w:pPr>
      <w:r>
        <w:rPr>
          <w:b/>
        </w:rPr>
        <w:t>Definitions relating to t</w:t>
      </w:r>
      <w:r w:rsidR="00F63700" w:rsidRPr="00F63700">
        <w:rPr>
          <w:b/>
        </w:rPr>
        <w:t>imeframes for application consideration</w:t>
      </w:r>
    </w:p>
    <w:p w:rsidR="007C58A3" w:rsidRDefault="00F63700" w:rsidP="00F63700">
      <w:r w:rsidRPr="00F63700">
        <w:t>Section 11-15(1) of the</w:t>
      </w:r>
      <w:r w:rsidR="00AE1D76">
        <w:t xml:space="preserve"> VC Act</w:t>
      </w:r>
      <w:r w:rsidRPr="00F63700">
        <w:t xml:space="preserve"> </w:t>
      </w:r>
      <w:r w:rsidR="007C58A3">
        <w:t xml:space="preserve">provides </w:t>
      </w:r>
      <w:r w:rsidR="00AE1D76">
        <w:t>that</w:t>
      </w:r>
      <w:r w:rsidRPr="00F63700">
        <w:t xml:space="preserve"> ISA </w:t>
      </w:r>
      <w:r w:rsidR="00AE1D76">
        <w:t xml:space="preserve">or its delegate </w:t>
      </w:r>
      <w:r w:rsidRPr="00F63700">
        <w:t xml:space="preserve">must </w:t>
      </w:r>
      <w:r w:rsidR="007C58A3">
        <w:t xml:space="preserve">make a decision on </w:t>
      </w:r>
      <w:r w:rsidRPr="00F63700">
        <w:t xml:space="preserve">an application for registration or conditional registration within 60 days </w:t>
      </w:r>
      <w:r w:rsidR="00E908C5">
        <w:t>of receipt</w:t>
      </w:r>
      <w:r w:rsidR="007C58A3">
        <w:t xml:space="preserve">. Section </w:t>
      </w:r>
      <w:r w:rsidRPr="00F63700">
        <w:t xml:space="preserve">36 of the </w:t>
      </w:r>
      <w:r w:rsidRPr="00F63700">
        <w:rPr>
          <w:i/>
          <w:iCs/>
        </w:rPr>
        <w:t>Acts Interpretation Act 1901</w:t>
      </w:r>
      <w:r w:rsidR="007C58A3">
        <w:rPr>
          <w:i/>
          <w:iCs/>
        </w:rPr>
        <w:t xml:space="preserve"> </w:t>
      </w:r>
      <w:r w:rsidR="007C58A3">
        <w:t>provides that:</w:t>
      </w:r>
    </w:p>
    <w:p w:rsidR="007C58A3" w:rsidRPr="003B0280" w:rsidRDefault="007C58A3" w:rsidP="001E6579">
      <w:pPr>
        <w:pStyle w:val="ListParagraph"/>
        <w:numPr>
          <w:ilvl w:val="0"/>
          <w:numId w:val="7"/>
        </w:numPr>
        <w:rPr>
          <w:rFonts w:cstheme="minorHAnsi"/>
        </w:rPr>
      </w:pPr>
      <w:r w:rsidRPr="001E6579">
        <w:rPr>
          <w:rFonts w:asciiTheme="minorHAnsi" w:hAnsiTheme="minorHAnsi" w:cstheme="minorHAnsi"/>
          <w:sz w:val="22"/>
          <w:szCs w:val="22"/>
        </w:rPr>
        <w:t xml:space="preserve">the clock for making a decision </w:t>
      </w:r>
      <w:r w:rsidR="00F63700" w:rsidRPr="001E6579">
        <w:rPr>
          <w:rFonts w:asciiTheme="minorHAnsi" w:hAnsiTheme="minorHAnsi" w:cstheme="minorHAnsi"/>
          <w:sz w:val="22"/>
          <w:szCs w:val="22"/>
        </w:rPr>
        <w:t>begins the next day after receiving an application</w:t>
      </w:r>
      <w:r w:rsidRPr="001E6579">
        <w:rPr>
          <w:rFonts w:asciiTheme="minorHAnsi" w:hAnsiTheme="minorHAnsi" w:cstheme="minorHAnsi"/>
          <w:sz w:val="22"/>
          <w:szCs w:val="22"/>
        </w:rPr>
        <w:t>;</w:t>
      </w:r>
    </w:p>
    <w:p w:rsidR="00F63700" w:rsidRPr="003B0280" w:rsidRDefault="00F63700" w:rsidP="001E6579">
      <w:pPr>
        <w:pStyle w:val="ListParagraph"/>
        <w:numPr>
          <w:ilvl w:val="0"/>
          <w:numId w:val="7"/>
        </w:numPr>
        <w:rPr>
          <w:rFonts w:cstheme="minorHAnsi"/>
        </w:rPr>
      </w:pPr>
      <w:r w:rsidRPr="001E6579">
        <w:rPr>
          <w:rFonts w:asciiTheme="minorHAnsi" w:hAnsiTheme="minorHAnsi" w:cstheme="minorHAnsi"/>
          <w:sz w:val="22"/>
          <w:szCs w:val="22"/>
        </w:rPr>
        <w:t>if the last day to decide an application for registration or conditional registration (</w:t>
      </w:r>
      <w:proofErr w:type="spellStart"/>
      <w:r w:rsidRPr="001E6579">
        <w:rPr>
          <w:rFonts w:asciiTheme="minorHAnsi" w:hAnsiTheme="minorHAnsi" w:cstheme="minorHAnsi"/>
          <w:sz w:val="22"/>
          <w:szCs w:val="22"/>
        </w:rPr>
        <w:t>ie</w:t>
      </w:r>
      <w:proofErr w:type="spellEnd"/>
      <w:r w:rsidRPr="001E6579">
        <w:rPr>
          <w:rFonts w:asciiTheme="minorHAnsi" w:hAnsiTheme="minorHAnsi" w:cstheme="minorHAnsi"/>
          <w:sz w:val="22"/>
          <w:szCs w:val="22"/>
        </w:rPr>
        <w:t xml:space="preserve"> the 60</w:t>
      </w:r>
      <w:r w:rsidRPr="001E6579">
        <w:rPr>
          <w:rFonts w:asciiTheme="minorHAnsi" w:hAnsiTheme="minorHAnsi" w:cstheme="minorHAnsi"/>
          <w:sz w:val="22"/>
          <w:szCs w:val="22"/>
          <w:vertAlign w:val="superscript"/>
        </w:rPr>
        <w:t>th</w:t>
      </w:r>
      <w:r w:rsidRPr="001E6579">
        <w:rPr>
          <w:rFonts w:asciiTheme="minorHAnsi" w:hAnsiTheme="minorHAnsi" w:cstheme="minorHAnsi"/>
          <w:sz w:val="22"/>
          <w:szCs w:val="22"/>
        </w:rPr>
        <w:t xml:space="preserve"> day) falls on a Saturday, Sunday or a holiday, the decision </w:t>
      </w:r>
      <w:r w:rsidR="00D11CB9" w:rsidRPr="001E6579">
        <w:rPr>
          <w:rFonts w:asciiTheme="minorHAnsi" w:hAnsiTheme="minorHAnsi" w:cstheme="minorHAnsi"/>
          <w:sz w:val="22"/>
          <w:szCs w:val="22"/>
        </w:rPr>
        <w:t xml:space="preserve">must </w:t>
      </w:r>
      <w:r w:rsidRPr="001E6579">
        <w:rPr>
          <w:rFonts w:asciiTheme="minorHAnsi" w:hAnsiTheme="minorHAnsi" w:cstheme="minorHAnsi"/>
          <w:sz w:val="22"/>
          <w:szCs w:val="22"/>
        </w:rPr>
        <w:t xml:space="preserve">be made </w:t>
      </w:r>
      <w:r w:rsidR="00D11CB9" w:rsidRPr="001E6579">
        <w:rPr>
          <w:rFonts w:asciiTheme="minorHAnsi" w:hAnsiTheme="minorHAnsi" w:cstheme="minorHAnsi"/>
          <w:sz w:val="22"/>
          <w:szCs w:val="22"/>
        </w:rPr>
        <w:t>by the end of</w:t>
      </w:r>
      <w:r w:rsidRPr="001E6579">
        <w:rPr>
          <w:rFonts w:asciiTheme="minorHAnsi" w:hAnsiTheme="minorHAnsi" w:cstheme="minorHAnsi"/>
          <w:sz w:val="22"/>
          <w:szCs w:val="22"/>
        </w:rPr>
        <w:t xml:space="preserve"> the next day that is not a Saturday, Sunday or holiday. </w:t>
      </w:r>
    </w:p>
    <w:p w:rsidR="00E908C5" w:rsidRDefault="00F63700" w:rsidP="00F63700">
      <w:r w:rsidRPr="00F63700">
        <w:t xml:space="preserve">The day </w:t>
      </w:r>
      <w:r w:rsidR="00807F3C">
        <w:t>o</w:t>
      </w:r>
      <w:r w:rsidRPr="00F63700">
        <w:t xml:space="preserve">n which </w:t>
      </w:r>
      <w:r w:rsidR="00AE1D76">
        <w:t>an</w:t>
      </w:r>
      <w:r w:rsidRPr="00F63700">
        <w:t xml:space="preserve"> application is deemed received is the day ISA</w:t>
      </w:r>
      <w:r w:rsidR="00E908C5">
        <w:t xml:space="preserve">, or </w:t>
      </w:r>
      <w:r w:rsidR="00610268">
        <w:t>its delegate</w:t>
      </w:r>
      <w:r w:rsidR="00E908C5">
        <w:t>,</w:t>
      </w:r>
      <w:r w:rsidRPr="00F63700">
        <w:t xml:space="preserve"> receives the application form</w:t>
      </w:r>
      <w:r w:rsidR="00807F3C">
        <w:t>,</w:t>
      </w:r>
      <w:r w:rsidRPr="00F63700">
        <w:t xml:space="preserve"> and not the date of the application or the date the applicant </w:t>
      </w:r>
      <w:r w:rsidR="00AE1D76">
        <w:t>sent</w:t>
      </w:r>
      <w:r w:rsidRPr="00F63700">
        <w:t xml:space="preserve"> the application. </w:t>
      </w:r>
    </w:p>
    <w:p w:rsidR="00D11CB9" w:rsidRDefault="00E908C5" w:rsidP="00D11CB9">
      <w:r>
        <w:t xml:space="preserve">The 60 day clock for making a decision only commences after </w:t>
      </w:r>
      <w:r w:rsidR="00F63700" w:rsidRPr="00F63700">
        <w:t>a complete application is received</w:t>
      </w:r>
      <w:r>
        <w:t xml:space="preserve">. </w:t>
      </w:r>
      <w:r w:rsidR="00D11CB9">
        <w:t xml:space="preserve">For the purpose of the balance of this paper, an application is taken to mean a complete application. </w:t>
      </w:r>
    </w:p>
    <w:p w:rsidR="003A5085" w:rsidRPr="003A5085" w:rsidRDefault="00E908C5" w:rsidP="003A5085">
      <w:pPr>
        <w:rPr>
          <w:b/>
        </w:rPr>
      </w:pPr>
      <w:r>
        <w:rPr>
          <w:b/>
        </w:rPr>
        <w:t>T</w:t>
      </w:r>
      <w:r w:rsidR="00807F3C">
        <w:rPr>
          <w:b/>
        </w:rPr>
        <w:t xml:space="preserve">imeframe </w:t>
      </w:r>
      <w:r w:rsidR="003A5085" w:rsidRPr="003A5085">
        <w:rPr>
          <w:b/>
        </w:rPr>
        <w:t>extension</w:t>
      </w:r>
      <w:r>
        <w:rPr>
          <w:b/>
        </w:rPr>
        <w:t xml:space="preserve"> considerations</w:t>
      </w:r>
    </w:p>
    <w:p w:rsidR="00E52B3A" w:rsidRDefault="00F63700">
      <w:pPr>
        <w:rPr>
          <w:rFonts w:cstheme="minorHAnsi"/>
        </w:rPr>
      </w:pPr>
      <w:r>
        <w:t>ISA</w:t>
      </w:r>
      <w:r w:rsidR="003A5085" w:rsidRPr="003A5085">
        <w:t xml:space="preserve"> </w:t>
      </w:r>
      <w:r w:rsidR="00AE1D76">
        <w:t xml:space="preserve">or its delegate </w:t>
      </w:r>
      <w:r w:rsidR="003A5085" w:rsidRPr="003A5085">
        <w:t xml:space="preserve">may </w:t>
      </w:r>
      <w:r w:rsidR="00E908C5">
        <w:t xml:space="preserve">only extend the 60 day </w:t>
      </w:r>
      <w:r w:rsidR="003B0280">
        <w:t>clock</w:t>
      </w:r>
      <w:r w:rsidR="00E908C5">
        <w:t xml:space="preserve"> </w:t>
      </w:r>
      <w:r w:rsidR="003A5085" w:rsidRPr="003A5085">
        <w:t>in certain circumstances</w:t>
      </w:r>
      <w:r w:rsidR="00610268">
        <w:t xml:space="preserve">. In determining whether to extend the 60 day clock ISA or its delegate </w:t>
      </w:r>
      <w:r w:rsidR="00E908C5">
        <w:t>will consider</w:t>
      </w:r>
      <w:r w:rsidR="00E52B3A">
        <w:t xml:space="preserve"> </w:t>
      </w:r>
      <w:r w:rsidR="003A5085" w:rsidRPr="001E6579">
        <w:rPr>
          <w:rFonts w:cstheme="minorHAnsi"/>
        </w:rPr>
        <w:t>the feasibility</w:t>
      </w:r>
      <w:r w:rsidR="00610268">
        <w:rPr>
          <w:rFonts w:cstheme="minorHAnsi"/>
        </w:rPr>
        <w:t xml:space="preserve"> and reasonableness</w:t>
      </w:r>
      <w:r w:rsidR="003A5085" w:rsidRPr="001E6579">
        <w:rPr>
          <w:rFonts w:cstheme="minorHAnsi"/>
        </w:rPr>
        <w:t xml:space="preserve"> of </w:t>
      </w:r>
      <w:r w:rsidR="00610268">
        <w:rPr>
          <w:rFonts w:cstheme="minorHAnsi"/>
        </w:rPr>
        <w:t xml:space="preserve">making a </w:t>
      </w:r>
      <w:r w:rsidR="003A5085" w:rsidRPr="001E6579">
        <w:rPr>
          <w:rFonts w:cstheme="minorHAnsi"/>
        </w:rPr>
        <w:t>deci</w:t>
      </w:r>
      <w:r w:rsidR="00610268">
        <w:rPr>
          <w:rFonts w:cstheme="minorHAnsi"/>
        </w:rPr>
        <w:t>sion on</w:t>
      </w:r>
      <w:r w:rsidR="003A5085" w:rsidRPr="001E6579">
        <w:rPr>
          <w:rFonts w:cstheme="minorHAnsi"/>
        </w:rPr>
        <w:t xml:space="preserve"> </w:t>
      </w:r>
      <w:r w:rsidR="00610268">
        <w:rPr>
          <w:rFonts w:cstheme="minorHAnsi"/>
        </w:rPr>
        <w:t>an</w:t>
      </w:r>
      <w:r w:rsidR="003A5085" w:rsidRPr="001E6579">
        <w:rPr>
          <w:rFonts w:cstheme="minorHAnsi"/>
        </w:rPr>
        <w:t xml:space="preserve"> application </w:t>
      </w:r>
      <w:r w:rsidR="00610268">
        <w:rPr>
          <w:rFonts w:cstheme="minorHAnsi"/>
        </w:rPr>
        <w:t>with</w:t>
      </w:r>
      <w:r w:rsidR="003A5085" w:rsidRPr="001E6579">
        <w:rPr>
          <w:rFonts w:cstheme="minorHAnsi"/>
        </w:rPr>
        <w:t>in the initial 60 day timef</w:t>
      </w:r>
      <w:r w:rsidRPr="001E6579">
        <w:rPr>
          <w:rFonts w:cstheme="minorHAnsi"/>
        </w:rPr>
        <w:t>rame</w:t>
      </w:r>
      <w:r w:rsidR="00E52B3A">
        <w:rPr>
          <w:rFonts w:cstheme="minorHAnsi"/>
        </w:rPr>
        <w:t xml:space="preserve">. </w:t>
      </w:r>
    </w:p>
    <w:p w:rsidR="003A5085" w:rsidRPr="001E6579" w:rsidRDefault="006825CC">
      <w:pPr>
        <w:rPr>
          <w:rFonts w:cstheme="minorHAnsi"/>
        </w:rPr>
      </w:pPr>
      <w:r w:rsidRPr="001E6579">
        <w:rPr>
          <w:rFonts w:cstheme="minorHAnsi"/>
        </w:rPr>
        <w:t xml:space="preserve">ISA or its delegates may </w:t>
      </w:r>
      <w:r w:rsidR="00E908C5" w:rsidRPr="001E6579">
        <w:rPr>
          <w:rFonts w:cstheme="minorHAnsi"/>
        </w:rPr>
        <w:t xml:space="preserve">also </w:t>
      </w:r>
      <w:r w:rsidRPr="001E6579">
        <w:rPr>
          <w:rFonts w:cstheme="minorHAnsi"/>
        </w:rPr>
        <w:t>seek the input of the applicant before a decision</w:t>
      </w:r>
      <w:r w:rsidR="00610268">
        <w:rPr>
          <w:rFonts w:cstheme="minorHAnsi"/>
        </w:rPr>
        <w:t xml:space="preserve"> to extend the clock</w:t>
      </w:r>
      <w:r w:rsidRPr="001E6579">
        <w:rPr>
          <w:rFonts w:cstheme="minorHAnsi"/>
        </w:rPr>
        <w:t xml:space="preserve"> is made.</w:t>
      </w:r>
    </w:p>
    <w:p w:rsidR="0027249E" w:rsidRDefault="0027249E" w:rsidP="003A5085"/>
    <w:p w:rsidR="0027249E" w:rsidRDefault="0027249E" w:rsidP="003A5085"/>
    <w:p w:rsidR="003A5085" w:rsidRPr="003A5085" w:rsidRDefault="006825CC" w:rsidP="003A5085">
      <w:r w:rsidRPr="003A5085">
        <w:lastRenderedPageBreak/>
        <w:t xml:space="preserve">All </w:t>
      </w:r>
      <w:r>
        <w:t xml:space="preserve">decisions to </w:t>
      </w:r>
      <w:r w:rsidRPr="003A5085">
        <w:t>exten</w:t>
      </w:r>
      <w:r>
        <w:t xml:space="preserve">d the timeframe for consideration </w:t>
      </w:r>
      <w:r w:rsidRPr="003A5085">
        <w:t xml:space="preserve">will be </w:t>
      </w:r>
      <w:r>
        <w:t xml:space="preserve">evaluated </w:t>
      </w:r>
      <w:r w:rsidRPr="003A5085">
        <w:t>on a case by case basis</w:t>
      </w:r>
      <w:r w:rsidR="00E52B3A">
        <w:t xml:space="preserve">. Below is a non-exhaustive list of criteria that </w:t>
      </w:r>
      <w:r w:rsidR="00FE50A0">
        <w:t>ISA or its</w:t>
      </w:r>
      <w:r w:rsidR="007D38CA">
        <w:t xml:space="preserve"> delegate</w:t>
      </w:r>
      <w:r w:rsidR="003A5085" w:rsidRPr="003A5085">
        <w:t xml:space="preserve"> will consider:</w:t>
      </w:r>
    </w:p>
    <w:p w:rsidR="003A5085" w:rsidRPr="00C67684" w:rsidRDefault="003A5085" w:rsidP="00C67684">
      <w:pPr>
        <w:pStyle w:val="ListParagraph"/>
        <w:numPr>
          <w:ilvl w:val="0"/>
          <w:numId w:val="6"/>
        </w:numPr>
        <w:rPr>
          <w:rFonts w:asciiTheme="minorHAnsi" w:eastAsiaTheme="minorHAnsi" w:hAnsiTheme="minorHAnsi"/>
          <w:b/>
          <w:sz w:val="22"/>
          <w:szCs w:val="22"/>
        </w:rPr>
      </w:pPr>
      <w:r w:rsidRPr="00C67684">
        <w:rPr>
          <w:rFonts w:asciiTheme="minorHAnsi" w:eastAsiaTheme="minorHAnsi" w:hAnsiTheme="minorHAnsi"/>
          <w:b/>
          <w:sz w:val="22"/>
          <w:szCs w:val="22"/>
        </w:rPr>
        <w:t>Timing of receipt of a</w:t>
      </w:r>
      <w:r w:rsidR="00F62E9C">
        <w:rPr>
          <w:rFonts w:asciiTheme="minorHAnsi" w:eastAsiaTheme="minorHAnsi" w:hAnsiTheme="minorHAnsi"/>
          <w:b/>
          <w:sz w:val="22"/>
          <w:szCs w:val="22"/>
        </w:rPr>
        <w:t>n</w:t>
      </w:r>
      <w:r w:rsidRPr="00C67684">
        <w:rPr>
          <w:rFonts w:asciiTheme="minorHAnsi" w:eastAsiaTheme="minorHAnsi" w:hAnsiTheme="minorHAnsi"/>
          <w:b/>
          <w:sz w:val="22"/>
          <w:szCs w:val="22"/>
        </w:rPr>
        <w:t xml:space="preserve"> application.  </w:t>
      </w:r>
    </w:p>
    <w:p w:rsidR="003A5085" w:rsidRPr="003A5085" w:rsidRDefault="00FE50A0" w:rsidP="00CE7244">
      <w:pPr>
        <w:ind w:left="360"/>
      </w:pPr>
      <w:r>
        <w:t>A</w:t>
      </w:r>
      <w:r w:rsidRPr="003A5085">
        <w:t xml:space="preserve">n extension of the period for deciding an application for registration may be </w:t>
      </w:r>
      <w:r w:rsidR="00BE39CD">
        <w:t xml:space="preserve">considered </w:t>
      </w:r>
      <w:r w:rsidR="00C27742">
        <w:t xml:space="preserve">by </w:t>
      </w:r>
      <w:r w:rsidR="00D4167C">
        <w:t>ISA or its delegate</w:t>
      </w:r>
      <w:r w:rsidR="00C27742">
        <w:t xml:space="preserve"> </w:t>
      </w:r>
      <w:r w:rsidRPr="003A5085">
        <w:t xml:space="preserve">to ensure every application is </w:t>
      </w:r>
      <w:r w:rsidR="00BE39CD">
        <w:t>assessed</w:t>
      </w:r>
      <w:r w:rsidR="00BE39CD" w:rsidRPr="003A5085">
        <w:t xml:space="preserve"> </w:t>
      </w:r>
      <w:r w:rsidRPr="003A5085">
        <w:t xml:space="preserve">thoroughly and with due process to ensure the legislative intent of the programs </w:t>
      </w:r>
      <w:r w:rsidR="00E52B3A">
        <w:t>is</w:t>
      </w:r>
      <w:r w:rsidR="00E52B3A" w:rsidRPr="003A5085">
        <w:t xml:space="preserve"> </w:t>
      </w:r>
      <w:r w:rsidR="00807F3C">
        <w:t>met</w:t>
      </w:r>
      <w:r w:rsidRPr="003A5085">
        <w:t xml:space="preserve">. </w:t>
      </w:r>
    </w:p>
    <w:p w:rsidR="007D38CA" w:rsidRDefault="00D4167C">
      <w:pPr>
        <w:ind w:left="360"/>
      </w:pPr>
      <w:r>
        <w:t>ISA or its</w:t>
      </w:r>
      <w:r w:rsidR="00E63082">
        <w:t xml:space="preserve"> delegate may consider</w:t>
      </w:r>
      <w:r w:rsidR="00E52B3A">
        <w:t xml:space="preserve"> that </w:t>
      </w:r>
      <w:r w:rsidR="00E63082">
        <w:t xml:space="preserve">there is inadequate time to </w:t>
      </w:r>
      <w:r w:rsidR="00E52B3A" w:rsidRPr="00E52B3A">
        <w:t>ensure the application is assessed thoroughly</w:t>
      </w:r>
      <w:r w:rsidR="00F334AE">
        <w:t xml:space="preserve">. </w:t>
      </w:r>
      <w:r w:rsidR="00E52B3A">
        <w:t>For example, i</w:t>
      </w:r>
      <w:r w:rsidR="00D63D54">
        <w:t>f the only available meeting</w:t>
      </w:r>
      <w:r>
        <w:t xml:space="preserve"> of the Innovation Investment Committee of ISA within the 60 day period for making a decision on an application</w:t>
      </w:r>
      <w:r w:rsidR="00D63D54">
        <w:t xml:space="preserve"> </w:t>
      </w:r>
      <w:r w:rsidR="00E52B3A">
        <w:t>falls l</w:t>
      </w:r>
      <w:r w:rsidR="00D63D54">
        <w:t xml:space="preserve">ess than </w:t>
      </w:r>
      <w:r w:rsidR="00E52B3A">
        <w:t>30 days</w:t>
      </w:r>
      <w:r w:rsidR="00D63D54">
        <w:t xml:space="preserve"> from the date of the receipt of a</w:t>
      </w:r>
      <w:r w:rsidR="008F3A25">
        <w:t>n</w:t>
      </w:r>
      <w:r w:rsidR="00D63D54">
        <w:t xml:space="preserve"> application, an extension of time may be considered </w:t>
      </w:r>
      <w:r w:rsidR="003B0280">
        <w:t xml:space="preserve">necessary </w:t>
      </w:r>
      <w:r w:rsidR="00D63D54">
        <w:t xml:space="preserve">to enable </w:t>
      </w:r>
      <w:r>
        <w:t>ISA or its delegate sufficient time to consider the application</w:t>
      </w:r>
      <w:r w:rsidR="00E52B3A">
        <w:t xml:space="preserve">.  </w:t>
      </w:r>
    </w:p>
    <w:p w:rsidR="003A5085" w:rsidRPr="00C67684" w:rsidRDefault="003A5085" w:rsidP="00C67684">
      <w:pPr>
        <w:pStyle w:val="ListParagraph"/>
        <w:numPr>
          <w:ilvl w:val="0"/>
          <w:numId w:val="6"/>
        </w:numPr>
        <w:rPr>
          <w:rFonts w:asciiTheme="minorHAnsi" w:eastAsiaTheme="minorHAnsi" w:hAnsiTheme="minorHAnsi"/>
          <w:b/>
          <w:sz w:val="22"/>
          <w:szCs w:val="22"/>
        </w:rPr>
      </w:pPr>
      <w:r w:rsidRPr="00C67684">
        <w:rPr>
          <w:rFonts w:asciiTheme="minorHAnsi" w:eastAsiaTheme="minorHAnsi" w:hAnsiTheme="minorHAnsi"/>
          <w:b/>
          <w:sz w:val="22"/>
          <w:szCs w:val="22"/>
        </w:rPr>
        <w:t>Complexity of the application.</w:t>
      </w:r>
    </w:p>
    <w:p w:rsidR="00254383" w:rsidRDefault="000412B3" w:rsidP="00CE7244">
      <w:pPr>
        <w:ind w:left="360"/>
      </w:pPr>
      <w:r>
        <w:t>ISA may consider extending the timeframe if t</w:t>
      </w:r>
      <w:r w:rsidR="003A5085" w:rsidRPr="00254383">
        <w:t xml:space="preserve">he level of complexity of the application requires a more considered assessment </w:t>
      </w:r>
      <w:r w:rsidR="00E52B3A">
        <w:t>than is</w:t>
      </w:r>
      <w:r w:rsidR="003A5085" w:rsidRPr="00254383">
        <w:t xml:space="preserve"> possible </w:t>
      </w:r>
      <w:r w:rsidR="00E52B3A">
        <w:t>within the 60 day</w:t>
      </w:r>
      <w:r w:rsidR="003B0280">
        <w:t>s</w:t>
      </w:r>
      <w:r w:rsidR="00E52B3A">
        <w:t xml:space="preserve">. </w:t>
      </w:r>
      <w:r w:rsidR="00FE50A0">
        <w:t xml:space="preserve"> </w:t>
      </w:r>
    </w:p>
    <w:p w:rsidR="003A5085" w:rsidRDefault="007326AE" w:rsidP="00CE7244">
      <w:pPr>
        <w:ind w:left="360"/>
      </w:pPr>
      <w:r>
        <w:t>A</w:t>
      </w:r>
      <w:r w:rsidR="009E6967">
        <w:t xml:space="preserve">s a part of its assessment </w:t>
      </w:r>
      <w:r w:rsidR="005E2CDE">
        <w:t>ISA or its delegate</w:t>
      </w:r>
      <w:r w:rsidR="009E6967">
        <w:t xml:space="preserve"> may need to obtain verification of</w:t>
      </w:r>
      <w:r w:rsidR="00E52B3A">
        <w:t xml:space="preserve"> various facts from other agencies. </w:t>
      </w:r>
      <w:r w:rsidR="009E6967">
        <w:t xml:space="preserve"> </w:t>
      </w:r>
      <w:r>
        <w:t xml:space="preserve">For example, </w:t>
      </w:r>
      <w:r w:rsidR="009E6967">
        <w:t>the cla</w:t>
      </w:r>
      <w:r w:rsidR="00FE50A0">
        <w:t>imed tax exempt status of a p</w:t>
      </w:r>
      <w:r w:rsidR="009E6967">
        <w:t xml:space="preserve">artnership or limited partner </w:t>
      </w:r>
      <w:r>
        <w:t xml:space="preserve">must be obtained </w:t>
      </w:r>
      <w:r w:rsidR="009E6967">
        <w:t>from the Australian Taxation Office. The time taken for this verification</w:t>
      </w:r>
      <w:r w:rsidR="0070110F">
        <w:t xml:space="preserve"> is out of </w:t>
      </w:r>
      <w:r w:rsidR="005E2CDE">
        <w:t xml:space="preserve">the </w:t>
      </w:r>
      <w:r w:rsidR="0070110F">
        <w:t>control</w:t>
      </w:r>
      <w:r w:rsidR="005E2CDE">
        <w:t xml:space="preserve"> of ISA or its delegate</w:t>
      </w:r>
      <w:r w:rsidR="00FE50A0">
        <w:t>.</w:t>
      </w:r>
      <w:r w:rsidR="009E6967">
        <w:t xml:space="preserve"> </w:t>
      </w:r>
    </w:p>
    <w:p w:rsidR="005E2CDE" w:rsidRPr="005E2358" w:rsidRDefault="005E2CDE" w:rsidP="005E2358">
      <w:pPr>
        <w:pStyle w:val="ListParagraph"/>
        <w:numPr>
          <w:ilvl w:val="0"/>
          <w:numId w:val="6"/>
        </w:numPr>
        <w:rPr>
          <w:b/>
        </w:rPr>
      </w:pPr>
      <w:r w:rsidRPr="005E2358">
        <w:rPr>
          <w:rFonts w:asciiTheme="minorHAnsi" w:eastAsiaTheme="minorHAnsi" w:hAnsiTheme="minorHAnsi"/>
          <w:b/>
          <w:sz w:val="22"/>
          <w:szCs w:val="22"/>
        </w:rPr>
        <w:t>Requests for additional information</w:t>
      </w:r>
    </w:p>
    <w:p w:rsidR="00E043E6" w:rsidRDefault="00994E55" w:rsidP="00E043E6">
      <w:pPr>
        <w:ind w:left="360"/>
      </w:pPr>
      <w:r>
        <w:t>ISA frequently receives a</w:t>
      </w:r>
      <w:r w:rsidR="00E043E6">
        <w:t>pplication</w:t>
      </w:r>
      <w:r w:rsidR="00C20D4A">
        <w:t>s</w:t>
      </w:r>
      <w:r w:rsidR="00E043E6">
        <w:t xml:space="preserve"> </w:t>
      </w:r>
      <w:r w:rsidR="00C20D4A">
        <w:t xml:space="preserve">that </w:t>
      </w:r>
      <w:r>
        <w:t xml:space="preserve">may </w:t>
      </w:r>
      <w:r w:rsidR="00C20D4A">
        <w:t xml:space="preserve">benefit from the </w:t>
      </w:r>
      <w:r w:rsidR="00E150C8">
        <w:t xml:space="preserve">provision </w:t>
      </w:r>
      <w:r w:rsidR="00C600EC">
        <w:t>of additional</w:t>
      </w:r>
      <w:r w:rsidR="00E043E6">
        <w:t xml:space="preserve"> information</w:t>
      </w:r>
      <w:r>
        <w:t xml:space="preserve"> by the applicant</w:t>
      </w:r>
      <w:r w:rsidR="00C20D4A">
        <w:t xml:space="preserve">. </w:t>
      </w:r>
      <w:r>
        <w:t>This may impact on the decision for registration, potentially resulting in the partnership not being registered.  Extending the 60 day clock on decisions can allow applicants the opportunity to seek and provide such</w:t>
      </w:r>
      <w:r w:rsidR="00C20D4A">
        <w:t xml:space="preserve"> </w:t>
      </w:r>
      <w:r w:rsidR="00E043E6">
        <w:t>additional information</w:t>
      </w:r>
      <w:r>
        <w:t>.</w:t>
      </w:r>
      <w:r w:rsidR="00E043E6">
        <w:t xml:space="preserve"> </w:t>
      </w:r>
    </w:p>
    <w:p w:rsidR="003A5085" w:rsidRPr="00C67684" w:rsidRDefault="003A5085" w:rsidP="003A5085">
      <w:pPr>
        <w:rPr>
          <w:b/>
        </w:rPr>
      </w:pPr>
      <w:r w:rsidRPr="00C67684">
        <w:rPr>
          <w:b/>
        </w:rPr>
        <w:t>Notification to Applicant</w:t>
      </w:r>
    </w:p>
    <w:p w:rsidR="003A5085" w:rsidRPr="003A5085" w:rsidRDefault="003A5085" w:rsidP="003A5085">
      <w:r w:rsidRPr="003A5085">
        <w:t xml:space="preserve">If </w:t>
      </w:r>
      <w:r w:rsidR="006825CC">
        <w:t>ISA or its</w:t>
      </w:r>
      <w:r w:rsidRPr="003A5085">
        <w:t xml:space="preserve"> delegate </w:t>
      </w:r>
      <w:r w:rsidR="006825CC">
        <w:t xml:space="preserve">decides to </w:t>
      </w:r>
      <w:r w:rsidRPr="003A5085">
        <w:t xml:space="preserve">extend the </w:t>
      </w:r>
      <w:r w:rsidR="00C20D4A">
        <w:t xml:space="preserve">60 day clock </w:t>
      </w:r>
      <w:r w:rsidRPr="003A5085">
        <w:t>this will be communicated</w:t>
      </w:r>
      <w:r w:rsidR="007F78C5">
        <w:t xml:space="preserve"> to the applicant</w:t>
      </w:r>
      <w:r w:rsidRPr="003A5085">
        <w:t xml:space="preserve"> in writing as soon as practicable</w:t>
      </w:r>
      <w:r w:rsidR="00C20D4A">
        <w:t>,</w:t>
      </w:r>
      <w:r w:rsidRPr="003A5085">
        <w:t xml:space="preserve"> and within 60 days of the receipt of</w:t>
      </w:r>
      <w:r w:rsidR="00F9253A">
        <w:t xml:space="preserve"> </w:t>
      </w:r>
      <w:r w:rsidRPr="003A5085">
        <w:t xml:space="preserve">the.  </w:t>
      </w:r>
    </w:p>
    <w:p w:rsidR="003A5085" w:rsidRPr="00C67684" w:rsidRDefault="003A5085" w:rsidP="003A5085">
      <w:pPr>
        <w:rPr>
          <w:b/>
        </w:rPr>
      </w:pPr>
      <w:r w:rsidRPr="00C67684">
        <w:rPr>
          <w:b/>
        </w:rPr>
        <w:t>Further Information</w:t>
      </w:r>
    </w:p>
    <w:p w:rsidR="003A5085" w:rsidRPr="00916151" w:rsidRDefault="003A5085" w:rsidP="003A5085">
      <w:r w:rsidRPr="00916151">
        <w:t xml:space="preserve">Please contact 13 28 46, </w:t>
      </w:r>
      <w:hyperlink r:id="rId12" w:history="1">
        <w:r w:rsidRPr="00916151">
          <w:t>business.gov.au</w:t>
        </w:r>
      </w:hyperlink>
      <w:r w:rsidRPr="00916151">
        <w:t xml:space="preserve"> or email </w:t>
      </w:r>
      <w:hyperlink r:id="rId13" w:history="1">
        <w:r w:rsidRPr="00916151">
          <w:t>VentureCapital@industry.gov.au</w:t>
        </w:r>
      </w:hyperlink>
      <w:r w:rsidRPr="00916151">
        <w:t>.</w:t>
      </w:r>
    </w:p>
    <w:p w:rsidR="00836FE4" w:rsidRPr="001D5F3F" w:rsidRDefault="006825CC" w:rsidP="0027249E">
      <w:r>
        <w:t>This paper may be updated from time to time.</w:t>
      </w:r>
    </w:p>
    <w:sectPr w:rsidR="00836FE4" w:rsidRPr="001D5F3F" w:rsidSect="00C20F40">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1A1" w:rsidRDefault="005771A1" w:rsidP="009D7640">
      <w:pPr>
        <w:spacing w:after="0" w:line="240" w:lineRule="auto"/>
      </w:pPr>
      <w:r>
        <w:separator/>
      </w:r>
    </w:p>
  </w:endnote>
  <w:endnote w:type="continuationSeparator" w:id="0">
    <w:p w:rsidR="005771A1" w:rsidRDefault="005771A1" w:rsidP="009D7640">
      <w:pPr>
        <w:spacing w:after="0" w:line="240" w:lineRule="auto"/>
      </w:pPr>
      <w:r>
        <w:continuationSeparator/>
      </w:r>
    </w:p>
  </w:endnote>
  <w:endnote w:type="continuationNotice" w:id="1">
    <w:p w:rsidR="005771A1" w:rsidRDefault="005771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706442"/>
      <w:docPartObj>
        <w:docPartGallery w:val="Page Numbers (Bottom of Page)"/>
        <w:docPartUnique/>
      </w:docPartObj>
    </w:sdtPr>
    <w:sdtEndPr>
      <w:rPr>
        <w:noProof/>
      </w:rPr>
    </w:sdtEndPr>
    <w:sdtContent>
      <w:p w:rsidR="006825CC" w:rsidRDefault="006825CC">
        <w:pPr>
          <w:pStyle w:val="Footer"/>
          <w:jc w:val="center"/>
        </w:pPr>
        <w:r>
          <w:fldChar w:fldCharType="begin"/>
        </w:r>
        <w:r>
          <w:instrText xml:space="preserve"> PAGE   \* MERGEFORMAT </w:instrText>
        </w:r>
        <w:r>
          <w:fldChar w:fldCharType="separate"/>
        </w:r>
        <w:r w:rsidR="00F36BE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1A1" w:rsidRDefault="005771A1" w:rsidP="009D7640">
      <w:pPr>
        <w:spacing w:after="0" w:line="240" w:lineRule="auto"/>
      </w:pPr>
      <w:r>
        <w:separator/>
      </w:r>
    </w:p>
  </w:footnote>
  <w:footnote w:type="continuationSeparator" w:id="0">
    <w:p w:rsidR="005771A1" w:rsidRDefault="005771A1" w:rsidP="009D7640">
      <w:pPr>
        <w:spacing w:after="0" w:line="240" w:lineRule="auto"/>
      </w:pPr>
      <w:r>
        <w:continuationSeparator/>
      </w:r>
    </w:p>
  </w:footnote>
  <w:footnote w:type="continuationNotice" w:id="1">
    <w:p w:rsidR="005771A1" w:rsidRDefault="005771A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19E" w:rsidRDefault="00204522">
    <w:pPr>
      <w:pStyle w:val="Header"/>
    </w:pPr>
    <w:r w:rsidRPr="00AD0CA1">
      <w:rPr>
        <w:rFonts w:ascii="Microsoft Yi Baiti" w:eastAsia="Microsoft Yi Baiti" w:hAnsi="Microsoft Yi Baiti" w:hint="eastAsia"/>
        <w:noProof/>
        <w:sz w:val="44"/>
        <w:szCs w:val="44"/>
        <w:lang w:eastAsia="en-AU"/>
      </w:rPr>
      <w:drawing>
        <wp:anchor distT="0" distB="0" distL="114300" distR="114300" simplePos="0" relativeHeight="251657216" behindDoc="0" locked="0" layoutInCell="1" allowOverlap="1" wp14:anchorId="5B7BC902" wp14:editId="36DB46C4">
          <wp:simplePos x="0" y="0"/>
          <wp:positionH relativeFrom="margin">
            <wp:align>left</wp:align>
          </wp:positionH>
          <wp:positionV relativeFrom="paragraph">
            <wp:posOffset>170815</wp:posOffset>
          </wp:positionV>
          <wp:extent cx="4653886" cy="611431"/>
          <wp:effectExtent l="0" t="0" r="0" b="0"/>
          <wp:wrapTopAndBottom/>
          <wp:docPr id="2" name="Picture 2" descr="Innovation and Science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A_crest_inline.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53886" cy="6114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A3EC4"/>
    <w:multiLevelType w:val="hybridMultilevel"/>
    <w:tmpl w:val="41468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C5542F"/>
    <w:multiLevelType w:val="hybridMultilevel"/>
    <w:tmpl w:val="9B9077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E2E4B79"/>
    <w:multiLevelType w:val="hybridMultilevel"/>
    <w:tmpl w:val="2EB0A64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3DB3449F"/>
    <w:multiLevelType w:val="hybridMultilevel"/>
    <w:tmpl w:val="5C3287A0"/>
    <w:lvl w:ilvl="0" w:tplc="08090001">
      <w:start w:val="1"/>
      <w:numFmt w:val="bullet"/>
      <w:lvlText w:val=""/>
      <w:lvlJc w:val="left"/>
      <w:pPr>
        <w:ind w:left="360" w:hanging="360"/>
      </w:pPr>
      <w:rPr>
        <w:rFonts w:ascii="Symbol" w:hAnsi="Symbol" w:hint="default"/>
      </w:rPr>
    </w:lvl>
    <w:lvl w:ilvl="1" w:tplc="0C090017">
      <w:start w:val="1"/>
      <w:numFmt w:val="low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D9631C"/>
    <w:multiLevelType w:val="hybridMultilevel"/>
    <w:tmpl w:val="B0C634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9D92B94"/>
    <w:multiLevelType w:val="hybridMultilevel"/>
    <w:tmpl w:val="0D6088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A2D4955"/>
    <w:multiLevelType w:val="hybridMultilevel"/>
    <w:tmpl w:val="A656C826"/>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DF266AA"/>
    <w:multiLevelType w:val="hybridMultilevel"/>
    <w:tmpl w:val="5C3287A0"/>
    <w:lvl w:ilvl="0" w:tplc="08090001">
      <w:start w:val="1"/>
      <w:numFmt w:val="bullet"/>
      <w:lvlText w:val=""/>
      <w:lvlJc w:val="left"/>
      <w:pPr>
        <w:ind w:left="360" w:hanging="360"/>
      </w:pPr>
      <w:rPr>
        <w:rFonts w:ascii="Symbol" w:hAnsi="Symbol" w:hint="default"/>
      </w:rPr>
    </w:lvl>
    <w:lvl w:ilvl="1" w:tplc="0C090017">
      <w:start w:val="1"/>
      <w:numFmt w:val="low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D5"/>
    <w:rsid w:val="000124E7"/>
    <w:rsid w:val="00033936"/>
    <w:rsid w:val="000412B3"/>
    <w:rsid w:val="00056439"/>
    <w:rsid w:val="000620EA"/>
    <w:rsid w:val="00064691"/>
    <w:rsid w:val="00073389"/>
    <w:rsid w:val="000910B1"/>
    <w:rsid w:val="00097A2A"/>
    <w:rsid w:val="000B1AC3"/>
    <w:rsid w:val="000D4546"/>
    <w:rsid w:val="000E6C5A"/>
    <w:rsid w:val="000F106F"/>
    <w:rsid w:val="00100916"/>
    <w:rsid w:val="00103684"/>
    <w:rsid w:val="0010618C"/>
    <w:rsid w:val="0010733E"/>
    <w:rsid w:val="00111244"/>
    <w:rsid w:val="00111550"/>
    <w:rsid w:val="00121B40"/>
    <w:rsid w:val="00142264"/>
    <w:rsid w:val="001732D0"/>
    <w:rsid w:val="0017502D"/>
    <w:rsid w:val="001754B4"/>
    <w:rsid w:val="00182863"/>
    <w:rsid w:val="001A3164"/>
    <w:rsid w:val="001A4319"/>
    <w:rsid w:val="001D5F3F"/>
    <w:rsid w:val="001E2E7A"/>
    <w:rsid w:val="001E533D"/>
    <w:rsid w:val="001E64C5"/>
    <w:rsid w:val="001E6579"/>
    <w:rsid w:val="001E72E4"/>
    <w:rsid w:val="00204522"/>
    <w:rsid w:val="002160C5"/>
    <w:rsid w:val="002212CE"/>
    <w:rsid w:val="00230055"/>
    <w:rsid w:val="00231F44"/>
    <w:rsid w:val="002427DA"/>
    <w:rsid w:val="00254383"/>
    <w:rsid w:val="00260EA3"/>
    <w:rsid w:val="00263D22"/>
    <w:rsid w:val="002662E7"/>
    <w:rsid w:val="0027249E"/>
    <w:rsid w:val="0028339E"/>
    <w:rsid w:val="002867F1"/>
    <w:rsid w:val="002D4555"/>
    <w:rsid w:val="002E2DF3"/>
    <w:rsid w:val="00304192"/>
    <w:rsid w:val="00316D33"/>
    <w:rsid w:val="00317424"/>
    <w:rsid w:val="003304E2"/>
    <w:rsid w:val="0034361D"/>
    <w:rsid w:val="0035184B"/>
    <w:rsid w:val="003562D1"/>
    <w:rsid w:val="00382B3B"/>
    <w:rsid w:val="00387CE4"/>
    <w:rsid w:val="00390B45"/>
    <w:rsid w:val="00394139"/>
    <w:rsid w:val="003A10C8"/>
    <w:rsid w:val="003A5085"/>
    <w:rsid w:val="003B0280"/>
    <w:rsid w:val="003C2DEB"/>
    <w:rsid w:val="003D34E8"/>
    <w:rsid w:val="00415033"/>
    <w:rsid w:val="0042115D"/>
    <w:rsid w:val="00431FA2"/>
    <w:rsid w:val="00441723"/>
    <w:rsid w:val="00443FB3"/>
    <w:rsid w:val="004509EA"/>
    <w:rsid w:val="00454403"/>
    <w:rsid w:val="00474013"/>
    <w:rsid w:val="00480B0F"/>
    <w:rsid w:val="004935AC"/>
    <w:rsid w:val="004947B8"/>
    <w:rsid w:val="004A51DA"/>
    <w:rsid w:val="004F2548"/>
    <w:rsid w:val="0050414D"/>
    <w:rsid w:val="005110C5"/>
    <w:rsid w:val="005343FE"/>
    <w:rsid w:val="0054431E"/>
    <w:rsid w:val="005771A1"/>
    <w:rsid w:val="005B1403"/>
    <w:rsid w:val="005C51EE"/>
    <w:rsid w:val="005D57FC"/>
    <w:rsid w:val="005E2358"/>
    <w:rsid w:val="005E2CDE"/>
    <w:rsid w:val="005E52DD"/>
    <w:rsid w:val="005F27EC"/>
    <w:rsid w:val="005F65CE"/>
    <w:rsid w:val="00610268"/>
    <w:rsid w:val="00617752"/>
    <w:rsid w:val="0062219E"/>
    <w:rsid w:val="006508C8"/>
    <w:rsid w:val="00651DE5"/>
    <w:rsid w:val="00677323"/>
    <w:rsid w:val="006825CC"/>
    <w:rsid w:val="006A41EC"/>
    <w:rsid w:val="006C1881"/>
    <w:rsid w:val="006C508D"/>
    <w:rsid w:val="006F4DE5"/>
    <w:rsid w:val="0070110F"/>
    <w:rsid w:val="00701AAE"/>
    <w:rsid w:val="00710F50"/>
    <w:rsid w:val="007230A8"/>
    <w:rsid w:val="00725679"/>
    <w:rsid w:val="00727ACB"/>
    <w:rsid w:val="007326AE"/>
    <w:rsid w:val="007340F2"/>
    <w:rsid w:val="00736CF4"/>
    <w:rsid w:val="00737E6C"/>
    <w:rsid w:val="00743AEE"/>
    <w:rsid w:val="007551A4"/>
    <w:rsid w:val="007778D4"/>
    <w:rsid w:val="00780847"/>
    <w:rsid w:val="007A0526"/>
    <w:rsid w:val="007A4D10"/>
    <w:rsid w:val="007B2AAC"/>
    <w:rsid w:val="007B7A8E"/>
    <w:rsid w:val="007C58A3"/>
    <w:rsid w:val="007C738D"/>
    <w:rsid w:val="007D38CA"/>
    <w:rsid w:val="007E6B8B"/>
    <w:rsid w:val="007F78C5"/>
    <w:rsid w:val="00802F3D"/>
    <w:rsid w:val="008036BC"/>
    <w:rsid w:val="00807F3C"/>
    <w:rsid w:val="00831F4B"/>
    <w:rsid w:val="008365CA"/>
    <w:rsid w:val="00836FE4"/>
    <w:rsid w:val="0085025B"/>
    <w:rsid w:val="00854003"/>
    <w:rsid w:val="0086038C"/>
    <w:rsid w:val="00871B5E"/>
    <w:rsid w:val="00874DA1"/>
    <w:rsid w:val="00877E44"/>
    <w:rsid w:val="008E1AEB"/>
    <w:rsid w:val="008E5F05"/>
    <w:rsid w:val="008F008D"/>
    <w:rsid w:val="008F3A25"/>
    <w:rsid w:val="009030D5"/>
    <w:rsid w:val="00916151"/>
    <w:rsid w:val="00953CE6"/>
    <w:rsid w:val="00973848"/>
    <w:rsid w:val="00974AEC"/>
    <w:rsid w:val="00994E55"/>
    <w:rsid w:val="009B0AD3"/>
    <w:rsid w:val="009D7640"/>
    <w:rsid w:val="009E6967"/>
    <w:rsid w:val="00A04142"/>
    <w:rsid w:val="00A042A8"/>
    <w:rsid w:val="00A20850"/>
    <w:rsid w:val="00A22C81"/>
    <w:rsid w:val="00A251B9"/>
    <w:rsid w:val="00A42A53"/>
    <w:rsid w:val="00A56486"/>
    <w:rsid w:val="00A70FB1"/>
    <w:rsid w:val="00A765F1"/>
    <w:rsid w:val="00A86E9B"/>
    <w:rsid w:val="00AB2EF9"/>
    <w:rsid w:val="00AC35B6"/>
    <w:rsid w:val="00AD0688"/>
    <w:rsid w:val="00AD2D9C"/>
    <w:rsid w:val="00AD32FA"/>
    <w:rsid w:val="00AD519B"/>
    <w:rsid w:val="00AE1D76"/>
    <w:rsid w:val="00AE2EEC"/>
    <w:rsid w:val="00B13C7E"/>
    <w:rsid w:val="00B54DAC"/>
    <w:rsid w:val="00B61CAF"/>
    <w:rsid w:val="00B74BF4"/>
    <w:rsid w:val="00B92530"/>
    <w:rsid w:val="00B971FB"/>
    <w:rsid w:val="00BA15C9"/>
    <w:rsid w:val="00BA4925"/>
    <w:rsid w:val="00BB679D"/>
    <w:rsid w:val="00BC61AE"/>
    <w:rsid w:val="00BC7DD1"/>
    <w:rsid w:val="00BD3A98"/>
    <w:rsid w:val="00BD7BD9"/>
    <w:rsid w:val="00BE0CAA"/>
    <w:rsid w:val="00BE39CD"/>
    <w:rsid w:val="00BF194D"/>
    <w:rsid w:val="00C20182"/>
    <w:rsid w:val="00C20D4A"/>
    <w:rsid w:val="00C20F40"/>
    <w:rsid w:val="00C23119"/>
    <w:rsid w:val="00C23F34"/>
    <w:rsid w:val="00C27742"/>
    <w:rsid w:val="00C577B3"/>
    <w:rsid w:val="00C600EC"/>
    <w:rsid w:val="00C60EFB"/>
    <w:rsid w:val="00C63043"/>
    <w:rsid w:val="00C64AEA"/>
    <w:rsid w:val="00C67684"/>
    <w:rsid w:val="00C8245E"/>
    <w:rsid w:val="00C835D7"/>
    <w:rsid w:val="00CA2456"/>
    <w:rsid w:val="00CB0B04"/>
    <w:rsid w:val="00CB4A62"/>
    <w:rsid w:val="00CD05CA"/>
    <w:rsid w:val="00CE7244"/>
    <w:rsid w:val="00D03D0B"/>
    <w:rsid w:val="00D11CB9"/>
    <w:rsid w:val="00D139D4"/>
    <w:rsid w:val="00D22639"/>
    <w:rsid w:val="00D3330B"/>
    <w:rsid w:val="00D34979"/>
    <w:rsid w:val="00D363A7"/>
    <w:rsid w:val="00D4167C"/>
    <w:rsid w:val="00D453B9"/>
    <w:rsid w:val="00D4768B"/>
    <w:rsid w:val="00D60C0C"/>
    <w:rsid w:val="00D62EFF"/>
    <w:rsid w:val="00D63D54"/>
    <w:rsid w:val="00D66222"/>
    <w:rsid w:val="00DA4D4A"/>
    <w:rsid w:val="00DA6CE8"/>
    <w:rsid w:val="00DB63F1"/>
    <w:rsid w:val="00DD07D0"/>
    <w:rsid w:val="00DD2680"/>
    <w:rsid w:val="00DD6603"/>
    <w:rsid w:val="00DE1BBA"/>
    <w:rsid w:val="00E043E6"/>
    <w:rsid w:val="00E072C5"/>
    <w:rsid w:val="00E150C8"/>
    <w:rsid w:val="00E262EE"/>
    <w:rsid w:val="00E2644C"/>
    <w:rsid w:val="00E5252D"/>
    <w:rsid w:val="00E52B3A"/>
    <w:rsid w:val="00E5562C"/>
    <w:rsid w:val="00E63082"/>
    <w:rsid w:val="00E907BE"/>
    <w:rsid w:val="00E908C5"/>
    <w:rsid w:val="00EC2AE2"/>
    <w:rsid w:val="00ED3679"/>
    <w:rsid w:val="00EE2CCF"/>
    <w:rsid w:val="00F04109"/>
    <w:rsid w:val="00F205F9"/>
    <w:rsid w:val="00F334AE"/>
    <w:rsid w:val="00F36BEA"/>
    <w:rsid w:val="00F37266"/>
    <w:rsid w:val="00F44DEC"/>
    <w:rsid w:val="00F62E9C"/>
    <w:rsid w:val="00F63700"/>
    <w:rsid w:val="00F81C41"/>
    <w:rsid w:val="00F81CFE"/>
    <w:rsid w:val="00F874FE"/>
    <w:rsid w:val="00F875C2"/>
    <w:rsid w:val="00F9253A"/>
    <w:rsid w:val="00FA7E28"/>
    <w:rsid w:val="00FD6D06"/>
    <w:rsid w:val="00FE50A0"/>
    <w:rsid w:val="00FF366B"/>
    <w:rsid w:val="00FF72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C9CF084-9AF6-4EA3-A8F7-60886308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874DA1"/>
    <w:pPr>
      <w:keepNext/>
      <w:spacing w:after="240" w:line="240" w:lineRule="auto"/>
      <w:outlineLvl w:val="0"/>
    </w:pPr>
    <w:rPr>
      <w:rFonts w:ascii="Verdana" w:eastAsia="Times New Roman" w:hAnsi="Verdana" w:cs="Times New Roman"/>
      <w:b/>
      <w:kern w:val="28"/>
      <w:sz w:val="32"/>
      <w:szCs w:val="20"/>
      <w:lang w:eastAsia="en-AU"/>
    </w:rPr>
  </w:style>
  <w:style w:type="paragraph" w:styleId="Heading2">
    <w:name w:val="heading 2"/>
    <w:basedOn w:val="Normal"/>
    <w:next w:val="Normal"/>
    <w:link w:val="Heading2Char"/>
    <w:uiPriority w:val="9"/>
    <w:semiHidden/>
    <w:unhideWhenUsed/>
    <w:qFormat/>
    <w:rsid w:val="003A50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74DA1"/>
    <w:rPr>
      <w:rFonts w:ascii="Verdana" w:eastAsia="Times New Roman" w:hAnsi="Verdana" w:cs="Times New Roman"/>
      <w:b/>
      <w:kern w:val="28"/>
      <w:sz w:val="32"/>
      <w:szCs w:val="20"/>
      <w:lang w:eastAsia="en-AU"/>
    </w:rPr>
  </w:style>
  <w:style w:type="paragraph" w:customStyle="1" w:styleId="subsection">
    <w:name w:val="subsection"/>
    <w:aliases w:val="ss"/>
    <w:basedOn w:val="Normal"/>
    <w:link w:val="subsectionChar"/>
    <w:rsid w:val="000D4546"/>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0D4546"/>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0D4546"/>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0D4546"/>
    <w:rPr>
      <w:rFonts w:ascii="Times New Roman" w:eastAsia="Times New Roman" w:hAnsi="Times New Roman" w:cs="Times New Roman"/>
      <w:szCs w:val="20"/>
      <w:lang w:eastAsia="en-AU"/>
    </w:rPr>
  </w:style>
  <w:style w:type="character" w:customStyle="1" w:styleId="subsectionChar">
    <w:name w:val="subsection Char"/>
    <w:aliases w:val="ss Char"/>
    <w:link w:val="subsection"/>
    <w:rsid w:val="000D4546"/>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5D57FC"/>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5D57FC"/>
  </w:style>
  <w:style w:type="paragraph" w:customStyle="1" w:styleId="SubsectionHead">
    <w:name w:val="SubsectionHead"/>
    <w:aliases w:val="ssh"/>
    <w:basedOn w:val="Normal"/>
    <w:next w:val="subsection"/>
    <w:rsid w:val="005D57FC"/>
    <w:pPr>
      <w:keepNext/>
      <w:keepLines/>
      <w:spacing w:before="240" w:after="0" w:line="240" w:lineRule="auto"/>
      <w:ind w:left="1134"/>
    </w:pPr>
    <w:rPr>
      <w:rFonts w:ascii="Times New Roman" w:eastAsia="Times New Roman" w:hAnsi="Times New Roman" w:cs="Times New Roman"/>
      <w:i/>
      <w:szCs w:val="20"/>
      <w:lang w:eastAsia="en-AU"/>
    </w:rPr>
  </w:style>
  <w:style w:type="paragraph" w:styleId="Header">
    <w:name w:val="header"/>
    <w:basedOn w:val="Normal"/>
    <w:link w:val="HeaderChar"/>
    <w:uiPriority w:val="99"/>
    <w:unhideWhenUsed/>
    <w:rsid w:val="009D7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640"/>
  </w:style>
  <w:style w:type="paragraph" w:styleId="Footer">
    <w:name w:val="footer"/>
    <w:basedOn w:val="Normal"/>
    <w:link w:val="FooterChar"/>
    <w:uiPriority w:val="99"/>
    <w:unhideWhenUsed/>
    <w:rsid w:val="009D7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640"/>
  </w:style>
  <w:style w:type="paragraph" w:styleId="BalloonText">
    <w:name w:val="Balloon Text"/>
    <w:basedOn w:val="Normal"/>
    <w:link w:val="BalloonTextChar"/>
    <w:uiPriority w:val="99"/>
    <w:semiHidden/>
    <w:unhideWhenUsed/>
    <w:rsid w:val="00DD2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680"/>
    <w:rPr>
      <w:rFonts w:ascii="Segoe UI" w:hAnsi="Segoe UI" w:cs="Segoe UI"/>
      <w:sz w:val="18"/>
      <w:szCs w:val="18"/>
    </w:rPr>
  </w:style>
  <w:style w:type="character" w:customStyle="1" w:styleId="Heading2Char">
    <w:name w:val="Heading 2 Char"/>
    <w:basedOn w:val="DefaultParagraphFont"/>
    <w:link w:val="Heading2"/>
    <w:uiPriority w:val="9"/>
    <w:semiHidden/>
    <w:rsid w:val="003A5085"/>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rsid w:val="003A5085"/>
    <w:rPr>
      <w:rFonts w:cs="Times New Roman"/>
      <w:color w:val="0000FF"/>
      <w:u w:val="single"/>
    </w:rPr>
  </w:style>
  <w:style w:type="paragraph" w:styleId="ListParagraph">
    <w:name w:val="List Paragraph"/>
    <w:basedOn w:val="Normal"/>
    <w:uiPriority w:val="34"/>
    <w:qFormat/>
    <w:rsid w:val="003A5085"/>
    <w:pPr>
      <w:spacing w:after="240" w:line="240" w:lineRule="auto"/>
      <w:ind w:left="720"/>
      <w:contextualSpacing/>
    </w:pPr>
    <w:rPr>
      <w:rFonts w:ascii="Times New Roman" w:eastAsia="Times New Roman" w:hAnsi="Times New Roman" w:cs="Times New Roman"/>
      <w:sz w:val="24"/>
      <w:szCs w:val="20"/>
      <w:lang w:eastAsia="en-AU"/>
    </w:rPr>
  </w:style>
  <w:style w:type="paragraph" w:styleId="ListNumber">
    <w:name w:val="List Number"/>
    <w:basedOn w:val="Normal"/>
    <w:uiPriority w:val="99"/>
    <w:qFormat/>
    <w:rsid w:val="003A5085"/>
    <w:pPr>
      <w:spacing w:after="200" w:line="276" w:lineRule="auto"/>
    </w:pPr>
    <w:rPr>
      <w:rFonts w:ascii="Arial" w:eastAsia="Calibri" w:hAnsi="Arial" w:cs="Times New Roman"/>
    </w:rPr>
  </w:style>
  <w:style w:type="character" w:styleId="CommentReference">
    <w:name w:val="annotation reference"/>
    <w:basedOn w:val="DefaultParagraphFont"/>
    <w:uiPriority w:val="99"/>
    <w:semiHidden/>
    <w:unhideWhenUsed/>
    <w:rsid w:val="00AD32FA"/>
    <w:rPr>
      <w:sz w:val="16"/>
      <w:szCs w:val="16"/>
    </w:rPr>
  </w:style>
  <w:style w:type="paragraph" w:styleId="CommentText">
    <w:name w:val="annotation text"/>
    <w:basedOn w:val="Normal"/>
    <w:link w:val="CommentTextChar"/>
    <w:uiPriority w:val="99"/>
    <w:semiHidden/>
    <w:unhideWhenUsed/>
    <w:rsid w:val="00AD32FA"/>
    <w:pPr>
      <w:spacing w:line="240" w:lineRule="auto"/>
    </w:pPr>
    <w:rPr>
      <w:sz w:val="20"/>
      <w:szCs w:val="20"/>
    </w:rPr>
  </w:style>
  <w:style w:type="character" w:customStyle="1" w:styleId="CommentTextChar">
    <w:name w:val="Comment Text Char"/>
    <w:basedOn w:val="DefaultParagraphFont"/>
    <w:link w:val="CommentText"/>
    <w:uiPriority w:val="99"/>
    <w:semiHidden/>
    <w:rsid w:val="00AD32FA"/>
    <w:rPr>
      <w:sz w:val="20"/>
      <w:szCs w:val="20"/>
    </w:rPr>
  </w:style>
  <w:style w:type="paragraph" w:styleId="CommentSubject">
    <w:name w:val="annotation subject"/>
    <w:basedOn w:val="CommentText"/>
    <w:next w:val="CommentText"/>
    <w:link w:val="CommentSubjectChar"/>
    <w:uiPriority w:val="99"/>
    <w:semiHidden/>
    <w:unhideWhenUsed/>
    <w:rsid w:val="00AD32FA"/>
    <w:rPr>
      <w:b/>
      <w:bCs/>
    </w:rPr>
  </w:style>
  <w:style w:type="character" w:customStyle="1" w:styleId="CommentSubjectChar">
    <w:name w:val="Comment Subject Char"/>
    <w:basedOn w:val="CommentTextChar"/>
    <w:link w:val="CommentSubject"/>
    <w:uiPriority w:val="99"/>
    <w:semiHidden/>
    <w:rsid w:val="00AD32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683797">
      <w:bodyDiv w:val="1"/>
      <w:marLeft w:val="0"/>
      <w:marRight w:val="0"/>
      <w:marTop w:val="0"/>
      <w:marBottom w:val="0"/>
      <w:divBdr>
        <w:top w:val="none" w:sz="0" w:space="0" w:color="auto"/>
        <w:left w:val="none" w:sz="0" w:space="0" w:color="auto"/>
        <w:bottom w:val="none" w:sz="0" w:space="0" w:color="auto"/>
        <w:right w:val="none" w:sz="0" w:space="0" w:color="auto"/>
      </w:divBdr>
    </w:div>
    <w:div w:id="869992923">
      <w:bodyDiv w:val="1"/>
      <w:marLeft w:val="0"/>
      <w:marRight w:val="0"/>
      <w:marTop w:val="0"/>
      <w:marBottom w:val="0"/>
      <w:divBdr>
        <w:top w:val="none" w:sz="0" w:space="0" w:color="auto"/>
        <w:left w:val="none" w:sz="0" w:space="0" w:color="auto"/>
        <w:bottom w:val="none" w:sz="0" w:space="0" w:color="auto"/>
        <w:right w:val="none" w:sz="0" w:space="0" w:color="auto"/>
      </w:divBdr>
    </w:div>
    <w:div w:id="113988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entureCapital@industry.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usiness.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Information paper on s9-4 decision making.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a4ca7698-9492-435d-8c80-0e92d5f30f1b</TermId>
        </TermInfo>
      </Terms>
    </pe2555c81638466f9eb614edb9ecde52>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Venture Capital</TermName>
          <TermId xmlns="http://schemas.microsoft.com/office/infopath/2007/PartnerControls">11f7abe5-e6ff-4e20-914b-eb6240e473e4</TermId>
        </TermInfo>
        <TermInfo xmlns="http://schemas.microsoft.com/office/infopath/2007/PartnerControls">
          <TermName xmlns="http://schemas.microsoft.com/office/infopath/2007/PartnerControls">ISA Board</TermName>
          <TermId xmlns="http://schemas.microsoft.com/office/infopath/2007/PartnerControls">1bacedf6-b69a-4914-a1c4-303b851637eb</TermId>
        </TermInfo>
        <TermInfo xmlns="http://schemas.microsoft.com/office/infopath/2007/PartnerControls">
          <TermName xmlns="http://schemas.microsoft.com/office/infopath/2007/PartnerControls">IIC</TermName>
          <TermId xmlns="http://schemas.microsoft.com/office/infopath/2007/PartnerControls">ebc95ecc-4141-4f35-af77-d505e6b22f98</TermId>
        </TermInfo>
      </Terms>
    </adb9bed2e36e4a93af574aeb444da63e>
    <TaxCatchAll xmlns="2a251b7e-61e4-4816-a71f-b295a9ad20fb">
      <Value>83</Value>
      <Value>1765</Value>
      <Value>406</Value>
      <Value>879</Value>
      <Value>13835</Value>
      <Value>3</Value>
      <Value>1411</Value>
    </TaxCatchAll>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YZXQVS7QACYM-679045184-170</_dlc_DocId>
    <_dlc_DocIdUrl xmlns="2a251b7e-61e4-4816-a71f-b295a9ad20fb">
      <Url>https://dochub/div/ausindustry/programmesprojectstaskforces/venturecapital/_layouts/15/DocIdRedir.aspx?ID=YZXQVS7QACYM-679045184-170</Url>
      <Description>YZXQVS7QACYM-679045184-170</Description>
    </_dlc_DocIdUrl>
    <o1116530bc244d4bbd793e6e47aad9f9 xmlns="2a251b7e-61e4-4816-a71f-b295a9ad20fb">
      <Terms xmlns="http://schemas.microsoft.com/office/infopath/2007/PartnerControls"/>
    </o1116530bc244d4bbd793e6e47aad9f9>
    <DocHub_ProjectGrantBenefitNo xmlns="2a251b7e-61e4-4816-a71f-b295a9ad20fb" xsi:nil="true"/>
    <i1b1d89ca1344d158659b406de327cce xmlns="2a251b7e-61e4-4816-a71f-b295a9ad20fb">
      <Terms xmlns="http://schemas.microsoft.com/office/infopath/2007/PartnerControls"/>
    </i1b1d89ca1344d158659b406de327c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EE22515F5B0340B0AF29FCD9B29DA1" ma:contentTypeVersion="19" ma:contentTypeDescription="Create a new document." ma:contentTypeScope="" ma:versionID="1ceed4133dac8097f01684a5f2ea00b3">
  <xsd:schema xmlns:xsd="http://www.w3.org/2001/XMLSchema" xmlns:xs="http://www.w3.org/2001/XMLSchema" xmlns:p="http://schemas.microsoft.com/office/2006/metadata/properties" xmlns:ns1="http://schemas.microsoft.com/sharepoint/v3" xmlns:ns2="2a251b7e-61e4-4816-a71f-b295a9ad20fb" xmlns:ns3="b3b2f4e5-2ec4-4f1f-99dd-9592e758b1a2" targetNamespace="http://schemas.microsoft.com/office/2006/metadata/properties" ma:root="true" ma:fieldsID="555c0213faee1006676ac60764065947" ns1:_="" ns2:_="" ns3:_="">
    <xsd:import namespace="http://schemas.microsoft.com/sharepoint/v3"/>
    <xsd:import namespace="2a251b7e-61e4-4816-a71f-b295a9ad20fb"/>
    <xsd:import namespace="b3b2f4e5-2ec4-4f1f-99dd-9592e758b1a2"/>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i1b1d89ca1344d158659b406de327cce" minOccurs="0"/>
                <xsd:element ref="ns2:o1116530bc244d4bbd793e6e47aad9f9" minOccurs="0"/>
                <xsd:element ref="ns2:DocHub_ProjectGrantBenefitNo"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i1b1d89ca1344d158659b406de327cce" ma:index="24" nillable="true" ma:taxonomy="true" ma:internalName="i1b1d89ca1344d158659b406de327cce" ma:taxonomyFieldName="DocHub_PhaseLifecycle" ma:displayName="Phase/Lifecycle" ma:indexed="true" ma:fieldId="{21b1d89c-a134-4d15-8659-b406de327cce}" ma:sspId="fb0313f7-9433-48c0-866e-9e0bbee59a50" ma:termSetId="f4d8ac1b-73e2-4426-9c84-b980c1719e78" ma:anchorId="00000000-0000-0000-0000-000000000000" ma:open="false" ma:isKeyword="false">
      <xsd:complexType>
        <xsd:sequence>
          <xsd:element ref="pc:Terms" minOccurs="0" maxOccurs="1"/>
        </xsd:sequence>
      </xsd:complexType>
    </xsd:element>
    <xsd:element name="o1116530bc244d4bbd793e6e47aad9f9" ma:index="26"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7" nillable="true" ma:displayName="Project (Grant/Benefit) No" ma:indexed="true" ma:internalName="DocHub_ProjectGrantBenefit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b2f4e5-2ec4-4f1f-99dd-9592e758b1a2"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9A358-0DAB-4230-A38F-2C8A5D8ACF6F}">
  <ds:schemaRefs>
    <ds:schemaRef ds:uri="http://schemas.microsoft.com/sharepoint/v3/contenttype/forms"/>
  </ds:schemaRefs>
</ds:datastoreItem>
</file>

<file path=customXml/itemProps2.xml><?xml version="1.0" encoding="utf-8"?>
<ds:datastoreItem xmlns:ds="http://schemas.openxmlformats.org/officeDocument/2006/customXml" ds:itemID="{AA38A4FB-6BA4-442C-AB91-810196261712}">
  <ds:schemaRefs>
    <ds:schemaRef ds:uri="http://schemas.microsoft.com/sharepoint/events"/>
  </ds:schemaRefs>
</ds:datastoreItem>
</file>

<file path=customXml/itemProps3.xml><?xml version="1.0" encoding="utf-8"?>
<ds:datastoreItem xmlns:ds="http://schemas.openxmlformats.org/officeDocument/2006/customXml" ds:itemID="{B4140D8A-65A4-41D3-9D8B-C27C3B82F982}">
  <ds:schemaRefs>
    <ds:schemaRef ds:uri="http://schemas.microsoft.com/office/2006/metadata/properties"/>
    <ds:schemaRef ds:uri="http://schemas.microsoft.com/sharepoint/v3"/>
    <ds:schemaRef ds:uri="http://purl.org/dc/terms/"/>
    <ds:schemaRef ds:uri="2a251b7e-61e4-4816-a71f-b295a9ad20fb"/>
    <ds:schemaRef ds:uri="b3b2f4e5-2ec4-4f1f-99dd-9592e758b1a2"/>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D0B8BFD-D2A9-4487-81AC-15CEE16CF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b3b2f4e5-2ec4-4f1f-99dd-9592e758b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80C926-B5CC-4BE8-B6AE-A4DC2348D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Martin</dc:creator>
  <cp:keywords/>
  <dc:description/>
  <cp:lastModifiedBy>Ng, Cecilia</cp:lastModifiedBy>
  <cp:revision>3</cp:revision>
  <cp:lastPrinted>2018-07-11T00:01:00Z</cp:lastPrinted>
  <dcterms:created xsi:type="dcterms:W3CDTF">2018-07-18T05:49:00Z</dcterms:created>
  <dcterms:modified xsi:type="dcterms:W3CDTF">2018-07-19T00:38:00Z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0x0101002BEE22515F5B0340B0AF29FCD9B29DA1</vt:lpwstr>
  </property>
  <property fmtid="{D5CDD505-2E9C-101B-9397-08002B2CF9AE}" pid="3" name="_dlc_DocIdItemGuid">
    <vt:lpwstr>00709d89-5dcc-40f4-b645-22ede2d74496</vt:lpwstr>
  </property>
  <property fmtid="{D5CDD505-2E9C-101B-9397-08002B2CF9AE}" pid="4" name="DocHub_Year">
    <vt:lpwstr>406;#2018|224abc7b-6f7e-4064-b773-6750976429b5</vt:lpwstr>
  </property>
  <property fmtid="{D5CDD505-2E9C-101B-9397-08002B2CF9AE}" pid="5" name="DocHub_DocumentType">
    <vt:lpwstr>1411;#Guide|a4ca7698-9492-435d-8c80-0e92d5f30f1b</vt:lpwstr>
  </property>
  <property fmtid="{D5CDD505-2E9C-101B-9397-08002B2CF9AE}" pid="6" name="DocHub_SecurityClassification">
    <vt:lpwstr>3;#UNCLASSIFIED|6106d03b-a1a0-4e30-9d91-d5e9fb4314f9</vt:lpwstr>
  </property>
  <property fmtid="{D5CDD505-2E9C-101B-9397-08002B2CF9AE}" pid="7" name="DocHub_Keywords">
    <vt:lpwstr>1765;#Venture Capital|11f7abe5-e6ff-4e20-914b-eb6240e473e4;#879;#ISA Board|1bacedf6-b69a-4914-a1c4-303b851637eb;#13835;#IIC|ebc95ecc-4141-4f35-af77-d505e6b22f98</vt:lpwstr>
  </property>
  <property fmtid="{D5CDD505-2E9C-101B-9397-08002B2CF9AE}" pid="8" name="DocHub_WorkActivity">
    <vt:lpwstr>83;#Programme Management|e917d196-d1dd-46ca-8880-b205532cede6</vt:lpwstr>
  </property>
  <property fmtid="{D5CDD505-2E9C-101B-9397-08002B2CF9AE}" pid="9" name="DocHub_PhaseLifecycle">
    <vt:lpwstr/>
  </property>
  <property fmtid="{D5CDD505-2E9C-101B-9397-08002B2CF9AE}" pid="10" name="DocHub_EntityCustomer">
    <vt:lpwstr/>
  </property>
</Properties>
</file>