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85AC76" w14:textId="7AAD85C5" w:rsidR="006709E4" w:rsidRPr="008A4320" w:rsidRDefault="00F22FD3" w:rsidP="00E96AA4">
      <w:pPr>
        <w:pStyle w:val="Heading1"/>
        <w:rPr>
          <w:rStyle w:val="SubtleEmphasis"/>
          <w:rFonts w:asciiTheme="majorHAnsi" w:hAnsiTheme="majorHAnsi"/>
          <w:i w:val="0"/>
          <w:iCs w:val="0"/>
          <w:color w:val="004059" w:themeColor="accent1" w:themeShade="BF"/>
        </w:rPr>
        <w:sectPr w:rsidR="006709E4" w:rsidRPr="008A4320" w:rsidSect="006709E4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276" w:right="851" w:bottom="851" w:left="851" w:header="567" w:footer="708" w:gutter="0"/>
          <w:cols w:space="708"/>
          <w:titlePg/>
          <w:docGrid w:linePitch="360"/>
        </w:sectPr>
      </w:pPr>
      <w:r>
        <w:t>BIOSECURITY ACT 2015</w:t>
      </w:r>
      <w:r w:rsidR="002A29A6">
        <w:t xml:space="preserve"> </w:t>
      </w:r>
    </w:p>
    <w:p w14:paraId="6E1C84C5" w14:textId="5A9E9A6C" w:rsidR="004F50A2" w:rsidRDefault="00DB36D6" w:rsidP="00EF7C0E">
      <w:pPr>
        <w:spacing w:after="0"/>
        <w:ind w:left="-284"/>
        <w:rPr>
          <w:rFonts w:ascii="Georgia" w:hAnsi="Georgia"/>
          <w:i/>
          <w:color w:val="808080" w:themeColor="background1" w:themeShade="80"/>
          <w:sz w:val="28"/>
          <w:szCs w:val="28"/>
          <w:lang w:val="en"/>
        </w:rPr>
      </w:pPr>
      <w:r>
        <w:rPr>
          <w:rFonts w:ascii="Georgia" w:hAnsi="Georgia"/>
          <w:i/>
          <w:color w:val="808080" w:themeColor="background1" w:themeShade="80"/>
          <w:sz w:val="28"/>
          <w:szCs w:val="28"/>
          <w:lang w:val="en"/>
        </w:rPr>
        <w:t>If you</w:t>
      </w:r>
      <w:r w:rsidR="00242A83">
        <w:rPr>
          <w:rFonts w:ascii="Georgia" w:hAnsi="Georgia"/>
          <w:i/>
          <w:color w:val="808080" w:themeColor="background1" w:themeShade="80"/>
          <w:sz w:val="28"/>
          <w:szCs w:val="28"/>
          <w:lang w:val="en"/>
        </w:rPr>
        <w:t>r</w:t>
      </w:r>
      <w:r>
        <w:rPr>
          <w:rFonts w:ascii="Georgia" w:hAnsi="Georgia"/>
          <w:i/>
          <w:color w:val="808080" w:themeColor="background1" w:themeShade="80"/>
          <w:sz w:val="28"/>
          <w:szCs w:val="28"/>
          <w:lang w:val="en"/>
        </w:rPr>
        <w:t xml:space="preserve"> project involves importing goods</w:t>
      </w:r>
      <w:r w:rsidR="00EA7B92">
        <w:rPr>
          <w:rFonts w:ascii="Georgia" w:hAnsi="Georgia"/>
          <w:i/>
          <w:color w:val="808080" w:themeColor="background1" w:themeShade="80"/>
          <w:sz w:val="28"/>
          <w:szCs w:val="28"/>
          <w:lang w:val="en"/>
        </w:rPr>
        <w:t>;</w:t>
      </w:r>
      <w:r>
        <w:rPr>
          <w:rFonts w:ascii="Georgia" w:hAnsi="Georgia"/>
          <w:i/>
          <w:color w:val="808080" w:themeColor="background1" w:themeShade="80"/>
          <w:sz w:val="28"/>
          <w:szCs w:val="28"/>
          <w:lang w:val="en"/>
        </w:rPr>
        <w:t xml:space="preserve"> or containers, vessels and aircraft</w:t>
      </w:r>
      <w:r w:rsidR="00B603AA">
        <w:rPr>
          <w:rFonts w:ascii="Georgia" w:hAnsi="Georgia"/>
          <w:i/>
          <w:color w:val="808080" w:themeColor="background1" w:themeShade="80"/>
          <w:sz w:val="28"/>
          <w:szCs w:val="28"/>
          <w:lang w:val="en"/>
        </w:rPr>
        <w:t xml:space="preserve"> entering</w:t>
      </w:r>
      <w:r w:rsidR="00043BAB">
        <w:rPr>
          <w:rFonts w:ascii="Georgia" w:hAnsi="Georgia"/>
          <w:i/>
          <w:color w:val="808080" w:themeColor="background1" w:themeShade="80"/>
          <w:sz w:val="28"/>
          <w:szCs w:val="28"/>
          <w:lang w:val="en"/>
        </w:rPr>
        <w:t xml:space="preserve"> Australian territory, you </w:t>
      </w:r>
      <w:r w:rsidR="00727A61">
        <w:rPr>
          <w:rFonts w:ascii="Georgia" w:hAnsi="Georgia"/>
          <w:i/>
          <w:color w:val="808080" w:themeColor="background1" w:themeShade="80"/>
          <w:sz w:val="28"/>
          <w:szCs w:val="28"/>
          <w:lang w:val="en"/>
        </w:rPr>
        <w:t xml:space="preserve">must </w:t>
      </w:r>
      <w:r w:rsidR="00867645">
        <w:rPr>
          <w:rFonts w:ascii="Georgia" w:hAnsi="Georgia"/>
          <w:i/>
          <w:color w:val="808080" w:themeColor="background1" w:themeShade="80"/>
          <w:sz w:val="28"/>
          <w:szCs w:val="28"/>
          <w:lang w:val="en"/>
        </w:rPr>
        <w:t xml:space="preserve">obtain </w:t>
      </w:r>
      <w:r w:rsidR="00043BAB">
        <w:rPr>
          <w:rFonts w:ascii="Georgia" w:hAnsi="Georgia"/>
          <w:i/>
          <w:color w:val="808080" w:themeColor="background1" w:themeShade="80"/>
          <w:sz w:val="28"/>
          <w:szCs w:val="28"/>
          <w:lang w:val="en"/>
        </w:rPr>
        <w:t>approval</w:t>
      </w:r>
      <w:r w:rsidR="00867645">
        <w:rPr>
          <w:rFonts w:ascii="Georgia" w:hAnsi="Georgia"/>
          <w:i/>
          <w:color w:val="808080" w:themeColor="background1" w:themeShade="80"/>
          <w:sz w:val="28"/>
          <w:szCs w:val="28"/>
          <w:lang w:val="en"/>
        </w:rPr>
        <w:t>s</w:t>
      </w:r>
      <w:r w:rsidR="00043BAB">
        <w:rPr>
          <w:rFonts w:ascii="Georgia" w:hAnsi="Georgia"/>
          <w:i/>
          <w:color w:val="808080" w:themeColor="background1" w:themeShade="80"/>
          <w:sz w:val="28"/>
          <w:szCs w:val="28"/>
          <w:lang w:val="en"/>
        </w:rPr>
        <w:t xml:space="preserve"> in accordance with</w:t>
      </w:r>
      <w:r w:rsidR="00867645">
        <w:rPr>
          <w:rFonts w:ascii="Georgia" w:hAnsi="Georgia"/>
          <w:i/>
          <w:color w:val="808080" w:themeColor="background1" w:themeShade="80"/>
          <w:sz w:val="28"/>
          <w:szCs w:val="28"/>
          <w:lang w:val="en"/>
        </w:rPr>
        <w:t xml:space="preserve"> this</w:t>
      </w:r>
      <w:r w:rsidR="00727A61">
        <w:rPr>
          <w:rFonts w:ascii="Georgia" w:hAnsi="Georgia"/>
          <w:i/>
          <w:color w:val="808080" w:themeColor="background1" w:themeShade="80"/>
          <w:sz w:val="28"/>
          <w:szCs w:val="28"/>
          <w:lang w:val="en"/>
        </w:rPr>
        <w:t xml:space="preserve"> Act.</w:t>
      </w:r>
    </w:p>
    <w:p w14:paraId="09634D10" w14:textId="77777777" w:rsidR="00DF5A84" w:rsidRPr="008A4320" w:rsidRDefault="00DF5A84" w:rsidP="00EF7C0E">
      <w:pPr>
        <w:spacing w:after="0"/>
        <w:ind w:left="-284"/>
        <w:rPr>
          <w:rFonts w:ascii="Georgia" w:hAnsi="Georgia"/>
          <w:i/>
          <w:color w:val="808080" w:themeColor="background1" w:themeShade="80"/>
          <w:sz w:val="28"/>
          <w:szCs w:val="28"/>
        </w:rPr>
        <w:sectPr w:rsidR="00DF5A84" w:rsidRPr="008A4320" w:rsidSect="00C10CAC">
          <w:footerReference w:type="default" r:id="rId17"/>
          <w:headerReference w:type="first" r:id="rId18"/>
          <w:footerReference w:type="first" r:id="rId19"/>
          <w:type w:val="continuous"/>
          <w:pgSz w:w="11906" w:h="16838" w:code="9"/>
          <w:pgMar w:top="2242" w:right="1138" w:bottom="1560" w:left="1138" w:header="142" w:footer="0" w:gutter="0"/>
          <w:cols w:space="720"/>
          <w:formProt w:val="0"/>
          <w:docGrid w:linePitch="360"/>
        </w:sectPr>
      </w:pPr>
    </w:p>
    <w:p w14:paraId="571E60F7" w14:textId="77777777" w:rsidR="00B82084" w:rsidRPr="00ED47A8" w:rsidRDefault="00B82084" w:rsidP="00DF5A84">
      <w:pPr>
        <w:pStyle w:val="Heading2"/>
        <w:spacing w:before="0" w:after="120"/>
      </w:pPr>
      <w:r w:rsidRPr="00ED47A8">
        <w:t>1.</w:t>
      </w:r>
      <w:r w:rsidRPr="00ED47A8">
        <w:tab/>
      </w:r>
      <w:r w:rsidR="008A4320" w:rsidRPr="00ED47A8">
        <w:t xml:space="preserve">What approvals </w:t>
      </w:r>
      <w:r w:rsidR="00C65765" w:rsidRPr="00ED47A8">
        <w:t>do I need?</w:t>
      </w:r>
    </w:p>
    <w:p w14:paraId="6D0C2554" w14:textId="20F0BE5F" w:rsidR="0056717A" w:rsidRDefault="00282EED" w:rsidP="00DF5A84">
      <w:pPr>
        <w:rPr>
          <w:rFonts w:eastAsiaTheme="minorEastAsia" w:cstheme="minorHAnsi"/>
        </w:rPr>
      </w:pPr>
      <w:r>
        <w:rPr>
          <w:rFonts w:eastAsiaTheme="minorEastAsia" w:cstheme="minorHAnsi"/>
        </w:rPr>
        <w:t>A</w:t>
      </w:r>
      <w:r w:rsidR="00581E25">
        <w:rPr>
          <w:rFonts w:eastAsiaTheme="minorEastAsia" w:cstheme="minorHAnsi"/>
        </w:rPr>
        <w:t>n import</w:t>
      </w:r>
      <w:r>
        <w:rPr>
          <w:rFonts w:eastAsiaTheme="minorEastAsia" w:cstheme="minorHAnsi"/>
        </w:rPr>
        <w:t xml:space="preserve"> permit </w:t>
      </w:r>
      <w:r w:rsidR="0056717A">
        <w:rPr>
          <w:rFonts w:eastAsiaTheme="minorEastAsia" w:cstheme="minorHAnsi"/>
        </w:rPr>
        <w:t>may be</w:t>
      </w:r>
      <w:r>
        <w:rPr>
          <w:rFonts w:eastAsiaTheme="minorEastAsia" w:cstheme="minorHAnsi"/>
        </w:rPr>
        <w:t xml:space="preserve"> required to </w:t>
      </w:r>
      <w:r w:rsidR="00C65765" w:rsidRPr="008A4320">
        <w:rPr>
          <w:rFonts w:eastAsiaTheme="minorEastAsia" w:cstheme="minorHAnsi"/>
        </w:rPr>
        <w:t xml:space="preserve">import </w:t>
      </w:r>
      <w:r w:rsidR="00AD230D">
        <w:rPr>
          <w:rFonts w:eastAsiaTheme="minorEastAsia" w:cstheme="minorHAnsi"/>
        </w:rPr>
        <w:t xml:space="preserve">goods </w:t>
      </w:r>
      <w:r w:rsidR="00C65765" w:rsidRPr="008A4320">
        <w:rPr>
          <w:rFonts w:eastAsiaTheme="minorEastAsia" w:cstheme="minorHAnsi"/>
        </w:rPr>
        <w:t>into Australia</w:t>
      </w:r>
      <w:r w:rsidR="00C65765">
        <w:rPr>
          <w:rFonts w:eastAsiaTheme="minorEastAsia" w:cstheme="minorHAnsi"/>
        </w:rPr>
        <w:t>.</w:t>
      </w:r>
      <w:r w:rsidR="0056717A">
        <w:rPr>
          <w:rFonts w:eastAsiaTheme="minorEastAsia" w:cstheme="minorHAnsi"/>
        </w:rPr>
        <w:t xml:space="preserve"> To determine if an import permit is required, or if alternative conditions apply to the goods, search the </w:t>
      </w:r>
      <w:r w:rsidR="0056717A" w:rsidRPr="00AD230D">
        <w:rPr>
          <w:rStyle w:val="IntenseEmphasis"/>
          <w:b w:val="0"/>
          <w:i w:val="0"/>
          <w:color w:val="auto"/>
        </w:rPr>
        <w:t>Department’s online</w:t>
      </w:r>
      <w:r w:rsidR="0056717A">
        <w:rPr>
          <w:rStyle w:val="IntenseEmphasis"/>
          <w:b w:val="0"/>
          <w:i w:val="0"/>
          <w:color w:val="auto"/>
        </w:rPr>
        <w:t xml:space="preserve"> </w:t>
      </w:r>
      <w:hyperlink r:id="rId20" w:tooltip="https://bicon.agriculture.gov.au/BiconWeb4.0/" w:history="1">
        <w:r w:rsidR="0056717A">
          <w:rPr>
            <w:rStyle w:val="Hyperlink"/>
          </w:rPr>
          <w:t>BICON portal</w:t>
        </w:r>
      </w:hyperlink>
      <w:r w:rsidR="0056717A">
        <w:rPr>
          <w:rStyle w:val="Hyperlink"/>
        </w:rPr>
        <w:t>.</w:t>
      </w:r>
    </w:p>
    <w:p w14:paraId="045D8465" w14:textId="36CDA1B4" w:rsidR="004F50A2" w:rsidRPr="00DF5A84" w:rsidRDefault="0056717A" w:rsidP="00DF5A84">
      <w:pPr>
        <w:rPr>
          <w:rFonts w:cstheme="minorHAnsi"/>
        </w:rPr>
      </w:pPr>
      <w:r>
        <w:rPr>
          <w:rFonts w:eastAsiaTheme="minorEastAsia" w:cstheme="minorHAnsi"/>
        </w:rPr>
        <w:t xml:space="preserve">Containers and </w:t>
      </w:r>
      <w:r w:rsidR="00EF7C0E">
        <w:rPr>
          <w:rFonts w:eastAsiaTheme="minorEastAsia" w:cstheme="minorHAnsi"/>
        </w:rPr>
        <w:t>conveyances</w:t>
      </w:r>
      <w:r>
        <w:rPr>
          <w:rFonts w:eastAsiaTheme="minorEastAsia" w:cstheme="minorHAnsi"/>
        </w:rPr>
        <w:t xml:space="preserve"> </w:t>
      </w:r>
      <w:r w:rsidR="00EF7C0E">
        <w:rPr>
          <w:rFonts w:eastAsiaTheme="minorEastAsia" w:cstheme="minorHAnsi"/>
        </w:rPr>
        <w:t>(vessels and aircrafts) must</w:t>
      </w:r>
      <w:r>
        <w:rPr>
          <w:rFonts w:eastAsiaTheme="minorEastAsia" w:cstheme="minorHAnsi"/>
        </w:rPr>
        <w:t xml:space="preserve"> meet </w:t>
      </w:r>
      <w:r w:rsidR="00EF7C0E">
        <w:rPr>
          <w:rFonts w:eastAsiaTheme="minorEastAsia" w:cstheme="minorHAnsi"/>
        </w:rPr>
        <w:t xml:space="preserve">specified </w:t>
      </w:r>
      <w:r>
        <w:rPr>
          <w:rFonts w:eastAsiaTheme="minorEastAsia" w:cstheme="minorHAnsi"/>
        </w:rPr>
        <w:t>requirements prior to import</w:t>
      </w:r>
      <w:r w:rsidR="00CC4A3C">
        <w:rPr>
          <w:rFonts w:eastAsiaTheme="minorEastAsia" w:cstheme="minorHAnsi"/>
        </w:rPr>
        <w:t>, such as</w:t>
      </w:r>
      <w:r>
        <w:rPr>
          <w:rFonts w:eastAsiaTheme="minorEastAsia" w:cstheme="minorHAnsi"/>
        </w:rPr>
        <w:t xml:space="preserve"> cleaning and </w:t>
      </w:r>
      <w:r w:rsidR="00CC4A3C">
        <w:rPr>
          <w:rFonts w:eastAsiaTheme="minorEastAsia" w:cstheme="minorHAnsi"/>
        </w:rPr>
        <w:t xml:space="preserve">pre-arrival </w:t>
      </w:r>
      <w:r>
        <w:rPr>
          <w:rFonts w:eastAsiaTheme="minorEastAsia" w:cstheme="minorHAnsi"/>
        </w:rPr>
        <w:t xml:space="preserve">reporting. </w:t>
      </w:r>
    </w:p>
    <w:p w14:paraId="12ACDA5B" w14:textId="03990408" w:rsidR="00581E25" w:rsidRDefault="00581E25" w:rsidP="00DF5A84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Goods entering Australian territory (12 nautical miles </w:t>
      </w:r>
      <w:r w:rsidR="00FF77C0">
        <w:rPr>
          <w:rFonts w:eastAsiaTheme="minorEastAsia" w:cstheme="minorHAnsi"/>
        </w:rPr>
        <w:t>from the Australian coastline</w:t>
      </w:r>
      <w:r>
        <w:rPr>
          <w:rFonts w:eastAsiaTheme="minorEastAsia" w:cstheme="minorHAnsi"/>
        </w:rPr>
        <w:t xml:space="preserve">) are automatically subject to biosecurity controls. </w:t>
      </w:r>
      <w:r w:rsidR="00EF7C0E">
        <w:rPr>
          <w:rFonts w:cstheme="minorHAnsi"/>
        </w:rPr>
        <w:t xml:space="preserve">All conveyances are required to arrive at </w:t>
      </w:r>
      <w:r w:rsidR="00EF7C0E" w:rsidRPr="00AD230D">
        <w:rPr>
          <w:rFonts w:cstheme="minorHAnsi"/>
        </w:rPr>
        <w:t xml:space="preserve">a </w:t>
      </w:r>
      <w:r w:rsidR="00EF7C0E" w:rsidRPr="00581E25">
        <w:rPr>
          <w:rFonts w:eastAsiaTheme="minorEastAsia" w:cstheme="minorHAnsi"/>
          <w:lang w:val="en"/>
        </w:rPr>
        <w:t>First Point of Entry</w:t>
      </w:r>
      <w:r w:rsidR="00EF7C0E">
        <w:rPr>
          <w:rStyle w:val="Hyperlink"/>
          <w:rFonts w:eastAsiaTheme="minorEastAsia" w:cstheme="minorHAnsi"/>
          <w:color w:val="auto"/>
          <w:u w:val="none"/>
          <w:lang w:val="en"/>
        </w:rPr>
        <w:t xml:space="preserve"> location when entering Australian territory</w:t>
      </w:r>
      <w:r w:rsidR="00EF7C0E" w:rsidRPr="00AD230D">
        <w:rPr>
          <w:rStyle w:val="Hyperlink"/>
          <w:rFonts w:eastAsiaTheme="minorEastAsia" w:cstheme="minorHAnsi"/>
          <w:color w:val="auto"/>
          <w:u w:val="none"/>
          <w:lang w:val="en"/>
        </w:rPr>
        <w:t xml:space="preserve"> </w:t>
      </w:r>
      <w:r w:rsidR="00EF7C0E">
        <w:rPr>
          <w:rFonts w:cstheme="minorHAnsi"/>
        </w:rPr>
        <w:t>unless</w:t>
      </w:r>
      <w:bookmarkStart w:id="1" w:name="_GoBack"/>
      <w:bookmarkEnd w:id="1"/>
      <w:r w:rsidR="00EF7C0E">
        <w:rPr>
          <w:rFonts w:cstheme="minorHAnsi"/>
        </w:rPr>
        <w:t xml:space="preserve"> an exemption is approved before arrival. </w:t>
      </w:r>
      <w:r w:rsidR="00EF7C0E">
        <w:rPr>
          <w:rFonts w:eastAsiaTheme="minorEastAsia" w:cstheme="minorHAnsi"/>
        </w:rPr>
        <w:t>Conveyances</w:t>
      </w:r>
      <w:r w:rsidR="00EF7C0E">
        <w:t xml:space="preserve"> </w:t>
      </w:r>
      <w:r w:rsidR="00B603AA">
        <w:t xml:space="preserve">which are exposed to </w:t>
      </w:r>
      <w:r w:rsidR="00B603AA">
        <w:rPr>
          <w:i/>
        </w:rPr>
        <w:t>any</w:t>
      </w:r>
      <w:r w:rsidR="00B603AA">
        <w:t xml:space="preserve"> other </w:t>
      </w:r>
      <w:r w:rsidR="00EF7C0E">
        <w:t>conveyance</w:t>
      </w:r>
      <w:r w:rsidR="00B603AA">
        <w:t xml:space="preserve"> outside of Australian territory are subject to biosecurity control, unless exempted.</w:t>
      </w:r>
    </w:p>
    <w:p w14:paraId="74077054" w14:textId="54920670" w:rsidR="00E96AA4" w:rsidRPr="00DF5A84" w:rsidRDefault="00B86CCA" w:rsidP="00DF5A84">
      <w:pPr>
        <w:rPr>
          <w:rFonts w:eastAsiaTheme="minorEastAsia" w:cstheme="minorHAnsi"/>
          <w:color w:val="005677" w:themeColor="hyperlink"/>
          <w:u w:val="single"/>
        </w:rPr>
      </w:pPr>
      <w:r>
        <w:rPr>
          <w:rFonts w:eastAsiaTheme="minorEastAsia" w:cstheme="minorHAnsi"/>
        </w:rPr>
        <w:t xml:space="preserve">Vessels </w:t>
      </w:r>
      <w:r w:rsidR="00CC4A3C">
        <w:rPr>
          <w:rFonts w:eastAsiaTheme="minorEastAsia" w:cstheme="minorHAnsi"/>
        </w:rPr>
        <w:t xml:space="preserve">operating </w:t>
      </w:r>
      <w:r>
        <w:rPr>
          <w:rFonts w:eastAsiaTheme="minorEastAsia" w:cstheme="minorHAnsi"/>
        </w:rPr>
        <w:t xml:space="preserve">in Australian waters have obligations to manage ballast water under the </w:t>
      </w:r>
      <w:r>
        <w:rPr>
          <w:rFonts w:eastAsiaTheme="minorEastAsia" w:cstheme="minorHAnsi"/>
          <w:i/>
        </w:rPr>
        <w:t>Biosecurity Act 2015</w:t>
      </w:r>
      <w:r>
        <w:rPr>
          <w:rFonts w:eastAsiaTheme="minorEastAsia" w:cstheme="minorHAnsi"/>
        </w:rPr>
        <w:t xml:space="preserve"> and other related delegated legislation</w:t>
      </w:r>
      <w:r w:rsidR="00CC4A3C">
        <w:rPr>
          <w:rFonts w:eastAsiaTheme="minorEastAsia" w:cstheme="minorHAnsi"/>
        </w:rPr>
        <w:t>, such as</w:t>
      </w:r>
      <w:r w:rsidR="00361D5A">
        <w:rPr>
          <w:rFonts w:eastAsiaTheme="minorEastAsia" w:cstheme="minorHAnsi"/>
        </w:rPr>
        <w:t xml:space="preserve"> carrying a ballast water management plan</w:t>
      </w:r>
      <w:r w:rsidR="00EF7C0E">
        <w:rPr>
          <w:rFonts w:eastAsiaTheme="minorEastAsia" w:cstheme="minorHAnsi"/>
        </w:rPr>
        <w:t xml:space="preserve"> and</w:t>
      </w:r>
      <w:r w:rsidR="00361D5A">
        <w:rPr>
          <w:rFonts w:eastAsiaTheme="minorEastAsia" w:cstheme="minorHAnsi"/>
        </w:rPr>
        <w:t xml:space="preserve"> certificate and the maintenance of ballast water records.</w:t>
      </w:r>
      <w:r>
        <w:rPr>
          <w:rFonts w:eastAsiaTheme="minorEastAsia" w:cstheme="minorHAnsi"/>
        </w:rPr>
        <w:t xml:space="preserve"> </w:t>
      </w:r>
    </w:p>
    <w:p w14:paraId="5F526081" w14:textId="77777777" w:rsidR="00B82084" w:rsidRPr="00ED47A8" w:rsidRDefault="00B82084" w:rsidP="00DF5A84">
      <w:pPr>
        <w:pStyle w:val="Heading2"/>
        <w:spacing w:before="20" w:after="120"/>
      </w:pPr>
      <w:r w:rsidRPr="007A4CE8">
        <w:rPr>
          <w:rStyle w:val="IntenseEmphasis"/>
          <w:b/>
          <w:bCs/>
          <w:i w:val="0"/>
          <w:iCs w:val="0"/>
        </w:rPr>
        <w:t>2.</w:t>
      </w:r>
      <w:r w:rsidRPr="00ED47A8">
        <w:tab/>
      </w:r>
      <w:r w:rsidR="00C65765" w:rsidRPr="00ED47A8">
        <w:t>Who provides approvals?</w:t>
      </w:r>
    </w:p>
    <w:p w14:paraId="217A4146" w14:textId="58BBD6B3" w:rsidR="00ED47A8" w:rsidRPr="00E96AA4" w:rsidRDefault="00C65765" w:rsidP="00DF5A84">
      <w:r>
        <w:t>The Department of Agriculture</w:t>
      </w:r>
      <w:r w:rsidR="00450579">
        <w:t>,</w:t>
      </w:r>
      <w:r>
        <w:t xml:space="preserve"> Water </w:t>
      </w:r>
      <w:r w:rsidR="00450579">
        <w:t xml:space="preserve">and the Environment </w:t>
      </w:r>
      <w:r w:rsidR="00B50FC7">
        <w:t>(the Department)</w:t>
      </w:r>
      <w:r w:rsidR="00EA7B92">
        <w:t xml:space="preserve"> regulates imported goods,</w:t>
      </w:r>
      <w:r w:rsidR="0056717A">
        <w:t xml:space="preserve"> </w:t>
      </w:r>
      <w:r w:rsidR="00581E25">
        <w:t xml:space="preserve">containers and </w:t>
      </w:r>
      <w:r w:rsidR="000D6C11">
        <w:t>conveyances</w:t>
      </w:r>
      <w:r>
        <w:t xml:space="preserve"> under the</w:t>
      </w:r>
      <w:r w:rsidR="00F22FD3" w:rsidRPr="00F22FD3">
        <w:t xml:space="preserve"> </w:t>
      </w:r>
      <w:r w:rsidR="00F22FD3" w:rsidRPr="00F22FD3">
        <w:rPr>
          <w:i/>
        </w:rPr>
        <w:t>Biosecurity Act 2015</w:t>
      </w:r>
      <w:r w:rsidR="00EF7C0E">
        <w:rPr>
          <w:i/>
        </w:rPr>
        <w:t>,</w:t>
      </w:r>
      <w:r w:rsidR="00EF7C0E">
        <w:rPr>
          <w:iCs/>
        </w:rPr>
        <w:t xml:space="preserve"> which </w:t>
      </w:r>
      <w:r>
        <w:t>replaced the</w:t>
      </w:r>
      <w:r w:rsidR="00361D5A">
        <w:t xml:space="preserve"> </w:t>
      </w:r>
      <w:r w:rsidRPr="00F22FD3">
        <w:rPr>
          <w:i/>
        </w:rPr>
        <w:t>Quarantine Act 1908</w:t>
      </w:r>
      <w:r w:rsidRPr="00F22FD3">
        <w:t xml:space="preserve"> </w:t>
      </w:r>
      <w:r>
        <w:t>on 16 June 2016.</w:t>
      </w:r>
      <w:r w:rsidR="00361D5A">
        <w:br/>
      </w:r>
    </w:p>
    <w:p w14:paraId="764D269A" w14:textId="6A26EE33" w:rsidR="006A2CB1" w:rsidRPr="00ED47A8" w:rsidRDefault="00B82084" w:rsidP="00DF5A84">
      <w:pPr>
        <w:pStyle w:val="Heading2"/>
        <w:spacing w:before="20" w:after="120"/>
      </w:pPr>
      <w:r w:rsidRPr="00ED47A8">
        <w:t>3.</w:t>
      </w:r>
      <w:r w:rsidRPr="00ED47A8">
        <w:tab/>
      </w:r>
      <w:r w:rsidR="00C65765" w:rsidRPr="00ED47A8">
        <w:t xml:space="preserve">How </w:t>
      </w:r>
      <w:r w:rsidR="007B6B5D" w:rsidRPr="00ED47A8">
        <w:t>do I get Commonwealth approval</w:t>
      </w:r>
      <w:r w:rsidR="00C65765" w:rsidRPr="00ED47A8">
        <w:t>?</w:t>
      </w:r>
    </w:p>
    <w:p w14:paraId="0239EF67" w14:textId="32B2887B" w:rsidR="00B95E8C" w:rsidRPr="00DF5A84" w:rsidRDefault="00282EED" w:rsidP="00DF5A84">
      <w:pPr>
        <w:rPr>
          <w:rStyle w:val="IntenseEmphasis"/>
          <w:rFonts w:cstheme="minorHAnsi"/>
        </w:rPr>
      </w:pPr>
      <w:r w:rsidRPr="00282EED">
        <w:rPr>
          <w:rStyle w:val="IntenseEmphasis"/>
          <w:b w:val="0"/>
          <w:i w:val="0"/>
          <w:color w:val="auto"/>
        </w:rPr>
        <w:t>Guidelines</w:t>
      </w:r>
      <w:r w:rsidR="00195521" w:rsidRPr="00282EED">
        <w:rPr>
          <w:rStyle w:val="IntenseEmphasis"/>
          <w:b w:val="0"/>
          <w:i w:val="0"/>
          <w:color w:val="auto"/>
        </w:rPr>
        <w:t xml:space="preserve"> and applications</w:t>
      </w:r>
      <w:r w:rsidR="00AD230D">
        <w:rPr>
          <w:rStyle w:val="IntenseEmphasis"/>
          <w:b w:val="0"/>
          <w:i w:val="0"/>
          <w:color w:val="auto"/>
        </w:rPr>
        <w:t xml:space="preserve"> for import permits</w:t>
      </w:r>
      <w:r w:rsidR="00195521" w:rsidRPr="00282EED">
        <w:rPr>
          <w:rStyle w:val="IntenseEmphasis"/>
          <w:b w:val="0"/>
          <w:i w:val="0"/>
          <w:color w:val="auto"/>
        </w:rPr>
        <w:t xml:space="preserve"> are available </w:t>
      </w:r>
      <w:r w:rsidR="00AD230D">
        <w:rPr>
          <w:rStyle w:val="IntenseEmphasis"/>
          <w:b w:val="0"/>
          <w:i w:val="0"/>
          <w:color w:val="auto"/>
        </w:rPr>
        <w:t xml:space="preserve">on the </w:t>
      </w:r>
      <w:r w:rsidR="00195521" w:rsidRPr="00AD230D">
        <w:rPr>
          <w:rStyle w:val="IntenseEmphasis"/>
          <w:b w:val="0"/>
          <w:i w:val="0"/>
          <w:color w:val="auto"/>
        </w:rPr>
        <w:t>Department’s online</w:t>
      </w:r>
      <w:r w:rsidR="00E96AA4">
        <w:rPr>
          <w:rStyle w:val="IntenseEmphasis"/>
          <w:b w:val="0"/>
          <w:i w:val="0"/>
          <w:color w:val="auto"/>
        </w:rPr>
        <w:t xml:space="preserve"> </w:t>
      </w:r>
      <w:hyperlink r:id="rId21" w:tooltip="https://bicon.agriculture.gov.au/BiconWeb4.0/" w:history="1">
        <w:r w:rsidR="00E96AA4">
          <w:rPr>
            <w:rStyle w:val="Hyperlink"/>
          </w:rPr>
          <w:t>BICON portal</w:t>
        </w:r>
      </w:hyperlink>
      <w:r w:rsidR="00195521" w:rsidRPr="00AD230D">
        <w:rPr>
          <w:rStyle w:val="IntenseEmphasis"/>
          <w:b w:val="0"/>
          <w:i w:val="0"/>
          <w:color w:val="auto"/>
        </w:rPr>
        <w:t>.</w:t>
      </w:r>
    </w:p>
    <w:p w14:paraId="4CBC54EA" w14:textId="53374BEA" w:rsidR="0079221A" w:rsidRDefault="00282EED" w:rsidP="00DF5A84">
      <w:pPr>
        <w:rPr>
          <w:rStyle w:val="IntenseEmphasis"/>
          <w:b w:val="0"/>
          <w:i w:val="0"/>
          <w:color w:val="auto"/>
        </w:rPr>
      </w:pPr>
      <w:r>
        <w:rPr>
          <w:rStyle w:val="IntenseEmphasis"/>
          <w:b w:val="0"/>
          <w:i w:val="0"/>
          <w:color w:val="auto"/>
        </w:rPr>
        <w:t xml:space="preserve">Standard applications are usually processed within </w:t>
      </w:r>
      <w:r w:rsidR="00B976BD">
        <w:rPr>
          <w:rStyle w:val="IntenseEmphasis"/>
          <w:b w:val="0"/>
          <w:i w:val="0"/>
          <w:color w:val="auto"/>
        </w:rPr>
        <w:br/>
      </w:r>
      <w:r>
        <w:rPr>
          <w:rStyle w:val="IntenseEmphasis"/>
          <w:b w:val="0"/>
          <w:i w:val="0"/>
          <w:color w:val="auto"/>
        </w:rPr>
        <w:t>10-20 days. The</w:t>
      </w:r>
      <w:r w:rsidR="000E3EBE">
        <w:rPr>
          <w:rStyle w:val="IntenseEmphasis"/>
          <w:b w:val="0"/>
          <w:i w:val="0"/>
          <w:color w:val="auto"/>
        </w:rPr>
        <w:t xml:space="preserve"> Department has a maximum of </w:t>
      </w:r>
      <w:r w:rsidR="00B976BD">
        <w:rPr>
          <w:rStyle w:val="IntenseEmphasis"/>
          <w:b w:val="0"/>
          <w:i w:val="0"/>
          <w:color w:val="auto"/>
        </w:rPr>
        <w:br/>
        <w:t>six</w:t>
      </w:r>
      <w:r>
        <w:rPr>
          <w:rStyle w:val="IntenseEmphasis"/>
          <w:b w:val="0"/>
          <w:i w:val="0"/>
          <w:color w:val="auto"/>
        </w:rPr>
        <w:t xml:space="preserve"> months to </w:t>
      </w:r>
      <w:r w:rsidR="00867645">
        <w:rPr>
          <w:rStyle w:val="IntenseEmphasis"/>
          <w:b w:val="0"/>
          <w:i w:val="0"/>
          <w:color w:val="auto"/>
        </w:rPr>
        <w:t>process</w:t>
      </w:r>
      <w:r>
        <w:rPr>
          <w:rStyle w:val="IntenseEmphasis"/>
          <w:b w:val="0"/>
          <w:i w:val="0"/>
          <w:color w:val="auto"/>
        </w:rPr>
        <w:t xml:space="preserve"> applications.</w:t>
      </w:r>
    </w:p>
    <w:p w14:paraId="333F1915" w14:textId="126C5631" w:rsidR="0079221A" w:rsidRPr="00DF5A84" w:rsidRDefault="0079221A" w:rsidP="00DF5A84">
      <w:pPr>
        <w:rPr>
          <w:rFonts w:eastAsiaTheme="minorEastAsia" w:cstheme="minorHAnsi"/>
          <w:lang w:val="en"/>
        </w:rPr>
      </w:pPr>
      <w:r>
        <w:rPr>
          <w:rStyle w:val="IntenseEmphasis"/>
          <w:b w:val="0"/>
          <w:i w:val="0"/>
          <w:color w:val="auto"/>
        </w:rPr>
        <w:t xml:space="preserve">Guidelines and applications for non-First Point of Entry arrivals are available on the Department’s </w:t>
      </w:r>
      <w:hyperlink r:id="rId22" w:anchor="permission-to--land-imported--animals-plants-or-other-goods" w:history="1">
        <w:r w:rsidRPr="00891867">
          <w:rPr>
            <w:rStyle w:val="Hyperlink"/>
          </w:rPr>
          <w:t>website.</w:t>
        </w:r>
      </w:hyperlink>
      <w:r>
        <w:rPr>
          <w:rStyle w:val="IntenseEmphasis"/>
          <w:b w:val="0"/>
          <w:i w:val="0"/>
          <w:color w:val="auto"/>
        </w:rPr>
        <w:t xml:space="preserve"> </w:t>
      </w:r>
    </w:p>
    <w:p w14:paraId="4FDC4954" w14:textId="5F1D58A8" w:rsidR="00E96AA4" w:rsidRPr="00581E25" w:rsidRDefault="0079221A" w:rsidP="00DF5A84">
      <w:pPr>
        <w:rPr>
          <w:bCs/>
          <w:iCs/>
        </w:rPr>
      </w:pPr>
      <w:r>
        <w:rPr>
          <w:bCs/>
          <w:iCs/>
        </w:rPr>
        <w:t xml:space="preserve">Obligations in relation to the management of ballast water are outlined on the Department’s </w:t>
      </w:r>
      <w:hyperlink r:id="rId23" w:history="1">
        <w:r w:rsidRPr="00361D5A">
          <w:rPr>
            <w:rStyle w:val="Hyperlink"/>
            <w:bCs/>
            <w:iCs/>
          </w:rPr>
          <w:t>website</w:t>
        </w:r>
      </w:hyperlink>
      <w:r>
        <w:rPr>
          <w:bCs/>
          <w:iCs/>
        </w:rPr>
        <w:t>.</w:t>
      </w:r>
    </w:p>
    <w:p w14:paraId="0D46B8A3" w14:textId="77777777" w:rsidR="00DB36D6" w:rsidRPr="00E67FE7" w:rsidRDefault="00B82084" w:rsidP="00DF5A84">
      <w:pPr>
        <w:pStyle w:val="Heading2"/>
        <w:spacing w:before="20" w:after="120"/>
        <w:rPr>
          <w:rStyle w:val="IntenseEmphasis"/>
        </w:rPr>
      </w:pPr>
      <w:r w:rsidRPr="00E67FE7">
        <w:rPr>
          <w:rStyle w:val="IntenseEmphasis"/>
          <w:b/>
          <w:bCs/>
          <w:i w:val="0"/>
          <w:iCs w:val="0"/>
        </w:rPr>
        <w:t>4.</w:t>
      </w:r>
      <w:r w:rsidRPr="00E67FE7">
        <w:rPr>
          <w:rStyle w:val="IntenseEmphasis"/>
          <w:b/>
          <w:bCs/>
          <w:i w:val="0"/>
          <w:iCs w:val="0"/>
        </w:rPr>
        <w:tab/>
      </w:r>
      <w:r w:rsidR="006A2CB1" w:rsidRPr="00E67FE7">
        <w:rPr>
          <w:rStyle w:val="IntenseEmphasis"/>
          <w:b/>
          <w:bCs/>
          <w:i w:val="0"/>
          <w:iCs w:val="0"/>
        </w:rPr>
        <w:t xml:space="preserve">More </w:t>
      </w:r>
      <w:r w:rsidR="00C65765" w:rsidRPr="00E67FE7">
        <w:rPr>
          <w:rStyle w:val="IntenseEmphasis"/>
          <w:b/>
          <w:bCs/>
          <w:i w:val="0"/>
          <w:iCs w:val="0"/>
        </w:rPr>
        <w:t>information</w:t>
      </w:r>
    </w:p>
    <w:p w14:paraId="757C5625" w14:textId="77777777" w:rsidR="00ED47A8" w:rsidRDefault="00EA7B92" w:rsidP="00DF5A84">
      <w:pPr>
        <w:pStyle w:val="Heading3"/>
        <w:spacing w:before="120"/>
        <w:rPr>
          <w:bCs w:val="0"/>
        </w:rPr>
      </w:pPr>
      <w:r w:rsidRPr="00E67FE7">
        <w:rPr>
          <w:bCs w:val="0"/>
        </w:rPr>
        <w:t>Commonwealth</w:t>
      </w:r>
    </w:p>
    <w:p w14:paraId="01E7715D" w14:textId="109E9F5C" w:rsidR="00EA7B92" w:rsidRPr="00DF5A84" w:rsidRDefault="00EA7B92" w:rsidP="00DF5A84">
      <w:pPr>
        <w:rPr>
          <w:rStyle w:val="IntenseEmphasis"/>
          <w:b w:val="0"/>
          <w:bCs w:val="0"/>
          <w:i w:val="0"/>
          <w:iCs w:val="0"/>
          <w:color w:val="auto"/>
        </w:rPr>
      </w:pPr>
      <w:r w:rsidRPr="00ED47A8">
        <w:t xml:space="preserve">For more information, visit the agriculture.gov.au </w:t>
      </w:r>
      <w:hyperlink r:id="rId24" w:history="1">
        <w:r w:rsidRPr="00ED47A8">
          <w:rPr>
            <w:rStyle w:val="Hyperlink"/>
          </w:rPr>
          <w:t>website</w:t>
        </w:r>
      </w:hyperlink>
      <w:r w:rsidRPr="00ED47A8">
        <w:t xml:space="preserve"> or contact 1800 900 090</w:t>
      </w:r>
      <w:r w:rsidR="004E13B3">
        <w:t xml:space="preserve"> or +61 3 8318 6700 (from outside Australia).</w:t>
      </w:r>
    </w:p>
    <w:p w14:paraId="2C843AEC" w14:textId="77777777" w:rsidR="00EA7B92" w:rsidRPr="00DF5A84" w:rsidRDefault="00EA7B92" w:rsidP="00DF5A84">
      <w:pPr>
        <w:pStyle w:val="Heading3"/>
        <w:spacing w:before="120"/>
        <w:rPr>
          <w:bCs w:val="0"/>
        </w:rPr>
      </w:pPr>
      <w:r w:rsidRPr="00DF5A84">
        <w:rPr>
          <w:bCs w:val="0"/>
        </w:rPr>
        <w:t>Major Projects Facilitation Agency</w:t>
      </w:r>
    </w:p>
    <w:p w14:paraId="67D52C0D" w14:textId="77777777" w:rsidR="00EA7B92" w:rsidRDefault="00EA7B92" w:rsidP="00DF5A84">
      <w:pPr>
        <w:spacing w:before="20"/>
        <w:rPr>
          <w:rFonts w:cstheme="minorHAnsi"/>
        </w:rPr>
      </w:pPr>
      <w:r>
        <w:rPr>
          <w:rFonts w:cstheme="minorHAnsi"/>
        </w:rPr>
        <w:t xml:space="preserve">If you would like assistance to identify the regulatory obligations for your project, please visit our </w:t>
      </w:r>
      <w:hyperlink r:id="rId25" w:history="1">
        <w:r w:rsidRPr="00D57FC2">
          <w:rPr>
            <w:rStyle w:val="Hyperlink"/>
            <w:rFonts w:cstheme="minorHAnsi"/>
          </w:rPr>
          <w:t>Online Tool</w:t>
        </w:r>
      </w:hyperlink>
      <w:r>
        <w:rPr>
          <w:rFonts w:cstheme="minorHAnsi"/>
        </w:rPr>
        <w:t xml:space="preserve"> or contact us:</w:t>
      </w:r>
    </w:p>
    <w:p w14:paraId="091E737C" w14:textId="582CB304" w:rsidR="00410B4D" w:rsidRPr="00410B4D" w:rsidRDefault="00EA7B92" w:rsidP="00DF5A84">
      <w:pPr>
        <w:spacing w:before="20"/>
        <w:rPr>
          <w:color w:val="005677" w:themeColor="hyperlink"/>
          <w:u w:val="single"/>
        </w:rPr>
      </w:pPr>
      <w:r>
        <w:t>Email:</w:t>
      </w:r>
      <w:r>
        <w:tab/>
      </w:r>
      <w:r>
        <w:tab/>
      </w:r>
      <w:r w:rsidR="00283739" w:rsidRPr="00283739">
        <w:rPr>
          <w:rStyle w:val="Hyperlink"/>
        </w:rPr>
        <w:t>mpfa@industry.gov.au</w:t>
      </w:r>
    </w:p>
    <w:p w14:paraId="0C5F29D0" w14:textId="7CB6BA85" w:rsidR="00B82084" w:rsidRPr="00EA7B92" w:rsidRDefault="00B82084" w:rsidP="00410B4D">
      <w:pPr>
        <w:spacing w:before="20" w:after="20"/>
        <w:rPr>
          <w:rFonts w:cstheme="minorHAnsi"/>
          <w:b/>
          <w:bCs/>
          <w:iCs/>
        </w:rPr>
      </w:pPr>
    </w:p>
    <w:sectPr w:rsidR="00B82084" w:rsidRPr="00EA7B92" w:rsidSect="006709E4">
      <w:type w:val="continuous"/>
      <w:pgSz w:w="11906" w:h="16838"/>
      <w:pgMar w:top="1276" w:right="851" w:bottom="851" w:left="851" w:header="567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658980" w14:textId="77777777" w:rsidR="008409D3" w:rsidRDefault="008409D3" w:rsidP="00B526AB">
      <w:pPr>
        <w:spacing w:after="0"/>
      </w:pPr>
      <w:r>
        <w:separator/>
      </w:r>
    </w:p>
  </w:endnote>
  <w:endnote w:type="continuationSeparator" w:id="0">
    <w:p w14:paraId="405AE75D" w14:textId="77777777" w:rsidR="008409D3" w:rsidRDefault="008409D3" w:rsidP="00B526AB">
      <w:pPr>
        <w:spacing w:after="0"/>
      </w:pPr>
      <w:r>
        <w:continuationSeparator/>
      </w:r>
    </w:p>
  </w:endnote>
  <w:endnote w:type="continuationNotice" w:id="1">
    <w:p w14:paraId="674A7634" w14:textId="77777777" w:rsidR="008409D3" w:rsidRDefault="008409D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D5DC70" w14:textId="77777777" w:rsidR="00C10CAC" w:rsidRDefault="00C10CAC" w:rsidP="006B0076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7E768A54" w14:textId="77777777" w:rsidR="00C10CAC" w:rsidRDefault="00C10CAC" w:rsidP="006B007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75F626" w14:textId="77777777" w:rsidR="00C10CAC" w:rsidRPr="007B2AA7" w:rsidRDefault="00C10CAC" w:rsidP="006B0076">
    <w:pPr>
      <w:pStyle w:val="Footer"/>
      <w:framePr w:wrap="around" w:vAnchor="text" w:hAnchor="margin" w:y="1"/>
      <w:rPr>
        <w:rStyle w:val="PageNumber"/>
        <w:b/>
        <w:bCs/>
        <w:szCs w:val="16"/>
      </w:rPr>
    </w:pPr>
    <w:r w:rsidRPr="007B2AA7">
      <w:rPr>
        <w:rStyle w:val="PageNumber"/>
        <w:b/>
        <w:bCs/>
        <w:szCs w:val="16"/>
      </w:rPr>
      <w:fldChar w:fldCharType="begin"/>
    </w:r>
    <w:r w:rsidRPr="007B2AA7">
      <w:rPr>
        <w:rStyle w:val="PageNumber"/>
        <w:b/>
        <w:bCs/>
        <w:szCs w:val="16"/>
      </w:rPr>
      <w:instrText xml:space="preserve">PAGE  </w:instrText>
    </w:r>
    <w:r w:rsidRPr="007B2AA7">
      <w:rPr>
        <w:rStyle w:val="PageNumber"/>
        <w:b/>
        <w:bCs/>
        <w:szCs w:val="16"/>
      </w:rPr>
      <w:fldChar w:fldCharType="separate"/>
    </w:r>
    <w:r>
      <w:rPr>
        <w:rStyle w:val="PageNumber"/>
        <w:b/>
        <w:bCs/>
        <w:noProof/>
        <w:szCs w:val="16"/>
      </w:rPr>
      <w:t>2</w:t>
    </w:r>
    <w:r w:rsidRPr="007B2AA7">
      <w:rPr>
        <w:rStyle w:val="PageNumber"/>
        <w:b/>
        <w:bCs/>
        <w:szCs w:val="16"/>
      </w:rPr>
      <w:fldChar w:fldCharType="end"/>
    </w:r>
  </w:p>
  <w:p w14:paraId="3834B309" w14:textId="5BEF0559" w:rsidR="00C10CAC" w:rsidRDefault="00C10CAC" w:rsidP="00E96AA4">
    <w:pPr>
      <w:pStyle w:val="Footer"/>
      <w:ind w:left="284"/>
    </w:pPr>
    <w:r w:rsidRPr="0057207B">
      <w:t>This fact sheet provides general information and does not constitute legal advice. You should seek independent legal advice tailored to your individual circumstances.</w:t>
    </w:r>
    <w:r w:rsidR="00E96AA4">
      <w:t xml:space="preserve"> </w:t>
    </w:r>
    <w:hyperlink r:id="rId1" w:history="1">
      <w:r w:rsidRPr="008E1EE6">
        <w:rPr>
          <w:rStyle w:val="Hyperlink"/>
        </w:rPr>
        <w:t>contact@mpaa.gov.au</w:t>
      </w:r>
    </w:hyperlink>
    <w:r w:rsidRPr="0057207B">
      <w:t>23 December 2015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44C056" w14:textId="77777777" w:rsidR="00C10CAC" w:rsidRPr="0057207B" w:rsidRDefault="00C10CAC" w:rsidP="0057207B">
    <w:pPr>
      <w:pStyle w:val="Footer"/>
      <w:framePr w:wrap="around" w:vAnchor="text" w:hAnchor="margin" w:y="1"/>
      <w:rPr>
        <w:rStyle w:val="PageNumber"/>
        <w:b/>
        <w:bCs/>
        <w:szCs w:val="16"/>
      </w:rPr>
    </w:pPr>
  </w:p>
  <w:p w14:paraId="2E939D9A" w14:textId="77777777" w:rsidR="00C10CAC" w:rsidRDefault="00C10CAC" w:rsidP="0057207B">
    <w:pPr>
      <w:pStyle w:val="Footer"/>
      <w:ind w:left="284"/>
    </w:pPr>
    <w:r w:rsidRPr="0057207B">
      <w:t>This fact sheet provides general information and does not constitute legal advice. You should seek independent legal advice tailored to your individual circumstances.</w:t>
    </w:r>
    <w:r>
      <w:t xml:space="preserve"> The Major Projects Facilitation Agency (MPFA) assists Major Project Proponents to navigate the approvals process. The MPFA does not grant approvals, nor administer this Act or Regulations.</w:t>
    </w:r>
  </w:p>
  <w:p w14:paraId="7011E83F" w14:textId="1373543C" w:rsidR="00C10CAC" w:rsidRDefault="00283739" w:rsidP="007B2AA7">
    <w:pPr>
      <w:pStyle w:val="Footer"/>
      <w:tabs>
        <w:tab w:val="clear" w:pos="3969"/>
        <w:tab w:val="clear" w:pos="6804"/>
      </w:tabs>
      <w:ind w:left="284"/>
    </w:pPr>
    <w:hyperlink r:id="rId1" w:tooltip="www.business.gov.au/mpfa" w:history="1">
      <w:r w:rsidR="00CD30A2" w:rsidRPr="00D76F1E">
        <w:rPr>
          <w:rStyle w:val="Hyperlink"/>
        </w:rPr>
        <w:t>www.business.gov.au/mpfa</w:t>
      </w:r>
    </w:hyperlink>
    <w:r w:rsidR="00CD30A2">
      <w:t xml:space="preserve"> </w:t>
    </w:r>
    <w:r w:rsidR="00CD30A2">
      <w:tab/>
    </w:r>
    <w:r w:rsidR="00CD30A2">
      <w:tab/>
    </w:r>
    <w:r w:rsidR="00CD30A2">
      <w:tab/>
    </w:r>
    <w:r w:rsidR="00CD30A2">
      <w:tab/>
    </w:r>
    <w:r w:rsidR="00CD30A2">
      <w:tab/>
    </w:r>
    <w:r w:rsidR="00CD30A2">
      <w:tab/>
    </w:r>
    <w:r w:rsidR="00CD30A2">
      <w:tab/>
    </w:r>
    <w:r w:rsidR="00CD30A2">
      <w:tab/>
    </w:r>
    <w:r w:rsidR="00CD30A2">
      <w:tab/>
    </w:r>
    <w:r w:rsidR="00CD30A2">
      <w:tab/>
    </w:r>
    <w:r w:rsidRPr="00283739">
      <w:rPr>
        <w:rStyle w:val="Hyperlink"/>
      </w:rPr>
      <w:t>mpfa@industry.gov.au</w:t>
    </w:r>
    <w:r w:rsidR="00C10CAC">
      <w:tab/>
    </w:r>
    <w:r w:rsidR="00C10CAC">
      <w:tab/>
    </w:r>
    <w:r w:rsidR="00C10CAC">
      <w:tab/>
    </w:r>
    <w:r w:rsidR="00C10CAC">
      <w:tab/>
    </w:r>
    <w:r w:rsidR="00C10CAC">
      <w:tab/>
    </w:r>
    <w:r w:rsidR="00C10CAC">
      <w:tab/>
    </w:r>
    <w:r w:rsidR="00C10CAC">
      <w:tab/>
    </w:r>
    <w:r w:rsidR="00C10CAC">
      <w:tab/>
    </w:r>
    <w:r w:rsidR="00C10CAC">
      <w:tab/>
    </w:r>
    <w:r w:rsidR="00542295">
      <w:t>June 2021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2A4E43" w14:textId="5FD829F1" w:rsidR="00C10CAC" w:rsidRPr="00DE6949" w:rsidRDefault="00C10CAC" w:rsidP="00E96AA4">
    <w:pPr>
      <w:pStyle w:val="Footer"/>
      <w:ind w:left="284"/>
    </w:pPr>
    <w:r w:rsidRPr="0057207B">
      <w:t>This fact sheet provides general information and does not constitute legal advice. You should seek independent legal advice tailored to your individual circumstances.</w:t>
    </w:r>
    <w:r>
      <w:t xml:space="preserve"> The Major Project Approval Agency (MPAA) assists Major Project Proponents to navigate the approvals process, however the MPAA does not grant approvals, nor administer this Act or Regulations.</w:t>
    </w:r>
    <w:r w:rsidR="00E96AA4">
      <w:t xml:space="preserve"> </w:t>
    </w:r>
    <w:hyperlink r:id="rId1" w:history="1">
      <w:r w:rsidRPr="008E1EE6">
        <w:rPr>
          <w:rStyle w:val="Hyperlink"/>
        </w:rPr>
        <w:t>contact@mpaa.gov.au</w:t>
      </w:r>
    </w:hyperlink>
    <w:r>
      <w:t>01 July 2016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D13F2E" w14:textId="77777777" w:rsidR="00C10CAC" w:rsidRDefault="00283739" w:rsidP="00C10CAC">
    <w:pPr>
      <w:pStyle w:val="Footer"/>
      <w:tabs>
        <w:tab w:val="left" w:pos="4395"/>
        <w:tab w:val="left" w:pos="5103"/>
        <w:tab w:val="right" w:pos="9630"/>
      </w:tabs>
      <w:ind w:left="2835"/>
      <w:rPr>
        <w:szCs w:val="16"/>
      </w:rPr>
    </w:pPr>
    <w:hyperlink r:id="rId1" w:history="1">
      <w:r w:rsidR="00C10CAC" w:rsidRPr="00B30E8E">
        <w:rPr>
          <w:rStyle w:val="Hyperlink"/>
          <w:szCs w:val="16"/>
        </w:rPr>
        <w:t>tmpaa.gov.au</w:t>
      </w:r>
    </w:hyperlink>
    <w:r w:rsidR="00C10CAC">
      <w:rPr>
        <w:szCs w:val="16"/>
      </w:rPr>
      <w:t xml:space="preserve">       </w:t>
    </w:r>
    <w:r w:rsidR="00C10CAC">
      <w:rPr>
        <w:rStyle w:val="Hyperlink"/>
        <w:b/>
        <w:szCs w:val="16"/>
      </w:rPr>
      <w:t>13 28 46</w:t>
    </w:r>
    <w:r w:rsidR="00C10CAC">
      <w:rPr>
        <w:rStyle w:val="Hyperlink"/>
        <w:b/>
        <w:szCs w:val="16"/>
      </w:rPr>
      <w:tab/>
    </w:r>
    <w:hyperlink r:id="rId2" w:history="1">
      <w:r w:rsidR="00C10CAC" w:rsidRPr="00B30E8E">
        <w:rPr>
          <w:rStyle w:val="Hyperlink"/>
          <w:szCs w:val="16"/>
        </w:rPr>
        <w:t>hotline@tmpaa.gov.au</w:t>
      </w:r>
    </w:hyperlink>
    <w:r w:rsidR="00C10CAC">
      <w:rPr>
        <w:szCs w:val="16"/>
      </w:rPr>
      <w:tab/>
      <w:t>&lt;June 2014&gt;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2C9EB8" w14:textId="77777777" w:rsidR="008409D3" w:rsidRDefault="008409D3" w:rsidP="00B526AB">
      <w:pPr>
        <w:spacing w:after="0"/>
      </w:pPr>
      <w:r>
        <w:separator/>
      </w:r>
    </w:p>
  </w:footnote>
  <w:footnote w:type="continuationSeparator" w:id="0">
    <w:p w14:paraId="0BE3C1F1" w14:textId="77777777" w:rsidR="008409D3" w:rsidRDefault="008409D3" w:rsidP="00B526AB">
      <w:pPr>
        <w:spacing w:after="0"/>
      </w:pPr>
      <w:r>
        <w:continuationSeparator/>
      </w:r>
    </w:p>
  </w:footnote>
  <w:footnote w:type="continuationNotice" w:id="1">
    <w:p w14:paraId="335648C7" w14:textId="77777777" w:rsidR="008409D3" w:rsidRDefault="008409D3">
      <w:pPr>
        <w:spacing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03FE25" w14:textId="77777777" w:rsidR="00C10CAC" w:rsidRDefault="00C10CAC">
    <w:pPr>
      <w:pStyle w:val="Header"/>
    </w:pPr>
    <w:r>
      <w:rPr>
        <w:noProof/>
        <w:lang w:eastAsia="en-AU"/>
      </w:rPr>
      <w:drawing>
        <wp:inline distT="0" distB="0" distL="0" distR="0" wp14:anchorId="2DC08803" wp14:editId="1C7DC5D3">
          <wp:extent cx="6446520" cy="3236217"/>
          <wp:effectExtent l="0" t="0" r="0" b="2540"/>
          <wp:docPr id="10" name="Picture 10" descr="Major Pojects Facilitation Agency - Commonwelath Fact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AA_factsheet_Header_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6520" cy="32362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39B6AB" w14:textId="77777777" w:rsidR="00C10CAC" w:rsidRDefault="00C10CAC">
    <w:pPr>
      <w:pStyle w:val="Header"/>
    </w:pPr>
  </w:p>
  <w:p w14:paraId="7521A72B" w14:textId="77777777" w:rsidR="00C10CAC" w:rsidRDefault="00C10CAC">
    <w:pPr>
      <w:pStyle w:val="Header"/>
    </w:pPr>
  </w:p>
  <w:p w14:paraId="27170FCA" w14:textId="77777777" w:rsidR="00C10CAC" w:rsidRPr="002E7B61" w:rsidRDefault="00C10CAC" w:rsidP="002E7B61">
    <w:pPr>
      <w:pStyle w:val="Header"/>
      <w:spacing w:after="240"/>
      <w:rPr>
        <w:b/>
        <w:sz w:val="28"/>
        <w:szCs w:val="28"/>
      </w:rPr>
    </w:pPr>
    <w:r w:rsidRPr="002E7B61">
      <w:rPr>
        <w:b/>
        <w:sz w:val="28"/>
        <w:szCs w:val="28"/>
      </w:rPr>
      <w:t>BIOSECURITY ACT 2015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8193D0" w14:textId="77777777" w:rsidR="00C10CAC" w:rsidRDefault="00C10CAC">
    <w:pPr>
      <w:pStyle w:val="Header"/>
    </w:pPr>
    <w:r w:rsidRPr="00F27CA9">
      <w:rPr>
        <w:rFonts w:ascii="Calibri" w:eastAsia="Calibri" w:hAnsi="Calibri" w:cs="Times New Roman"/>
        <w:noProof/>
        <w:spacing w:val="0"/>
        <w:sz w:val="22"/>
        <w:szCs w:val="22"/>
        <w:lang w:eastAsia="en-AU"/>
      </w:rPr>
      <w:drawing>
        <wp:inline distT="0" distB="0" distL="0" distR="0" wp14:anchorId="6DAF84DC" wp14:editId="66A6A439">
          <wp:extent cx="6443345" cy="3242945"/>
          <wp:effectExtent l="0" t="0" r="0" b="0"/>
          <wp:docPr id="2" name="Picture 2" descr="Major Projects Facilitation Agency - Commonwelath Fact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3242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CursorPositionBM"/>
  <w:p w14:paraId="259EBF21" w14:textId="1882C363" w:rsidR="00C10CAC" w:rsidRDefault="00283739" w:rsidP="00C10CAC">
    <w:pPr>
      <w:pStyle w:val="Header"/>
    </w:pPr>
    <w:sdt>
      <w:sdtPr>
        <w:id w:val="-870069279"/>
        <w:docPartObj>
          <w:docPartGallery w:val="Watermarks"/>
          <w:docPartUnique/>
        </w:docPartObj>
      </w:sdtPr>
      <w:sdtEndPr/>
      <w:sdtContent>
        <w:r>
          <w:rPr>
            <w:noProof/>
            <w:lang w:val="en-US" w:eastAsia="zh-TW"/>
          </w:rPr>
          <w:pict w14:anchorId="79F1BABC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2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F36FD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E7CD5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82E9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B2EF1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D56CB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7456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F5899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F05DB2"/>
    <w:lvl w:ilvl="0">
      <w:start w:val="1"/>
      <w:numFmt w:val="bullet"/>
      <w:pStyle w:val="ListBullet2"/>
      <w:lvlText w:val=""/>
      <w:lvlJc w:val="left"/>
      <w:pPr>
        <w:ind w:left="644" w:hanging="360"/>
      </w:pPr>
      <w:rPr>
        <w:rFonts w:ascii="Symbol" w:hAnsi="Symbol" w:hint="default"/>
        <w:b/>
        <w:i w:val="0"/>
        <w:color w:val="005677" w:themeColor="accent1"/>
      </w:rPr>
    </w:lvl>
  </w:abstractNum>
  <w:abstractNum w:abstractNumId="8" w15:restartNumberingAfterBreak="0">
    <w:nsid w:val="FFFFFF88"/>
    <w:multiLevelType w:val="singleLevel"/>
    <w:tmpl w:val="AF6C71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31A1AA8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5677" w:themeColor="accent1"/>
      </w:rPr>
    </w:lvl>
  </w:abstractNum>
  <w:abstractNum w:abstractNumId="10" w15:restartNumberingAfterBreak="0">
    <w:nsid w:val="4115016B"/>
    <w:multiLevelType w:val="hybridMultilevel"/>
    <w:tmpl w:val="2E0A7DF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82F247B"/>
    <w:multiLevelType w:val="hybridMultilevel"/>
    <w:tmpl w:val="52C0E1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DD540E9"/>
    <w:multiLevelType w:val="hybridMultilevel"/>
    <w:tmpl w:val="C6C2A1C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284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B60"/>
    <w:rsid w:val="0000299C"/>
    <w:rsid w:val="000336EF"/>
    <w:rsid w:val="00042B24"/>
    <w:rsid w:val="00043BAB"/>
    <w:rsid w:val="00045A01"/>
    <w:rsid w:val="00063D16"/>
    <w:rsid w:val="0009760F"/>
    <w:rsid w:val="00097C27"/>
    <w:rsid w:val="000A72E6"/>
    <w:rsid w:val="000D6C11"/>
    <w:rsid w:val="000E18A8"/>
    <w:rsid w:val="000E3EBE"/>
    <w:rsid w:val="001101C4"/>
    <w:rsid w:val="00160B84"/>
    <w:rsid w:val="00163B54"/>
    <w:rsid w:val="001642E0"/>
    <w:rsid w:val="0018413F"/>
    <w:rsid w:val="00195521"/>
    <w:rsid w:val="001A25AE"/>
    <w:rsid w:val="001A2DC6"/>
    <w:rsid w:val="001E1D7B"/>
    <w:rsid w:val="002130E1"/>
    <w:rsid w:val="002300AC"/>
    <w:rsid w:val="00234374"/>
    <w:rsid w:val="00237A8F"/>
    <w:rsid w:val="00242A83"/>
    <w:rsid w:val="00244596"/>
    <w:rsid w:val="00254BC8"/>
    <w:rsid w:val="00263E00"/>
    <w:rsid w:val="0027105F"/>
    <w:rsid w:val="002713BD"/>
    <w:rsid w:val="00282EED"/>
    <w:rsid w:val="00283739"/>
    <w:rsid w:val="00285A25"/>
    <w:rsid w:val="0029546F"/>
    <w:rsid w:val="002A29A6"/>
    <w:rsid w:val="002B57BF"/>
    <w:rsid w:val="002D0715"/>
    <w:rsid w:val="002D3954"/>
    <w:rsid w:val="002D4E9F"/>
    <w:rsid w:val="002E14EA"/>
    <w:rsid w:val="002E1A13"/>
    <w:rsid w:val="002E201E"/>
    <w:rsid w:val="002E7B61"/>
    <w:rsid w:val="002F65AF"/>
    <w:rsid w:val="00304F04"/>
    <w:rsid w:val="003143A4"/>
    <w:rsid w:val="00361D5A"/>
    <w:rsid w:val="0038442D"/>
    <w:rsid w:val="003B2753"/>
    <w:rsid w:val="00402E42"/>
    <w:rsid w:val="00407ECA"/>
    <w:rsid w:val="00410B4D"/>
    <w:rsid w:val="004111E9"/>
    <w:rsid w:val="00411A68"/>
    <w:rsid w:val="00436B60"/>
    <w:rsid w:val="00450579"/>
    <w:rsid w:val="00452BA6"/>
    <w:rsid w:val="004A0043"/>
    <w:rsid w:val="004A4B96"/>
    <w:rsid w:val="004E13B3"/>
    <w:rsid w:val="004F50A2"/>
    <w:rsid w:val="00523023"/>
    <w:rsid w:val="00542295"/>
    <w:rsid w:val="005642F2"/>
    <w:rsid w:val="0056717A"/>
    <w:rsid w:val="0057207B"/>
    <w:rsid w:val="00581E25"/>
    <w:rsid w:val="00585806"/>
    <w:rsid w:val="005D0228"/>
    <w:rsid w:val="005F165F"/>
    <w:rsid w:val="005F1934"/>
    <w:rsid w:val="005F5E06"/>
    <w:rsid w:val="00602C92"/>
    <w:rsid w:val="006110C8"/>
    <w:rsid w:val="00612A48"/>
    <w:rsid w:val="00614C1B"/>
    <w:rsid w:val="006709E4"/>
    <w:rsid w:val="006A2CB1"/>
    <w:rsid w:val="006B0076"/>
    <w:rsid w:val="006C2852"/>
    <w:rsid w:val="006C2F68"/>
    <w:rsid w:val="006C7F6D"/>
    <w:rsid w:val="006D4B5A"/>
    <w:rsid w:val="006E1767"/>
    <w:rsid w:val="006E1B75"/>
    <w:rsid w:val="006E35D4"/>
    <w:rsid w:val="00723B30"/>
    <w:rsid w:val="00727A61"/>
    <w:rsid w:val="007723FA"/>
    <w:rsid w:val="00781C62"/>
    <w:rsid w:val="0079221A"/>
    <w:rsid w:val="007A496E"/>
    <w:rsid w:val="007A4CE8"/>
    <w:rsid w:val="007B2AA7"/>
    <w:rsid w:val="007B6B5D"/>
    <w:rsid w:val="007C04FA"/>
    <w:rsid w:val="007D6707"/>
    <w:rsid w:val="007D7AC4"/>
    <w:rsid w:val="0080309D"/>
    <w:rsid w:val="00822068"/>
    <w:rsid w:val="008409D3"/>
    <w:rsid w:val="00840ABC"/>
    <w:rsid w:val="00846B42"/>
    <w:rsid w:val="00850038"/>
    <w:rsid w:val="00857BE3"/>
    <w:rsid w:val="00867645"/>
    <w:rsid w:val="00882D44"/>
    <w:rsid w:val="0088639D"/>
    <w:rsid w:val="00891867"/>
    <w:rsid w:val="008A4320"/>
    <w:rsid w:val="008C7A8F"/>
    <w:rsid w:val="008F109B"/>
    <w:rsid w:val="0092552F"/>
    <w:rsid w:val="00925843"/>
    <w:rsid w:val="00930BBF"/>
    <w:rsid w:val="00956813"/>
    <w:rsid w:val="00960D9F"/>
    <w:rsid w:val="0096338F"/>
    <w:rsid w:val="00975726"/>
    <w:rsid w:val="009813CE"/>
    <w:rsid w:val="00991FDD"/>
    <w:rsid w:val="009A0EF0"/>
    <w:rsid w:val="009A4C2D"/>
    <w:rsid w:val="009D2066"/>
    <w:rsid w:val="009D7BB6"/>
    <w:rsid w:val="009E48DE"/>
    <w:rsid w:val="009E60D8"/>
    <w:rsid w:val="00A05F61"/>
    <w:rsid w:val="00A36F87"/>
    <w:rsid w:val="00A51E16"/>
    <w:rsid w:val="00A77875"/>
    <w:rsid w:val="00A85BA1"/>
    <w:rsid w:val="00A86A5B"/>
    <w:rsid w:val="00AD230D"/>
    <w:rsid w:val="00AE5300"/>
    <w:rsid w:val="00B50FC7"/>
    <w:rsid w:val="00B526AB"/>
    <w:rsid w:val="00B603AA"/>
    <w:rsid w:val="00B82084"/>
    <w:rsid w:val="00B85E52"/>
    <w:rsid w:val="00B86CCA"/>
    <w:rsid w:val="00B95E8C"/>
    <w:rsid w:val="00B976BD"/>
    <w:rsid w:val="00BC35FE"/>
    <w:rsid w:val="00BE3715"/>
    <w:rsid w:val="00BE7A9B"/>
    <w:rsid w:val="00C10CAC"/>
    <w:rsid w:val="00C22A5D"/>
    <w:rsid w:val="00C518D1"/>
    <w:rsid w:val="00C65765"/>
    <w:rsid w:val="00CA16F8"/>
    <w:rsid w:val="00CB2680"/>
    <w:rsid w:val="00CC4A3C"/>
    <w:rsid w:val="00CC7875"/>
    <w:rsid w:val="00CD30A2"/>
    <w:rsid w:val="00CD63C7"/>
    <w:rsid w:val="00D44506"/>
    <w:rsid w:val="00D44EFE"/>
    <w:rsid w:val="00D60951"/>
    <w:rsid w:val="00D711A2"/>
    <w:rsid w:val="00D87BC8"/>
    <w:rsid w:val="00DB36D6"/>
    <w:rsid w:val="00DE4A40"/>
    <w:rsid w:val="00DE6C5D"/>
    <w:rsid w:val="00DF5A84"/>
    <w:rsid w:val="00E068AF"/>
    <w:rsid w:val="00E14936"/>
    <w:rsid w:val="00E67FE7"/>
    <w:rsid w:val="00E72774"/>
    <w:rsid w:val="00E87583"/>
    <w:rsid w:val="00E96AA4"/>
    <w:rsid w:val="00EA7B92"/>
    <w:rsid w:val="00EB5A56"/>
    <w:rsid w:val="00EB61F7"/>
    <w:rsid w:val="00ED17D8"/>
    <w:rsid w:val="00ED47A8"/>
    <w:rsid w:val="00EF7C0E"/>
    <w:rsid w:val="00F02684"/>
    <w:rsid w:val="00F11C75"/>
    <w:rsid w:val="00F22FD3"/>
    <w:rsid w:val="00F25F29"/>
    <w:rsid w:val="00F27CA9"/>
    <w:rsid w:val="00F35A88"/>
    <w:rsid w:val="00FC70DE"/>
    <w:rsid w:val="00FD5DE8"/>
    <w:rsid w:val="00FD6B15"/>
    <w:rsid w:val="00FF4EA9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7C5EC6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207B"/>
    <w:pPr>
      <w:spacing w:after="120" w:line="240" w:lineRule="auto"/>
    </w:pPr>
    <w:rPr>
      <w:spacing w:val="-2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48DE"/>
    <w:pPr>
      <w:keepNext/>
      <w:keepLines/>
      <w:spacing w:before="360" w:after="240"/>
      <w:outlineLvl w:val="0"/>
    </w:pPr>
    <w:rPr>
      <w:rFonts w:ascii="Arial" w:eastAsiaTheme="majorEastAsia" w:hAnsi="Arial" w:cstheme="majorBidi"/>
      <w:b/>
      <w:bCs/>
      <w:color w:val="004059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4CE8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color w:val="005677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67FE7"/>
    <w:pPr>
      <w:keepNext/>
      <w:keepLines/>
      <w:spacing w:before="200" w:after="0"/>
      <w:outlineLvl w:val="2"/>
    </w:pPr>
    <w:rPr>
      <w:rFonts w:ascii="Arial" w:eastAsiaTheme="majorEastAsia" w:hAnsi="Arial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206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5677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2206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2A3B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572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E48DE"/>
    <w:rPr>
      <w:rFonts w:ascii="Arial" w:eastAsiaTheme="majorEastAsia" w:hAnsi="Arial" w:cstheme="majorBidi"/>
      <w:b/>
      <w:bCs/>
      <w:color w:val="004059"/>
      <w:spacing w:val="-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A4CE8"/>
    <w:rPr>
      <w:rFonts w:ascii="Arial" w:eastAsiaTheme="majorEastAsia" w:hAnsi="Arial" w:cstheme="majorBidi"/>
      <w:b/>
      <w:bCs/>
      <w:color w:val="005677" w:themeColor="accent1"/>
      <w:spacing w:val="-2"/>
      <w:sz w:val="20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FC70DE"/>
    <w:pPr>
      <w:spacing w:before="4480" w:after="480"/>
      <w:contextualSpacing/>
    </w:pPr>
    <w:rPr>
      <w:rFonts w:asciiTheme="majorHAnsi" w:eastAsiaTheme="majorEastAsia" w:hAnsiTheme="majorHAnsi" w:cstheme="majorBidi"/>
      <w:b/>
      <w:color w:val="2C2C2D" w:themeColor="text2" w:themeShade="80"/>
      <w:spacing w:val="5"/>
      <w:kern w:val="28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70DE"/>
    <w:rPr>
      <w:rFonts w:asciiTheme="majorHAnsi" w:eastAsiaTheme="majorEastAsia" w:hAnsiTheme="majorHAnsi" w:cstheme="majorBidi"/>
      <w:b/>
      <w:color w:val="2C2C2D" w:themeColor="text2" w:themeShade="80"/>
      <w:spacing w:val="5"/>
      <w:kern w:val="28"/>
      <w:sz w:val="6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1934"/>
    <w:pPr>
      <w:numPr>
        <w:ilvl w:val="1"/>
      </w:numPr>
    </w:pPr>
    <w:rPr>
      <w:rFonts w:asciiTheme="majorHAnsi" w:eastAsiaTheme="majorEastAsia" w:hAnsiTheme="majorHAnsi" w:cstheme="majorBidi"/>
      <w:iCs/>
      <w:color w:val="939598" w:themeColor="background2"/>
      <w:spacing w:val="15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F1934"/>
    <w:rPr>
      <w:rFonts w:asciiTheme="majorHAnsi" w:eastAsiaTheme="majorEastAsia" w:hAnsiTheme="majorHAnsi" w:cstheme="majorBidi"/>
      <w:iCs/>
      <w:color w:val="939598" w:themeColor="background2"/>
      <w:spacing w:val="15"/>
      <w:sz w:val="40"/>
      <w:szCs w:val="24"/>
    </w:rPr>
  </w:style>
  <w:style w:type="character" w:styleId="Emphasis">
    <w:name w:val="Emphasis"/>
    <w:basedOn w:val="DefaultParagraphFont"/>
    <w:uiPriority w:val="20"/>
    <w:qFormat/>
    <w:rsid w:val="00975726"/>
    <w:rPr>
      <w:i/>
      <w:iCs/>
    </w:rPr>
  </w:style>
  <w:style w:type="character" w:styleId="Strong">
    <w:name w:val="Strong"/>
    <w:basedOn w:val="DefaultParagraphFont"/>
    <w:uiPriority w:val="22"/>
    <w:qFormat/>
    <w:rsid w:val="00975726"/>
    <w:rPr>
      <w:b/>
      <w:bCs/>
    </w:rPr>
  </w:style>
  <w:style w:type="character" w:styleId="Hyperlink">
    <w:name w:val="Hyperlink"/>
    <w:basedOn w:val="DefaultParagraphFont"/>
    <w:uiPriority w:val="99"/>
    <w:unhideWhenUsed/>
    <w:rsid w:val="00822068"/>
    <w:rPr>
      <w:color w:val="005677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67FE7"/>
    <w:rPr>
      <w:rFonts w:ascii="Arial" w:eastAsiaTheme="majorEastAsia" w:hAnsi="Arial" w:cstheme="majorBidi"/>
      <w:b/>
      <w:bCs/>
      <w:color w:val="000000" w:themeColor="text1"/>
      <w:spacing w:val="-2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822068"/>
    <w:rPr>
      <w:rFonts w:asciiTheme="majorHAnsi" w:eastAsiaTheme="majorEastAsia" w:hAnsiTheme="majorHAnsi" w:cstheme="majorBidi"/>
      <w:b/>
      <w:bCs/>
      <w:i/>
      <w:iCs/>
      <w:color w:val="005677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822068"/>
    <w:rPr>
      <w:rFonts w:asciiTheme="majorHAnsi" w:eastAsiaTheme="majorEastAsia" w:hAnsiTheme="majorHAnsi" w:cstheme="majorBidi"/>
      <w:color w:val="002A3B" w:themeColor="accent1" w:themeShade="7F"/>
      <w:sz w:val="20"/>
    </w:rPr>
  </w:style>
  <w:style w:type="table" w:styleId="TableGrid">
    <w:name w:val="Table Grid"/>
    <w:basedOn w:val="TableNormal"/>
    <w:uiPriority w:val="59"/>
    <w:rsid w:val="00822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822068"/>
    <w:pPr>
      <w:spacing w:after="0" w:line="240" w:lineRule="auto"/>
    </w:pPr>
    <w:tblPr>
      <w:tblStyleRowBandSize w:val="1"/>
      <w:tblStyleColBandSize w:val="1"/>
      <w:tblBorders>
        <w:top w:val="single" w:sz="8" w:space="0" w:color="005677" w:themeColor="accent1"/>
        <w:left w:val="single" w:sz="8" w:space="0" w:color="005677" w:themeColor="accent1"/>
        <w:bottom w:val="single" w:sz="8" w:space="0" w:color="005677" w:themeColor="accent1"/>
        <w:right w:val="single" w:sz="8" w:space="0" w:color="0056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6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677" w:themeColor="accent1"/>
          <w:left w:val="single" w:sz="8" w:space="0" w:color="005677" w:themeColor="accent1"/>
          <w:bottom w:val="single" w:sz="8" w:space="0" w:color="005677" w:themeColor="accent1"/>
          <w:right w:val="single" w:sz="8" w:space="0" w:color="0056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677" w:themeColor="accent1"/>
          <w:left w:val="single" w:sz="8" w:space="0" w:color="005677" w:themeColor="accent1"/>
          <w:bottom w:val="single" w:sz="8" w:space="0" w:color="005677" w:themeColor="accent1"/>
          <w:right w:val="single" w:sz="8" w:space="0" w:color="005677" w:themeColor="accent1"/>
        </w:tcBorders>
      </w:tcPr>
    </w:tblStylePr>
    <w:tblStylePr w:type="band1Horz">
      <w:tblPr/>
      <w:tcPr>
        <w:tcBorders>
          <w:top w:val="single" w:sz="8" w:space="0" w:color="005677" w:themeColor="accent1"/>
          <w:left w:val="single" w:sz="8" w:space="0" w:color="005677" w:themeColor="accent1"/>
          <w:bottom w:val="single" w:sz="8" w:space="0" w:color="005677" w:themeColor="accent1"/>
          <w:right w:val="single" w:sz="8" w:space="0" w:color="005677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822068"/>
    <w:pPr>
      <w:spacing w:after="0" w:line="240" w:lineRule="auto"/>
    </w:pPr>
    <w:tblPr>
      <w:tblStyleRowBandSize w:val="1"/>
      <w:tblStyleColBandSize w:val="1"/>
      <w:tblBorders>
        <w:top w:val="single" w:sz="8" w:space="0" w:color="00283E" w:themeColor="accent2"/>
        <w:left w:val="single" w:sz="8" w:space="0" w:color="00283E" w:themeColor="accent2"/>
        <w:bottom w:val="single" w:sz="8" w:space="0" w:color="00283E" w:themeColor="accent2"/>
        <w:right w:val="single" w:sz="8" w:space="0" w:color="00283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283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283E" w:themeColor="accent2"/>
          <w:left w:val="single" w:sz="8" w:space="0" w:color="00283E" w:themeColor="accent2"/>
          <w:bottom w:val="single" w:sz="8" w:space="0" w:color="00283E" w:themeColor="accent2"/>
          <w:right w:val="single" w:sz="8" w:space="0" w:color="00283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283E" w:themeColor="accent2"/>
          <w:left w:val="single" w:sz="8" w:space="0" w:color="00283E" w:themeColor="accent2"/>
          <w:bottom w:val="single" w:sz="8" w:space="0" w:color="00283E" w:themeColor="accent2"/>
          <w:right w:val="single" w:sz="8" w:space="0" w:color="00283E" w:themeColor="accent2"/>
        </w:tcBorders>
      </w:tcPr>
    </w:tblStylePr>
    <w:tblStylePr w:type="band1Horz">
      <w:tblPr/>
      <w:tcPr>
        <w:tcBorders>
          <w:top w:val="single" w:sz="8" w:space="0" w:color="00283E" w:themeColor="accent2"/>
          <w:left w:val="single" w:sz="8" w:space="0" w:color="00283E" w:themeColor="accent2"/>
          <w:bottom w:val="single" w:sz="8" w:space="0" w:color="00283E" w:themeColor="accent2"/>
          <w:right w:val="single" w:sz="8" w:space="0" w:color="00283E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822068"/>
    <w:pPr>
      <w:spacing w:after="0" w:line="240" w:lineRule="auto"/>
    </w:pPr>
    <w:tblPr>
      <w:tblStyleRowBandSize w:val="1"/>
      <w:tblStyleColBandSize w:val="1"/>
      <w:tblBorders>
        <w:top w:val="single" w:sz="8" w:space="0" w:color="1B9590" w:themeColor="accent3"/>
        <w:left w:val="single" w:sz="8" w:space="0" w:color="1B9590" w:themeColor="accent3"/>
        <w:bottom w:val="single" w:sz="8" w:space="0" w:color="1B9590" w:themeColor="accent3"/>
        <w:right w:val="single" w:sz="8" w:space="0" w:color="1B959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959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9590" w:themeColor="accent3"/>
          <w:left w:val="single" w:sz="8" w:space="0" w:color="1B9590" w:themeColor="accent3"/>
          <w:bottom w:val="single" w:sz="8" w:space="0" w:color="1B9590" w:themeColor="accent3"/>
          <w:right w:val="single" w:sz="8" w:space="0" w:color="1B959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9590" w:themeColor="accent3"/>
          <w:left w:val="single" w:sz="8" w:space="0" w:color="1B9590" w:themeColor="accent3"/>
          <w:bottom w:val="single" w:sz="8" w:space="0" w:color="1B9590" w:themeColor="accent3"/>
          <w:right w:val="single" w:sz="8" w:space="0" w:color="1B9590" w:themeColor="accent3"/>
        </w:tcBorders>
      </w:tcPr>
    </w:tblStylePr>
    <w:tblStylePr w:type="band1Horz">
      <w:tblPr/>
      <w:tcPr>
        <w:tcBorders>
          <w:top w:val="single" w:sz="8" w:space="0" w:color="1B9590" w:themeColor="accent3"/>
          <w:left w:val="single" w:sz="8" w:space="0" w:color="1B9590" w:themeColor="accent3"/>
          <w:bottom w:val="single" w:sz="8" w:space="0" w:color="1B9590" w:themeColor="accent3"/>
          <w:right w:val="single" w:sz="8" w:space="0" w:color="1B9590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822068"/>
    <w:pPr>
      <w:spacing w:after="0" w:line="240" w:lineRule="auto"/>
    </w:pPr>
    <w:tblPr>
      <w:tblStyleRowBandSize w:val="1"/>
      <w:tblStyleColBandSize w:val="1"/>
      <w:tblBorders>
        <w:top w:val="single" w:sz="8" w:space="0" w:color="61C6C6" w:themeColor="accent4"/>
        <w:left w:val="single" w:sz="8" w:space="0" w:color="61C6C6" w:themeColor="accent4"/>
        <w:bottom w:val="single" w:sz="8" w:space="0" w:color="61C6C6" w:themeColor="accent4"/>
        <w:right w:val="single" w:sz="8" w:space="0" w:color="61C6C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C6C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C6C6" w:themeColor="accent4"/>
          <w:left w:val="single" w:sz="8" w:space="0" w:color="61C6C6" w:themeColor="accent4"/>
          <w:bottom w:val="single" w:sz="8" w:space="0" w:color="61C6C6" w:themeColor="accent4"/>
          <w:right w:val="single" w:sz="8" w:space="0" w:color="61C6C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C6C6" w:themeColor="accent4"/>
          <w:left w:val="single" w:sz="8" w:space="0" w:color="61C6C6" w:themeColor="accent4"/>
          <w:bottom w:val="single" w:sz="8" w:space="0" w:color="61C6C6" w:themeColor="accent4"/>
          <w:right w:val="single" w:sz="8" w:space="0" w:color="61C6C6" w:themeColor="accent4"/>
        </w:tcBorders>
      </w:tcPr>
    </w:tblStylePr>
    <w:tblStylePr w:type="band1Horz">
      <w:tblPr/>
      <w:tcPr>
        <w:tcBorders>
          <w:top w:val="single" w:sz="8" w:space="0" w:color="61C6C6" w:themeColor="accent4"/>
          <w:left w:val="single" w:sz="8" w:space="0" w:color="61C6C6" w:themeColor="accent4"/>
          <w:bottom w:val="single" w:sz="8" w:space="0" w:color="61C6C6" w:themeColor="accent4"/>
          <w:right w:val="single" w:sz="8" w:space="0" w:color="61C6C6" w:themeColor="accent4"/>
        </w:tcBorders>
      </w:tcPr>
    </w:tblStylePr>
  </w:style>
  <w:style w:type="table" w:customStyle="1" w:styleId="Style1">
    <w:name w:val="Style1"/>
    <w:basedOn w:val="TableNormal"/>
    <w:uiPriority w:val="99"/>
    <w:rsid w:val="002E14EA"/>
    <w:pPr>
      <w:spacing w:after="0" w:line="240" w:lineRule="auto"/>
    </w:pPr>
    <w:rPr>
      <w:rFonts w:ascii="Arial" w:hAnsi="Arial"/>
      <w:color w:val="000000" w:themeColor="text1"/>
      <w:sz w:val="20"/>
    </w:rPr>
    <w:tblPr>
      <w:tblBorders>
        <w:bottom w:val="single" w:sz="2" w:space="0" w:color="005677" w:themeColor="accent1"/>
        <w:insideH w:val="single" w:sz="2" w:space="0" w:color="005677" w:themeColor="accent1"/>
      </w:tblBorders>
      <w:tblCellMar>
        <w:top w:w="85" w:type="dxa"/>
        <w:bottom w:w="85" w:type="dxa"/>
      </w:tblCellMar>
    </w:tblPr>
    <w:tcPr>
      <w:shd w:val="clear" w:color="auto" w:fill="auto"/>
      <w:vAlign w:val="center"/>
    </w:tcPr>
    <w:tblStylePr w:type="firstRow">
      <w:pPr>
        <w:jc w:val="left"/>
      </w:pPr>
      <w:rPr>
        <w:rFonts w:ascii="Arial" w:hAnsi="Arial"/>
        <w:b/>
        <w:color w:val="FFFFFF" w:themeColor="background1"/>
        <w:sz w:val="20"/>
      </w:rPr>
      <w:tblPr/>
      <w:tcPr>
        <w:shd w:val="clear" w:color="auto" w:fill="005677" w:themeFill="accent1"/>
      </w:tcPr>
    </w:tblStylePr>
    <w:tblStylePr w:type="lastRow">
      <w:pPr>
        <w:jc w:val="left"/>
      </w:pPr>
      <w:rPr>
        <w:rFonts w:ascii="Arial" w:hAnsi="Arial"/>
        <w:b/>
      </w:rPr>
    </w:tblStylePr>
    <w:tblStylePr w:type="firstCol">
      <w:rPr>
        <w:b/>
      </w:r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CB2680"/>
    <w:pPr>
      <w:spacing w:before="0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63B54"/>
    <w:pPr>
      <w:spacing w:after="100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63B54"/>
    <w:pPr>
      <w:spacing w:after="100"/>
      <w:ind w:left="200"/>
    </w:pPr>
    <w:rPr>
      <w:color w:val="58595B" w:themeColor="text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E14EA"/>
    <w:pPr>
      <w:spacing w:after="100"/>
      <w:ind w:left="4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14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4EA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9D7BB6"/>
    <w:pPr>
      <w:numPr>
        <w:numId w:val="1"/>
      </w:numPr>
      <w:ind w:left="284" w:hanging="284"/>
      <w:contextualSpacing/>
    </w:pPr>
  </w:style>
  <w:style w:type="paragraph" w:styleId="ListBullet2">
    <w:name w:val="List Bullet 2"/>
    <w:basedOn w:val="Normal"/>
    <w:uiPriority w:val="99"/>
    <w:unhideWhenUsed/>
    <w:rsid w:val="002F65AF"/>
    <w:pPr>
      <w:numPr>
        <w:numId w:val="2"/>
      </w:numPr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D7BB6"/>
    <w:pPr>
      <w:pBdr>
        <w:top w:val="single" w:sz="4" w:space="1" w:color="1B9590" w:themeColor="accent3"/>
        <w:bottom w:val="single" w:sz="4" w:space="1" w:color="1B9590" w:themeColor="accent3"/>
      </w:pBdr>
      <w:spacing w:before="240" w:after="240"/>
    </w:pPr>
    <w:rPr>
      <w:i/>
      <w:iCs/>
      <w:color w:val="005677" w:themeColor="accent1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9D7BB6"/>
    <w:rPr>
      <w:i/>
      <w:iCs/>
      <w:color w:val="005677" w:themeColor="accent1"/>
      <w:sz w:val="24"/>
    </w:rPr>
  </w:style>
  <w:style w:type="character" w:styleId="SubtleEmphasis">
    <w:name w:val="Subtle Emphasis"/>
    <w:basedOn w:val="DefaultParagraphFont"/>
    <w:uiPriority w:val="19"/>
    <w:rsid w:val="008C7A8F"/>
    <w:rPr>
      <w:rFonts w:ascii="Georgia" w:hAnsi="Georgia"/>
      <w:b w:val="0"/>
      <w:i/>
      <w:iCs/>
      <w:color w:val="808080" w:themeColor="text1" w:themeTint="7F"/>
      <w:sz w:val="28"/>
    </w:rPr>
  </w:style>
  <w:style w:type="character" w:styleId="IntenseEmphasis">
    <w:name w:val="Intense Emphasis"/>
    <w:basedOn w:val="DefaultParagraphFont"/>
    <w:uiPriority w:val="21"/>
    <w:qFormat/>
    <w:rsid w:val="005D0228"/>
    <w:rPr>
      <w:b/>
      <w:bCs/>
      <w:i/>
      <w:iCs/>
      <w:color w:val="005677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B526AB"/>
    <w:pPr>
      <w:spacing w:after="360"/>
    </w:pPr>
    <w:rPr>
      <w:bCs/>
      <w:color w:val="005677" w:themeColor="accent1"/>
      <w:sz w:val="18"/>
      <w:szCs w:val="18"/>
    </w:rPr>
  </w:style>
  <w:style w:type="character" w:customStyle="1" w:styleId="Tabletitle">
    <w:name w:val="Table title"/>
    <w:basedOn w:val="DefaultParagraphFont"/>
    <w:uiPriority w:val="1"/>
    <w:qFormat/>
    <w:rsid w:val="00D87BC8"/>
    <w:rPr>
      <w:b/>
      <w:color w:val="005677" w:themeColor="accent1"/>
    </w:rPr>
  </w:style>
  <w:style w:type="character" w:customStyle="1" w:styleId="Figuretitle">
    <w:name w:val="Figure title"/>
    <w:basedOn w:val="Tabletitle"/>
    <w:uiPriority w:val="1"/>
    <w:qFormat/>
    <w:rsid w:val="00D87BC8"/>
    <w:rPr>
      <w:b/>
      <w:color w:val="005677" w:themeColor="accent1"/>
    </w:rPr>
  </w:style>
  <w:style w:type="paragraph" w:customStyle="1" w:styleId="Credit">
    <w:name w:val="Credit"/>
    <w:basedOn w:val="Caption"/>
    <w:qFormat/>
    <w:rsid w:val="00A51E16"/>
    <w:rPr>
      <w:color w:val="58595B" w:themeColor="text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526AB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26A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526A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B526AB"/>
    <w:pPr>
      <w:spacing w:after="6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26AB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526AB"/>
    <w:rPr>
      <w:vertAlign w:val="superscript"/>
    </w:rPr>
  </w:style>
  <w:style w:type="paragraph" w:customStyle="1" w:styleId="Casestudy">
    <w:name w:val="Case study"/>
    <w:basedOn w:val="Normal"/>
    <w:qFormat/>
    <w:rsid w:val="00244596"/>
    <w:pPr>
      <w:pBdr>
        <w:top w:val="single" w:sz="4" w:space="4" w:color="00283E" w:themeColor="accent2"/>
        <w:left w:val="single" w:sz="4" w:space="4" w:color="00283E" w:themeColor="accent2"/>
        <w:bottom w:val="single" w:sz="4" w:space="4" w:color="00283E" w:themeColor="accent2"/>
        <w:right w:val="single" w:sz="4" w:space="4" w:color="00283E" w:themeColor="accent2"/>
      </w:pBdr>
      <w:shd w:val="clear" w:color="auto" w:fill="D1EEFF" w:themeFill="accent2" w:themeFillTint="1A"/>
      <w:ind w:left="113" w:right="113"/>
    </w:pPr>
  </w:style>
  <w:style w:type="paragraph" w:customStyle="1" w:styleId="Casestudytitle">
    <w:name w:val="Case study title"/>
    <w:basedOn w:val="Casestudy"/>
    <w:qFormat/>
    <w:rsid w:val="002D3954"/>
    <w:pPr>
      <w:spacing w:before="360"/>
    </w:pPr>
    <w:rPr>
      <w:color w:val="00283E" w:themeColor="accent2"/>
      <w:sz w:val="28"/>
    </w:rPr>
  </w:style>
  <w:style w:type="paragraph" w:customStyle="1" w:styleId="Casestudysource">
    <w:name w:val="Case study source"/>
    <w:basedOn w:val="Casestudy"/>
    <w:qFormat/>
    <w:rsid w:val="00F25F29"/>
    <w:pPr>
      <w:spacing w:before="240" w:after="480"/>
    </w:pPr>
    <w:rPr>
      <w:color w:val="00283E" w:themeColor="accent2"/>
      <w:sz w:val="16"/>
    </w:rPr>
  </w:style>
  <w:style w:type="paragraph" w:styleId="Header">
    <w:name w:val="header"/>
    <w:basedOn w:val="Normal"/>
    <w:link w:val="HeaderChar"/>
    <w:unhideWhenUsed/>
    <w:rsid w:val="00237A8F"/>
    <w:pPr>
      <w:tabs>
        <w:tab w:val="center" w:pos="4320"/>
        <w:tab w:val="right" w:pos="8640"/>
      </w:tabs>
      <w:spacing w:after="0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237A8F"/>
    <w:rPr>
      <w:sz w:val="16"/>
    </w:rPr>
  </w:style>
  <w:style w:type="paragraph" w:styleId="Footer">
    <w:name w:val="footer"/>
    <w:basedOn w:val="Normal"/>
    <w:link w:val="FooterChar"/>
    <w:unhideWhenUsed/>
    <w:rsid w:val="007B2AA7"/>
    <w:pPr>
      <w:tabs>
        <w:tab w:val="left" w:pos="3969"/>
        <w:tab w:val="left" w:pos="6804"/>
      </w:tabs>
      <w:spacing w:after="0"/>
    </w:pPr>
    <w:rPr>
      <w:sz w:val="16"/>
    </w:rPr>
  </w:style>
  <w:style w:type="character" w:customStyle="1" w:styleId="FooterChar">
    <w:name w:val="Footer Char"/>
    <w:basedOn w:val="DefaultParagraphFont"/>
    <w:link w:val="Footer"/>
    <w:rsid w:val="007B2AA7"/>
    <w:rPr>
      <w:spacing w:val="-2"/>
      <w:sz w:val="16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C2F68"/>
  </w:style>
  <w:style w:type="paragraph" w:styleId="ListParagraph">
    <w:name w:val="List Paragraph"/>
    <w:basedOn w:val="Normal"/>
    <w:uiPriority w:val="34"/>
    <w:qFormat/>
    <w:rsid w:val="009E60D8"/>
    <w:pPr>
      <w:ind w:left="284" w:hanging="284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B2AA7"/>
    <w:rPr>
      <w:color w:val="C973AF" w:themeColor="followedHyperlink"/>
      <w:u w:val="single"/>
    </w:rPr>
  </w:style>
  <w:style w:type="table" w:styleId="LightShading-Accent1">
    <w:name w:val="Light Shading Accent 1"/>
    <w:basedOn w:val="TableNormal"/>
    <w:uiPriority w:val="60"/>
    <w:rsid w:val="007B2AA7"/>
    <w:pPr>
      <w:spacing w:after="0" w:line="240" w:lineRule="auto"/>
    </w:pPr>
    <w:rPr>
      <w:rFonts w:eastAsiaTheme="minorEastAsia"/>
      <w:color w:val="004059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005677" w:themeColor="accent1"/>
        <w:bottom w:val="single" w:sz="8" w:space="0" w:color="0056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677" w:themeColor="accent1"/>
          <w:left w:val="nil"/>
          <w:bottom w:val="single" w:sz="8" w:space="0" w:color="0056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677" w:themeColor="accent1"/>
          <w:left w:val="nil"/>
          <w:bottom w:val="single" w:sz="8" w:space="0" w:color="0056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E4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EE4FF" w:themeFill="accent1" w:themeFillTint="3F"/>
      </w:tcPr>
    </w:tblStylePr>
  </w:style>
  <w:style w:type="paragraph" w:customStyle="1" w:styleId="Custom1">
    <w:name w:val="Custom 1"/>
    <w:basedOn w:val="ListNumber"/>
    <w:link w:val="Custom1Char"/>
    <w:qFormat/>
    <w:rsid w:val="008A4320"/>
    <w:pPr>
      <w:numPr>
        <w:numId w:val="0"/>
      </w:numPr>
      <w:spacing w:after="60" w:line="280" w:lineRule="atLeast"/>
      <w:contextualSpacing w:val="0"/>
    </w:pPr>
    <w:rPr>
      <w:rFonts w:ascii="Arial" w:eastAsiaTheme="majorEastAsia" w:hAnsi="Arial" w:cstheme="majorBidi"/>
      <w:bCs/>
      <w:i/>
      <w:iCs/>
      <w:color w:val="333366"/>
      <w:spacing w:val="0"/>
      <w:sz w:val="24"/>
      <w:szCs w:val="22"/>
    </w:rPr>
  </w:style>
  <w:style w:type="character" w:customStyle="1" w:styleId="Custom1Char">
    <w:name w:val="Custom 1 Char"/>
    <w:basedOn w:val="DefaultParagraphFont"/>
    <w:link w:val="Custom1"/>
    <w:rsid w:val="008A4320"/>
    <w:rPr>
      <w:rFonts w:ascii="Arial" w:eastAsiaTheme="majorEastAsia" w:hAnsi="Arial" w:cstheme="majorBidi"/>
      <w:bCs/>
      <w:i/>
      <w:iCs/>
      <w:color w:val="333366"/>
      <w:sz w:val="24"/>
    </w:rPr>
  </w:style>
  <w:style w:type="paragraph" w:styleId="ListNumber">
    <w:name w:val="List Number"/>
    <w:basedOn w:val="Normal"/>
    <w:uiPriority w:val="99"/>
    <w:semiHidden/>
    <w:unhideWhenUsed/>
    <w:rsid w:val="008A4320"/>
    <w:pPr>
      <w:numPr>
        <w:numId w:val="6"/>
      </w:num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F10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109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109B"/>
    <w:rPr>
      <w:spacing w:val="-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10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109B"/>
    <w:rPr>
      <w:b/>
      <w:bCs/>
      <w:spacing w:val="-2"/>
      <w:sz w:val="20"/>
      <w:szCs w:val="20"/>
    </w:rPr>
  </w:style>
  <w:style w:type="paragraph" w:styleId="Revision">
    <w:name w:val="Revision"/>
    <w:hidden/>
    <w:uiPriority w:val="99"/>
    <w:semiHidden/>
    <w:rsid w:val="008F109B"/>
    <w:pPr>
      <w:spacing w:after="0" w:line="240" w:lineRule="auto"/>
    </w:pPr>
    <w:rPr>
      <w:spacing w:val="-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72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05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38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6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5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65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44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0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3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1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18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36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5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2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22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bicon.agriculture.gov.au/BiconWeb4.0/" TargetMode="Externa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4.xml"/><Relationship Id="rId25" Type="http://schemas.openxmlformats.org/officeDocument/2006/relationships/hyperlink" Target="https://majorprojectshelp.business.gov.au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https://bicon.agriculture.gov.au/BiconWeb4.0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agriculture.gov.au/import/before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hyperlink" Target="http://www.agriculture.gov.au/biosecurity/avm/vessels/ballast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hyperlink" Target="http://www.agriculture.gov.au/biosecurity/avm/vessels/first-point-entry-and-non-first-point-entry" TargetMode="Externa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mpaa.gov.au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usiness.gov.au/mpfa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mpaa.gov.au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mailto:hotline@tmpaa.gov.au" TargetMode="External"/><Relationship Id="rId1" Type="http://schemas.openxmlformats.org/officeDocument/2006/relationships/hyperlink" Target="mailto:tmpaa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rporate Test">
      <a:dk1>
        <a:sysClr val="windowText" lastClr="000000"/>
      </a:dk1>
      <a:lt1>
        <a:sysClr val="window" lastClr="FFFFFF"/>
      </a:lt1>
      <a:dk2>
        <a:srgbClr val="58595B"/>
      </a:dk2>
      <a:lt2>
        <a:srgbClr val="939598"/>
      </a:lt2>
      <a:accent1>
        <a:srgbClr val="005677"/>
      </a:accent1>
      <a:accent2>
        <a:srgbClr val="00283E"/>
      </a:accent2>
      <a:accent3>
        <a:srgbClr val="1B9590"/>
      </a:accent3>
      <a:accent4>
        <a:srgbClr val="61C6C6"/>
      </a:accent4>
      <a:accent5>
        <a:srgbClr val="9CD9E0"/>
      </a:accent5>
      <a:accent6>
        <a:srgbClr val="C973AF"/>
      </a:accent6>
      <a:hlink>
        <a:srgbClr val="005677"/>
      </a:hlink>
      <a:folHlink>
        <a:srgbClr val="C973AF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http://schemas.microsoft.com/sharepoint/v3">Mar-Apr 2017 review round - no feedback as of 12/04</Comments>
    <n99e4c9942c6404eb103464a00e6097b xmlns="a36bd50b-1532-4c22-b385-5c082c960938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2017</TermName>
          <TermId xmlns="http://schemas.microsoft.com/office/infopath/2007/PartnerControls">5f6de30b-6e1e-4c09-9e51-982258231536</TermId>
        </TermInfo>
      </Terms>
    </n99e4c9942c6404eb103464a00e6097b>
    <g7bcb40ba23249a78edca7d43a67c1c9 xmlns="a36bd50b-1532-4c22-b385-5c082c960938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Communication</TermName>
          <TermId xmlns="http://schemas.microsoft.com/office/infopath/2007/PartnerControls">cd41d649-1e1a-44f5-b99b-946d42ce56d6</TermId>
        </TermInfo>
      </Terms>
    </g7bcb40ba23249a78edca7d43a67c1c9>
    <_dlc_DocId xmlns="a36bd50b-1532-4c22-b385-5c082c960938">A3PSR54DD4M5-1894031199-94</_dlc_DocId>
    <aa25a1a23adf4c92a153145de6afe324 xmlns="a36bd50b-1532-4c22-b385-5c082c960938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6106d03b-a1a0-4e30-9d91-d5e9fb4314f9</TermId>
        </TermInfo>
      </Terms>
    </aa25a1a23adf4c92a153145de6afe324>
    <_dlc_DocIdUrl xmlns="a36bd50b-1532-4c22-b385-5c082c960938">
      <Url>https://dochub/div/officeofnorthernaustralia/businessfunctions/majorprojects/programmemgmnt/_layouts/15/DocIdRedir.aspx?ID=A3PSR54DD4M5-1894031199-94</Url>
      <Description>A3PSR54DD4M5-1894031199-94</Description>
    </_dlc_DocIdUrl>
    <TaxCatchAll xmlns="a36bd50b-1532-4c22-b385-5c082c960938">
      <Value>52</Value>
      <Value>387</Value>
      <Value>3</Value>
      <Value>471</Value>
      <Value>7</Value>
    </TaxCatchAll>
    <pe2555c81638466f9eb614edb9ecde52 xmlns="a36bd50b-1532-4c22-b385-5c082c960938">
      <Terms xmlns="http://schemas.microsoft.com/office/infopath/2007/PartnerControls">
        <TermInfo xmlns="http://schemas.microsoft.com/office/infopath/2007/PartnerControls">
          <TermName xmlns="http://schemas.microsoft.com/office/infopath/2007/PartnerControls">Fact Sheet</TermName>
          <TermId xmlns="http://schemas.microsoft.com/office/infopath/2007/PartnerControls">38af007d-6d80-4dd0-9833-ef17489d7c7e</TermId>
        </TermInfo>
      </Terms>
    </pe2555c81638466f9eb614edb9ecde52>
    <adb9bed2e36e4a93af574aeb444da63e xmlns="a36bd50b-1532-4c22-b385-5c082c960938">
      <Terms xmlns="http://schemas.microsoft.com/office/infopath/2007/PartnerControls">
        <TermInfo xmlns="http://schemas.microsoft.com/office/infopath/2007/PartnerControls">
          <TermName xmlns="http://schemas.microsoft.com/office/infopath/2007/PartnerControls">MPAA</TermName>
          <TermId xmlns="http://schemas.microsoft.com/office/infopath/2007/PartnerControls">e3e67d11-9afd-49bc-8113-feea8f08469b</TermId>
        </TermInfo>
      </Terms>
    </adb9bed2e36e4a93af574aeb444da63e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6D55852D93604AA440876A3B15BB43" ma:contentTypeVersion="13" ma:contentTypeDescription="Create a new document." ma:contentTypeScope="" ma:versionID="a0dd2c024117f1c72f84498cdb49f4fc">
  <xsd:schema xmlns:xsd="http://www.w3.org/2001/XMLSchema" xmlns:xs="http://www.w3.org/2001/XMLSchema" xmlns:p="http://schemas.microsoft.com/office/2006/metadata/properties" xmlns:ns1="http://schemas.microsoft.com/sharepoint/v3" xmlns:ns2="a36bd50b-1532-4c22-b385-5c082c960938" xmlns:ns3="e950eb60-a35e-4b14-88a9-41f408f74491" targetNamespace="http://schemas.microsoft.com/office/2006/metadata/properties" ma:root="true" ma:fieldsID="a2b708221e224d29fbe8c5eaf269731a" ns1:_="" ns2:_="" ns3:_="">
    <xsd:import namespace="http://schemas.microsoft.com/sharepoint/v3"/>
    <xsd:import namespace="a36bd50b-1532-4c22-b385-5c082c960938"/>
    <xsd:import namespace="e950eb60-a35e-4b14-88a9-41f408f7449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a25a1a23adf4c92a153145de6afe324" minOccurs="0"/>
                <xsd:element ref="ns2:TaxCatchAll" minOccurs="0"/>
                <xsd:element ref="ns2:pe2555c81638466f9eb614edb9ecde52" minOccurs="0"/>
                <xsd:element ref="ns2:g7bcb40ba23249a78edca7d43a67c1c9" minOccurs="0"/>
                <xsd:element ref="ns2:adb9bed2e36e4a93af574aeb444da63e" minOccurs="0"/>
                <xsd:element ref="ns2:n99e4c9942c6404eb103464a00e6097b" minOccurs="0"/>
                <xsd:element ref="ns1:Comment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22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6bd50b-1532-4c22-b385-5c082c9609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a25a1a23adf4c92a153145de6afe324" ma:index="12" ma:taxonomy="true" ma:internalName="aa25a1a23adf4c92a153145de6afe324" ma:taxonomyFieldName="DocHub_SecurityClassification" ma:displayName="Security Classification" ma:fieldId="{aa25a1a2-3adf-4c92-a153-145de6afe324}" ma:sspId="fb0313f7-9433-48c0-866e-9e0bbee59a50" ma:termSetId="f68a6a0b-bd85-4d9d-9c73-c45af09601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description="" ma:hidden="true" ma:list="{2dff2eb7-e297-4992-b865-1a47fdf64e6a}" ma:internalName="TaxCatchAll" ma:showField="CatchAllData" ma:web="e950eb60-a35e-4b14-88a9-41f408f744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e2555c81638466f9eb614edb9ecde52" ma:index="15" ma:taxonomy="true" ma:internalName="pe2555c81638466f9eb614edb9ecde52" ma:taxonomyFieldName="DocHub_DocumentType" ma:displayName="Document Type" ma:indexed="true" ma:fieldId="{9e2555c8-1638-466f-9eb6-14edb9ecde52}" ma:sspId="fb0313f7-9433-48c0-866e-9e0bbee59a50" ma:termSetId="0e4c18c5-28eb-4f9e-8056-b3cddd4b5d9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7bcb40ba23249a78edca7d43a67c1c9" ma:index="17" nillable="true" ma:taxonomy="true" ma:internalName="g7bcb40ba23249a78edca7d43a67c1c9" ma:taxonomyFieldName="DocHub_WorkActivity" ma:displayName="Work Activity" ma:indexed="true" ma:fieldId="{07bcb40b-a232-49a7-8edc-a7d43a67c1c9}" ma:sspId="fb0313f7-9433-48c0-866e-9e0bbee59a50" ma:termSetId="6713ebbd-194a-499f-ab84-a4d70e145fb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db9bed2e36e4a93af574aeb444da63e" ma:index="19" nillable="true" ma:taxonomy="true" ma:internalName="adb9bed2e36e4a93af574aeb444da63e" ma:taxonomyFieldName="DocHub_Keywords" ma:displayName="Division Keywords" ma:fieldId="{adb9bed2-e36e-4a93-af57-4aeb444da63e}" ma:taxonomyMulti="true" ma:sspId="fb0313f7-9433-48c0-866e-9e0bbee59a50" ma:termSetId="bacf7d73-44f1-4bad-9de4-dfdec5c74e03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99e4c9942c6404eb103464a00e6097b" ma:index="21" nillable="true" ma:taxonomy="true" ma:internalName="n99e4c9942c6404eb103464a00e6097b" ma:taxonomyFieldName="DocHub_Year" ma:displayName="Year" ma:indexed="true" ma:fieldId="{799e4c99-42c6-404e-b103-464a00e6097b}" ma:sspId="fb0313f7-9433-48c0-866e-9e0bbee59a50" ma:termSetId="07e1743d-d980-4fe7-a67d-b87ecf7f18f6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0eb60-a35e-4b14-88a9-41f408f74491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6721B-15ED-4B4A-BB27-8CAC00E895D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DAF3D5C-95B8-415C-9B89-5FA15B7C23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628AAA-D1E4-4097-BDDE-035FDA59DDB1}">
  <ds:schemaRefs>
    <ds:schemaRef ds:uri="a36bd50b-1532-4c22-b385-5c082c960938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e950eb60-a35e-4b14-88a9-41f408f74491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9E28662-DE86-42C0-9572-03EAD64BEAD3}"/>
</file>

<file path=customXml/itemProps5.xml><?xml version="1.0" encoding="utf-8"?>
<ds:datastoreItem xmlns:ds="http://schemas.openxmlformats.org/officeDocument/2006/customXml" ds:itemID="{9102B248-DE13-497E-9CED-42C24A937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Biosecurity Act 2015</vt:lpstr>
    </vt:vector>
  </TitlesOfParts>
  <Company/>
  <LinksUpToDate>false</LinksUpToDate>
  <CharactersWithSpaces>2945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Biosecurity Act 2015</dc:title>
  <dc:creator/>
  <cp:lastModifiedBy/>
  <cp:revision>1</cp:revision>
  <dcterms:created xsi:type="dcterms:W3CDTF">2021-04-26T23:14:00Z</dcterms:created>
  <dcterms:modified xsi:type="dcterms:W3CDTF">2021-09-06T05:31:00Z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Hub_Year">
    <vt:lpwstr>387;#2017|5f6de30b-6e1e-4c09-9e51-982258231536</vt:lpwstr>
  </property>
  <property fmtid="{D5CDD505-2E9C-101B-9397-08002B2CF9AE}" pid="3" name="DocHub_DocumentType">
    <vt:lpwstr>52;#Fact Sheet|38af007d-6d80-4dd0-9833-ef17489d7c7e</vt:lpwstr>
  </property>
  <property fmtid="{D5CDD505-2E9C-101B-9397-08002B2CF9AE}" pid="4" name="DocHub_SecurityClassification">
    <vt:lpwstr>3;#UNCLASSIFIED|6106d03b-a1a0-4e30-9d91-d5e9fb4314f9</vt:lpwstr>
  </property>
  <property fmtid="{D5CDD505-2E9C-101B-9397-08002B2CF9AE}" pid="5" name="ContentTypeId">
    <vt:lpwstr>0x010100896D55852D93604AA440876A3B15BB43</vt:lpwstr>
  </property>
  <property fmtid="{D5CDD505-2E9C-101B-9397-08002B2CF9AE}" pid="6" name="VersionNumber">
    <vt:i4>0</vt:i4>
  </property>
  <property fmtid="{D5CDD505-2E9C-101B-9397-08002B2CF9AE}" pid="7" name="DocHub_Keywords">
    <vt:lpwstr>471;#MPAA|e3e67d11-9afd-49bc-8113-feea8f08469b</vt:lpwstr>
  </property>
  <property fmtid="{D5CDD505-2E9C-101B-9397-08002B2CF9AE}" pid="8" name="FileNumberPty">
    <vt:lpwstr/>
  </property>
  <property fmtid="{D5CDD505-2E9C-101B-9397-08002B2CF9AE}" pid="9" name="CorporateTmplBased">
    <vt:lpwstr>No</vt:lpwstr>
  </property>
  <property fmtid="{D5CDD505-2E9C-101B-9397-08002B2CF9AE}" pid="10" name="DocHub_WorkActivity">
    <vt:lpwstr>7;#Communication|cd41d649-1e1a-44f5-b99b-946d42ce56d6</vt:lpwstr>
  </property>
  <property fmtid="{D5CDD505-2E9C-101B-9397-08002B2CF9AE}" pid="11" name="_dlc_DocIdItemGuid">
    <vt:lpwstr>5a577625-2a2b-4358-bfeb-2d8c31fc3e4f</vt:lpwstr>
  </property>
  <property fmtid="{D5CDD505-2E9C-101B-9397-08002B2CF9AE}" pid="12" name="ClassificationPty">
    <vt:lpwstr/>
  </property>
  <property fmtid="{D5CDD505-2E9C-101B-9397-08002B2CF9AE}" pid="13" name="DocHub_PDMSNumber">
    <vt:lpwstr/>
  </property>
  <property fmtid="{D5CDD505-2E9C-101B-9397-08002B2CF9AE}" pid="14" name="IconOverlay">
    <vt:lpwstr/>
  </property>
</Properties>
</file>